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200"/>
      </w:pPr>
      <w:r>
        <w:rPr>
          <w:b/>
          <w:color w:val="CC0000"/>
          <w:sz w:val="40"/>
        </w:rPr>
        <w:t xml:space="preserve">Country Summary: </w:t>
      </w:r>
      <w:r>
        <w:rPr>
          <w:b w:val="0"/>
          <w:color w:val="CC0000"/>
          <w:sz w:val="40"/>
        </w:rPr>
        <w:t>Australia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6188710" cy="3481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strali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80"/>
        <w:jc w:val="right"/>
      </w:pPr>
      <w:r>
        <w:rPr>
          <w:color w:val="6E6E6E"/>
          <w:sz w:val="14"/>
        </w:rPr>
        <w:t>Photo: Diliff, CC BY-SA 3.0, via Wikimedia Commons</w:t>
      </w:r>
    </w:p>
    <w:p>
      <w:pPr>
        <w:widowControl/>
        <w:spacing w:before="360"/>
      </w:pPr>
      <w:r>
        <w:rPr>
          <w:i/>
          <w:color w:val="6E6E6E"/>
          <w:sz w:val="20"/>
        </w:rPr>
        <w:t>Executive summary of the Australia country profile (2026-10-20). Superscript numbers refer to the numbered sources in Australia_Profile_DRAFT_SOURCES.docx.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280" w:after="80"/>
      </w:pPr>
      <w:r>
        <w:t>At a Glance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tbl>
      <w:tblPr>
        <w:tblW w:type="auto" w:w="0"/>
        <w:jc w:val="center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18" w:color="FFFFFF"/>
          <w:insideV w:val="single" w:sz="18" w:color="FFFFFF"/>
        </w:tblBorders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27.9 m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Population, 31 March 2026</w:t>
            </w:r>
            <w:hyperlink r:id="rId11">
              <w:r>
                <w:rPr>
                  <w:color w:val="B31822"/>
                  <w:vertAlign w:val="superscript"/>
                </w:rPr>
                <w:t xml:space="preserve">3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71,930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GDP per capita, PPP (international dollars), about, 2025</w:t>
            </w:r>
            <w:hyperlink r:id="rId12">
              <w:r>
                <w:rPr>
                  <w:color w:val="B31822"/>
                  <w:vertAlign w:val="superscript"/>
                </w:rPr>
                <w:t xml:space="preserve">6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10.40%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Current health expenditure, share of GDP, 2023</w:t>
            </w:r>
            <w:hyperlink r:id="rId13">
              <w:r>
                <w:rPr>
                  <w:color w:val="B31822"/>
                  <w:vertAlign w:val="superscript"/>
                </w:rPr>
                <w:t xml:space="preserve">31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15.8%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Out-of-pocket share of current health expenditure, 2023</w:t>
            </w:r>
            <w:hyperlink r:id="rId14">
              <w:r>
                <w:rPr>
                  <w:color w:val="B31822"/>
                  <w:vertAlign w:val="superscript"/>
                </w:rPr>
                <w:t xml:space="preserve">33</w:t>
              </w:r>
            </w:hyperlink>
          </w:p>
        </w:tc>
      </w:tr>
      <w:tr>
        <w:trPr>
          <w:cantSplit/>
        </w:trPr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4.09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Physicians per 1,000 people, 2022</w:t>
            </w:r>
            <w:hyperlink r:id="rId15">
              <w:r>
                <w:rPr>
                  <w:color w:val="B31822"/>
                  <w:vertAlign w:val="superscript"/>
                </w:rPr>
                <w:t xml:space="preserve">36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2.5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Public hospital beds per 1,000 people, 2023-24</w:t>
            </w:r>
            <w:hyperlink r:id="rId16">
              <w:r>
                <w:rPr>
                  <w:color w:val="B31822"/>
                  <w:vertAlign w:val="superscript"/>
                </w:rPr>
                <w:t xml:space="preserve">23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9.4%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Deaths from dementia, the leading cause, 2024</w:t>
            </w:r>
            <w:hyperlink r:id="rId17">
              <w:r>
                <w:rPr>
                  <w:color w:val="B31822"/>
                  <w:vertAlign w:val="superscript"/>
                </w:rPr>
                <w:t xml:space="preserve">20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45.8%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Private hospital cover, share of population, 30 June 2026</w:t>
            </w:r>
            <w:hyperlink r:id="rId18">
              <w:r>
                <w:rPr>
                  <w:color w:val="B31822"/>
                  <w:vertAlign w:val="superscript"/>
                </w:rPr>
                <w:t xml:space="preserve">27</w:t>
              </w:r>
            </w:hyperlink>
          </w:p>
        </w:tc>
      </w:tr>
    </w:tbl>
    <w:p>
      <w:pPr>
        <w:keepNext/>
        <w:widowControl/>
        <w:spacing w:before="160" w:after="60"/>
      </w:pPr>
      <w:r>
        <w:rPr>
          <w:b/>
          <w:color w:val="B31822"/>
          <w:sz w:val="24"/>
        </w:rPr>
        <w:t>Country background</w:t>
      </w:r>
    </w:p>
    <w:p>
      <w:pPr>
        <w:widowControl/>
      </w:pPr>
      <w:r>
        <w:rPr>
          <w:sz w:val="21"/>
        </w:rPr>
        <w:t>Australia, with about 27.9 million people at 31 March 2026, is a constitutional monarchy whose capital is Canberra.</w:t>
      </w:r>
      <w:hyperlink r:id="rId19">
        <w:r>
          <w:rPr>
            <w:color w:val="B31822"/>
            <w:vertAlign w:val="superscript"/>
          </w:rPr>
          <w:t xml:space="preserve">1,</w:t>
        </w:r>
      </w:hyperlink>
      <w:hyperlink r:id="rId11">
        <w:r>
          <w:rPr>
            <w:color w:val="B31822"/>
            <w:vertAlign w:val="superscript"/>
          </w:rPr>
          <w:t xml:space="preserve">3</w:t>
        </w:r>
      </w:hyperlink>
      <w:r>
        <w:rPr>
          <w:sz w:val="21"/>
        </w:rPr>
        <w:t xml:space="preserve"> Anthony Albanese continues as Prime Minister after Labor won 94 House seats in 2025, and Mark Butler is Minister for Health and Ageing.</w:t>
      </w:r>
      <w:hyperlink r:id="rId20">
        <w:r>
          <w:rPr>
            <w:color w:val="B31822"/>
            <w:vertAlign w:val="superscript"/>
          </w:rPr>
          <w:t xml:space="preserve">8,</w:t>
        </w:r>
      </w:hyperlink>
      <w:hyperlink r:id="rId21">
        <w:r>
          <w:rPr>
            <w:color w:val="B31822"/>
            <w:vertAlign w:val="superscript"/>
          </w:rPr>
          <w:t xml:space="preserve">15,</w:t>
        </w:r>
      </w:hyperlink>
      <w:hyperlink r:id="rId22">
        <w:r>
          <w:rPr>
            <w:color w:val="B31822"/>
            <w:vertAlign w:val="superscript"/>
          </w:rPr>
          <w:t xml:space="preserve">16</w:t>
        </w:r>
      </w:hyperlink>
      <w:r>
        <w:rPr>
          <w:sz w:val="21"/>
        </w:rPr>
        <w:t xml:space="preserve"> The Commonwealth funds Medicare while the states run public hospitals.</w:t>
      </w:r>
      <w:hyperlink r:id="rId23">
        <w:r>
          <w:rPr>
            <w:color w:val="B31822"/>
            <w:vertAlign w:val="superscript"/>
          </w:rPr>
          <w:t xml:space="preserve">18</w:t>
        </w:r>
      </w:hyperlink>
      <w:r>
        <w:rPr>
          <w:sz w:val="21"/>
        </w:rPr>
        <w:t xml:space="preserve"> Life expectancy at birth was 83.1 years in 2024, 87.7 percent of people lived in urban areas in 2025, and people aged 65 and over made up 18.1 percent.</w:t>
      </w:r>
      <w:hyperlink r:id="rId24">
        <w:r>
          <w:rPr>
            <w:color w:val="B31822"/>
            <w:vertAlign w:val="superscript"/>
          </w:rPr>
          <w:t xml:space="preserve">10,</w:t>
        </w:r>
      </w:hyperlink>
      <w:hyperlink r:id="rId25">
        <w:r>
          <w:rPr>
            <w:color w:val="B31822"/>
            <w:vertAlign w:val="superscript"/>
          </w:rPr>
          <w:t xml:space="preserve">12,</w:t>
        </w:r>
      </w:hyperlink>
      <w:hyperlink r:id="rId26">
        <w:r>
          <w:rPr>
            <w:color w:val="B31822"/>
            <w:vertAlign w:val="superscript"/>
          </w:rPr>
          <w:t xml:space="preserve">13</w:t>
        </w:r>
      </w:hyperlink>
      <w:r>
        <w:rPr>
          <w:sz w:val="21"/>
        </w:rPr>
        <w:t xml:space="preserve"> Dementia became the leading cause of death in 2024.</w:t>
      </w:r>
      <w:hyperlink r:id="rId17">
        <w:r>
          <w:rPr>
            <w:color w:val="B31822"/>
            <w:vertAlign w:val="superscript"/>
          </w:rPr>
          <w:t xml:space="preserve">20</w:t>
        </w:r>
      </w:hyperlink>
      <w:r>
        <w:rPr>
          <w:sz w:val="21"/>
        </w:rPr>
        <w:t xml:space="preserve"> The key risk is cost: health takes 16.4 percent of Commonwealth expenses in 2026-27, and the Budget forecasts slower growth.</w:t>
      </w:r>
      <w:hyperlink r:id="rId27">
        <w:r>
          <w:rPr>
            <w:color w:val="B31822"/>
            <w:vertAlign w:val="superscript"/>
          </w:rPr>
          <w:t xml:space="preserve">17</w:t>
        </w:r>
      </w:hyperlink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Key takeaways for CSI</w:t>
      </w:r>
    </w:p>
    <w:p>
      <w:pPr>
        <w:pStyle w:val="ListBullet"/>
        <w:widowControl/>
        <w:spacing w:after="60"/>
      </w:pPr>
      <w:r>
        <w:rPr>
          <w:sz w:val="21"/>
        </w:rPr>
        <w:t>Medicare covers the full cost of public hospital services for citizens and permanent residents.</w:t>
      </w:r>
      <w:hyperlink r:id="rId23">
        <w:r>
          <w:rPr>
            <w:color w:val="B31822"/>
            <w:vertAlign w:val="superscript"/>
          </w:rPr>
          <w:t xml:space="preserve">18</w:t>
        </w:r>
      </w:hyperlink>
    </w:p>
    <w:p>
      <w:pPr>
        <w:pStyle w:val="ListBullet"/>
        <w:widowControl/>
        <w:spacing w:after="60"/>
      </w:pPr>
      <w:r>
        <w:rPr>
          <w:sz w:val="21"/>
        </w:rPr>
        <w:t>Health spending was 10.40 percent of GDP in 2023, below Canada, the United Kingdom and the United States.</w:t>
      </w:r>
      <w:hyperlink r:id="rId13">
        <w:r>
          <w:rPr>
            <w:color w:val="B31822"/>
            <w:vertAlign w:val="superscript"/>
          </w:rPr>
          <w:t xml:space="preserve">31,</w:t>
        </w:r>
      </w:hyperlink>
      <w:hyperlink r:id="rId28">
        <w:r>
          <w:rPr>
            <w:color w:val="B31822"/>
            <w:vertAlign w:val="superscript"/>
          </w:rPr>
          <w:t xml:space="preserve">35</w:t>
        </w:r>
      </w:hyperlink>
    </w:p>
    <w:p>
      <w:pPr>
        <w:pStyle w:val="ListBullet"/>
        <w:widowControl/>
        <w:spacing w:after="60"/>
      </w:pPr>
      <w:r>
        <w:rPr>
          <w:sz w:val="21"/>
        </w:rPr>
        <w:t>Dementia became the leading cause of death in 2024, at 9.4 percent of deaths, overtaking ischemic heart diseases.</w:t>
      </w:r>
      <w:hyperlink r:id="rId17">
        <w:r>
          <w:rPr>
            <w:color w:val="B31822"/>
            <w:vertAlign w:val="superscript"/>
          </w:rPr>
          <w:t xml:space="preserve">20</w:t>
        </w:r>
      </w:hyperlink>
    </w:p>
    <w:p>
      <w:pPr>
        <w:pStyle w:val="ListBullet"/>
        <w:widowControl/>
        <w:spacing w:after="60"/>
      </w:pPr>
      <w:r>
        <w:rPr>
          <w:sz w:val="21"/>
        </w:rPr>
        <w:t>Governments funded 70 percent of the A$290.7 billion in total health spending in 2024-25.</w:t>
      </w:r>
      <w:hyperlink r:id="rId29">
        <w:r>
          <w:rPr>
            <w:color w:val="B31822"/>
            <w:vertAlign w:val="superscript"/>
          </w:rPr>
          <w:t xml:space="preserve">30</w:t>
        </w:r>
      </w:hyperlink>
    </w:p>
    <w:p>
      <w:pPr>
        <w:pStyle w:val="Heading1"/>
        <w:keepNext/>
        <w:widowControl/>
        <w:spacing w:before="280" w:after="80"/>
      </w:pPr>
      <w:r>
        <w:t>Health System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p>
      <w:pPr>
        <w:pStyle w:val="ListBullet"/>
        <w:widowControl/>
        <w:spacing w:after="60"/>
      </w:pPr>
      <w:r>
        <w:rPr>
          <w:sz w:val="21"/>
        </w:rPr>
        <w:t>The 2026-27 Budget provides A$220.3 billion over five years for state public hospital services.</w:t>
      </w:r>
      <w:hyperlink r:id="rId30">
        <w:r>
          <w:rPr>
            <w:color w:val="B31822"/>
            <w:vertAlign w:val="superscript"/>
          </w:rPr>
          <w:t xml:space="preserve">24</w:t>
        </w:r>
      </w:hyperlink>
    </w:p>
    <w:p>
      <w:pPr>
        <w:pStyle w:val="ListBullet"/>
        <w:widowControl/>
        <w:spacing w:after="60"/>
      </w:pPr>
      <w:r>
        <w:rPr>
          <w:sz w:val="21"/>
        </w:rPr>
        <w:t>Bulk billing incentives reached all Australians on 1 November 2025, with 9 in 10 GP visits projected by 2030.</w:t>
      </w:r>
      <w:hyperlink r:id="rId31">
        <w:r>
          <w:rPr>
            <w:color w:val="B31822"/>
            <w:vertAlign w:val="superscript"/>
          </w:rPr>
          <w:t xml:space="preserve">25,</w:t>
        </w:r>
      </w:hyperlink>
      <w:hyperlink r:id="rId32">
        <w:r>
          <w:rPr>
            <w:color w:val="B31822"/>
            <w:vertAlign w:val="superscript"/>
          </w:rPr>
          <w:t xml:space="preserve">26</w:t>
        </w:r>
      </w:hyperlink>
    </w:p>
    <w:p>
      <w:pPr>
        <w:pStyle w:val="ListBullet"/>
        <w:widowControl/>
        <w:spacing w:after="60"/>
      </w:pPr>
      <w:r>
        <w:rPr>
          <w:sz w:val="21"/>
        </w:rPr>
        <w:t>Public hospitals had 67,280 beds in 2023-24, and governments funded 94 percent of their A$103.1 billion recurrent spending.</w:t>
      </w:r>
      <w:hyperlink r:id="rId16">
        <w:r>
          <w:rPr>
            <w:color w:val="B31822"/>
            <w:vertAlign w:val="superscript"/>
          </w:rPr>
          <w:t xml:space="preserve">23</w:t>
        </w:r>
      </w:hyperlink>
    </w:p>
    <w:p>
      <w:pPr>
        <w:keepNext/>
        <w:widowControl/>
        <w:spacing w:before="160" w:after="40"/>
      </w:pPr>
      <w:r>
        <w:rPr>
          <w:b/>
          <w:sz w:val="21"/>
        </w:rPr>
        <w:t>Australia: health spending and out-of-pocket share, 2012 to 2023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ndin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</w:pPr>
      <w:r>
        <w:rPr>
          <w:color w:val="6E6E6E"/>
          <w:sz w:val="16"/>
        </w:rPr>
        <w:t xml:space="preserve">Current health expenditure as a share of GDP, and out-of-pocket spending as a share of current health expenditure. Sources: </w:t>
      </w:r>
      <w:hyperlink r:id="rId13">
        <w:r>
          <w:rPr>
            <w:color w:val="B31822"/>
            <w:vertAlign w:val="superscript"/>
          </w:rPr>
          <w:t xml:space="preserve">31,</w:t>
        </w:r>
      </w:hyperlink>
      <w:hyperlink r:id="rId14">
        <w:r>
          <w:rPr>
            <w:color w:val="B31822"/>
            <w:vertAlign w:val="superscript"/>
          </w:rPr>
          <w:t xml:space="preserve">33</w:t>
        </w:r>
      </w:hyperlink>
    </w:p>
    <w:p>
      <w:pPr>
        <w:keepNext/>
        <w:widowControl/>
        <w:spacing w:before="160" w:after="40"/>
      </w:pPr>
      <w:r>
        <w:rPr>
          <w:b/>
          <w:sz w:val="21"/>
        </w:rPr>
        <w:t>Physicians per 1,000 people, Australia and comparators (latest year available)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5580000" cy="37133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orc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13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</w:pPr>
      <w:r>
        <w:rPr>
          <w:color w:val="6E6E6E"/>
          <w:sz w:val="16"/>
        </w:rPr>
        <w:t xml:space="preserve">Latest year available for each country in the World Bank series, shown in brackets; comparison years differ (2022 and 2023). Sources: </w:t>
      </w:r>
      <w:hyperlink r:id="rId35">
        <w:r>
          <w:rPr>
            <w:color w:val="B31822"/>
            <w:vertAlign w:val="superscript"/>
          </w:rPr>
          <w:t xml:space="preserve">72</w:t>
        </w:r>
      </w:hyperlink>
    </w:p>
    <w:p>
      <w:pPr>
        <w:pStyle w:val="Heading1"/>
        <w:keepNext/>
        <w:widowControl/>
        <w:spacing w:before="280" w:after="80"/>
      </w:pPr>
      <w:r>
        <w:t>Market and Competition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p>
      <w:pPr>
        <w:pStyle w:val="ListBullet"/>
        <w:widowControl/>
        <w:spacing w:after="60"/>
      </w:pPr>
      <w:r>
        <w:rPr>
          <w:sz w:val="21"/>
        </w:rPr>
        <w:t>Ramsay Health Care, listed on the Australian Securities Exchange since 1997, runs hospitals in Australia, Europe and the United Kingdom.</w:t>
      </w:r>
      <w:hyperlink r:id="rId36">
        <w:r>
          <w:rPr>
            <w:color w:val="B31822"/>
            <w:vertAlign w:val="superscript"/>
          </w:rPr>
          <w:t xml:space="preserve">29</w:t>
        </w:r>
      </w:hyperlink>
    </w:p>
    <w:p>
      <w:pPr>
        <w:pStyle w:val="ListBullet"/>
        <w:widowControl/>
        <w:spacing w:after="60"/>
      </w:pPr>
      <w:r>
        <w:rPr>
          <w:sz w:val="21"/>
        </w:rPr>
        <w:t>Healthscope, the second-largest operator, entered receivership in May 2025 after Brookfield withdrew support.</w:t>
      </w:r>
      <w:hyperlink r:id="rId37">
        <w:r>
          <w:rPr>
            <w:color w:val="B31822"/>
            <w:vertAlign w:val="superscript"/>
          </w:rPr>
          <w:t xml:space="preserve">28</w:t>
        </w:r>
      </w:hyperlink>
    </w:p>
    <w:p>
      <w:pPr>
        <w:pStyle w:val="ListBullet"/>
        <w:widowControl/>
        <w:spacing w:after="60"/>
      </w:pPr>
      <w:r>
        <w:rPr>
          <w:sz w:val="21"/>
        </w:rPr>
        <w:t>Peter MacCallum Cancer Centre signed with Dana-Farber in 2022 and The Christie in 2024.</w:t>
      </w:r>
      <w:hyperlink r:id="rId38">
        <w:r>
          <w:rPr>
            <w:color w:val="B31822"/>
            <w:vertAlign w:val="superscript"/>
          </w:rPr>
          <w:t xml:space="preserve">47,</w:t>
        </w:r>
      </w:hyperlink>
      <w:hyperlink r:id="rId39">
        <w:r>
          <w:rPr>
            <w:color w:val="B31822"/>
            <w:vertAlign w:val="superscript"/>
          </w:rPr>
          <w:t xml:space="preserve">48</w:t>
        </w:r>
      </w:hyperlink>
      <w:r>
        <w:rPr>
          <w:sz w:val="21"/>
        </w:rPr>
        <w:t xml:space="preserve"> The tracker lists 18 active foreign ties.</w:t>
      </w:r>
    </w:p>
    <w:p>
      <w:pPr>
        <w:keepNext/>
        <w:widowControl/>
        <w:spacing w:before="160" w:after="40"/>
      </w:pPr>
      <w:r>
        <w:rPr>
          <w:b/>
          <w:sz w:val="21"/>
        </w:rPr>
        <w:t>Australia: hospital beds per 1,000 people, 2008 to 2016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5220000" cy="23653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6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</w:pPr>
      <w:r>
        <w:rPr>
          <w:color w:val="6E6E6E"/>
          <w:sz w:val="16"/>
        </w:rPr>
        <w:t xml:space="preserve">Hospital beds as reported to the World Bank; 2016 is the latest year in the series. Sources: </w:t>
      </w:r>
      <w:hyperlink r:id="rId41">
        <w:r>
          <w:rPr>
            <w:color w:val="B31822"/>
            <w:vertAlign w:val="superscript"/>
          </w:rPr>
          <w:t xml:space="preserve">38</w:t>
        </w:r>
      </w:hyperlink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Foreign health systems active in Australia</w:t>
      </w:r>
    </w:p>
    <w:p>
      <w:pPr>
        <w:widowControl/>
      </w:pPr>
      <w:r>
        <w:rPr>
          <w:sz w:val="20"/>
        </w:rPr>
        <w:t>18 foreign institutions with confirmed active partnerships (18 in all): 13 research collaboration, 5 training and education. Sources in the profile and the partnerships tracker.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3060000" cy="27937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stralia_partnerships_map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793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i/>
          <w:color w:val="6E6E6E"/>
          <w:sz w:val="16"/>
        </w:rPr>
        <w:t>Active foreign health-system partnerships by city of the partner in Australia. Source: CSI partnerships tracker, verified 2026-10-20. Boundaries: Natural Earth; not an official depiction.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/>
        </w:trPr>
        <w:tc>
          <w:tcPr>
            <w:tcW w:type="dxa" w:w="3685"/>
            <w:shd w:val="clear" w:color="auto" w:fill="D91F2C"/>
          </w:tcPr>
          <w:p>
            <w:r>
              <w:rPr>
                <w:b/>
                <w:color w:val="FFFFFF"/>
                <w:sz w:val="18"/>
              </w:rPr>
              <w:t>Institution</w:t>
            </w:r>
          </w:p>
        </w:tc>
        <w:tc>
          <w:tcPr>
            <w:tcW w:type="dxa" w:w="5953"/>
            <w:shd w:val="clear" w:color="auto" w:fill="D91F2C"/>
          </w:tcPr>
          <w:p>
            <w:r>
              <w:rPr>
                <w:b/>
                <w:color w:val="FFFFFF"/>
                <w:sz w:val="18"/>
              </w:rPr>
              <w:t>Nature of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Boston Children's Hospital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Cleveland Clinic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Emory University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Memorial Sloan Kettering Cancer Center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Ochsner Health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Weill Cornell Medicine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Apollo Hospitals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Great Ormond Street Hospital and UCL Great Ormond Street Institute of Child Health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Ho Chi Minh City Eye Hospital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Hokkaido University (Faculty of Health Sciences)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Manipal Academy of Higher Education (MAHE)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Max Healthcare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Sichuan Provincial People's Hospital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The Chinese Medicine Hospital of Hong Kong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The Christie NHS Foundation Trust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The Hospital for Sick Children (SickKids)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University of Galway (BioInnovate Ireland)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West China Hospital, Sichuan University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</w:tbl>
    <w:p>
      <w:pPr>
        <w:pStyle w:val="Heading1"/>
        <w:keepNext/>
        <w:widowControl/>
        <w:spacing w:before="280" w:after="80"/>
      </w:pPr>
      <w:r>
        <w:t>CSI Position, Risks and Recent News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CSI partnerships in Australia</w:t>
      </w:r>
    </w:p>
    <w:p>
      <w:pPr>
        <w:keepNext/>
        <w:widowControl/>
      </w:pPr>
      <w:r>
        <w:rPr>
          <w:b/>
          <w:color w:val="996A00"/>
          <w:sz w:val="20"/>
          <w:highlight w:val="yellow"/>
        </w:rPr>
        <w:t>[MANUAL INPUT REQUIRED]</w:t>
      </w:r>
    </w:p>
    <w:p>
      <w:pPr>
        <w:widowControl/>
      </w:pPr>
      <w:r>
        <w:rPr>
          <w:i/>
          <w:color w:val="6E6E6E"/>
          <w:sz w:val="17"/>
        </w:rPr>
        <w:t>To be completed by CSI from internal data; not researched.</w:t>
      </w:r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Opportunities for CSI</w:t>
      </w:r>
    </w:p>
    <w:p>
      <w:pPr>
        <w:keepNext/>
        <w:widowControl/>
      </w:pPr>
      <w:r>
        <w:rPr>
          <w:b/>
          <w:color w:val="996A00"/>
          <w:sz w:val="20"/>
          <w:highlight w:val="yellow"/>
        </w:rPr>
        <w:t>[MANUAL INPUT REQUIRED]</w:t>
      </w:r>
    </w:p>
    <w:p>
      <w:pPr>
        <w:widowControl/>
      </w:pPr>
      <w:r>
        <w:rPr>
          <w:i/>
          <w:color w:val="6E6E6E"/>
          <w:sz w:val="17"/>
        </w:rPr>
        <w:t>To be completed by CSI from internal data; not researched.</w:t>
      </w:r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Risks and watch items</w:t>
      </w:r>
    </w:p>
    <w:p>
      <w:pPr>
        <w:pStyle w:val="ListBullet"/>
        <w:widowControl/>
        <w:spacing w:after="60"/>
      </w:pPr>
      <w:r>
        <w:rPr>
          <w:sz w:val="21"/>
        </w:rPr>
        <w:t>The Budget forecasts growth slowing to 1.75 percent in 2026-27 because the Middle East conflict raised global oil prices.</w:t>
      </w:r>
      <w:hyperlink r:id="rId27">
        <w:r>
          <w:rPr>
            <w:color w:val="B31822"/>
            <w:vertAlign w:val="superscript"/>
          </w:rPr>
          <w:t xml:space="preserve">17</w:t>
        </w:r>
      </w:hyperlink>
    </w:p>
    <w:p>
      <w:pPr>
        <w:pStyle w:val="ListBullet"/>
        <w:widowControl/>
        <w:spacing w:after="60"/>
      </w:pPr>
      <w:r>
        <w:rPr>
          <w:sz w:val="21"/>
        </w:rPr>
        <w:t>Four in five specialists registered in the pathway's first six months work in major cities, Medical Republic reported.</w:t>
      </w:r>
      <w:hyperlink r:id="rId43">
        <w:r>
          <w:rPr>
            <w:color w:val="B31822"/>
            <w:vertAlign w:val="superscript"/>
          </w:rPr>
          <w:t xml:space="preserve">40</w:t>
        </w:r>
      </w:hyperlink>
    </w:p>
    <w:p>
      <w:pPr>
        <w:pStyle w:val="ListBullet"/>
        <w:widowControl/>
        <w:spacing w:after="60"/>
      </w:pPr>
      <w:r>
        <w:rPr>
          <w:sz w:val="21"/>
        </w:rPr>
        <w:t>Dementia deaths rose 39 percent over a decade, and 49.9 percent of people had a chronic condition in 2022.</w:t>
      </w:r>
      <w:hyperlink r:id="rId17">
        <w:r>
          <w:rPr>
            <w:color w:val="B31822"/>
            <w:vertAlign w:val="superscript"/>
          </w:rPr>
          <w:t xml:space="preserve">20,</w:t>
        </w:r>
      </w:hyperlink>
      <w:hyperlink r:id="rId44">
        <w:r>
          <w:rPr>
            <w:color w:val="B31822"/>
            <w:vertAlign w:val="superscript"/>
          </w:rPr>
          <w:t xml:space="preserve">22</w:t>
        </w:r>
      </w:hyperlink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Recent developments</w:t>
      </w:r>
    </w:p>
    <w:p>
      <w:pPr>
        <w:widowControl/>
        <w:spacing w:after="60"/>
      </w:pPr>
      <w:r>
        <w:rPr>
          <w:b/>
          <w:color w:val="B31822"/>
          <w:sz w:val="20"/>
        </w:rPr>
        <w:t xml:space="preserve">2026-01-30   </w:t>
      </w:r>
      <w:r>
        <w:rPr>
          <w:sz w:val="20"/>
        </w:rPr>
        <w:t>National Cabinet agreed a new public hospital funding deal with A$25 billion in additional Commonwealth public hospital funding.</w:t>
      </w:r>
      <w:hyperlink r:id="rId20">
        <w:r>
          <w:rPr>
            <w:color w:val="B31822"/>
            <w:vertAlign w:val="superscript"/>
          </w:rPr>
          <w:t xml:space="preserve">8</w:t>
        </w:r>
      </w:hyperlink>
    </w:p>
    <w:p>
      <w:pPr>
        <w:widowControl/>
        <w:spacing w:after="60"/>
      </w:pPr>
      <w:r>
        <w:rPr>
          <w:b/>
          <w:color w:val="B31822"/>
          <w:sz w:val="20"/>
        </w:rPr>
        <w:t xml:space="preserve">2026-05-12   </w:t>
      </w:r>
      <w:r>
        <w:rPr>
          <w:sz w:val="20"/>
        </w:rPr>
        <w:t>The Budget removes the age-based uplift of the private health insurance rebate from 1 April 2027.</w:t>
      </w:r>
      <w:hyperlink r:id="rId30">
        <w:r>
          <w:rPr>
            <w:color w:val="B31822"/>
            <w:vertAlign w:val="superscript"/>
          </w:rPr>
          <w:t xml:space="preserve">24</w:t>
        </w:r>
      </w:hyperlink>
    </w:p>
    <w:p>
      <w:pPr>
        <w:spacing w:after="60"/>
      </w:pPr>
      <w:r>
        <w:rPr>
          <w:b/>
          <w:color w:val="B31822"/>
          <w:sz w:val="20"/>
        </w:rPr>
        <w:t xml:space="preserve">2026-09-14   </w:t>
      </w:r>
      <w:r>
        <w:rPr>
          <w:sz w:val="20"/>
        </w:rPr>
        <w:t>Healthscope's 25 hospitals will be divided among four operators, with Calvary Health Care taking 14.</w:t>
      </w:r>
      <w:hyperlink r:id="rId37">
        <w:r>
          <w:rPr>
            <w:color w:val="B31822"/>
            <w:vertAlign w:val="superscript"/>
          </w:rPr>
          <w:t xml:space="preserve">28</w:t>
        </w:r>
      </w:hyperlink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8"/>
      </w:rPr>
      <w:t xml:space="preserve">Cedars-Sinai International   </w:t>
    </w:r>
    <w:r>
      <w:rPr>
        <w:color w:val="6E6E6E"/>
        <w:sz w:val="18"/>
      </w:rPr>
      <w:fldChar w:fldCharType="begin"/>
    </w:r>
    <w:r>
      <w:rPr>
        <w:color w:val="6E6E6E"/>
        <w:sz w:val="18"/>
      </w:rPr>
      <w:instrText xml:space="preserve"> PAGE </w:instrText>
    </w:r>
    <w:r>
      <w:rPr>
        <w:color w:val="6E6E6E"/>
        <w:sz w:val="18"/>
      </w:rPr>
      <w:fldChar w:fldCharType="separate"/>
    </w:r>
    <w:r>
      <w:rPr>
        <w:color w:val="6E6E6E"/>
        <w:sz w:val="18"/>
      </w:rPr>
      <w:t/>
    </w:r>
    <w:r>
      <w:rPr>
        <w:color w:val="6E6E6E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242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D91F2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B318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hyperlink" Target="https://www.abs.gov.au/media-centre/media-releases/australias-population-grows-14-march-2026" TargetMode="External"/><Relationship Id="rId12" Type="http://schemas.openxmlformats.org/officeDocument/2006/relationships/hyperlink" Target="https://api.worldbank.org/v2/country/AUS/indicator/NY.GDP.PCAP.PP.CD?format=json&amp;per_page=80&amp;date=2008:2025" TargetMode="External"/><Relationship Id="rId13" Type="http://schemas.openxmlformats.org/officeDocument/2006/relationships/hyperlink" Target="https://api.worldbank.org/v2/country/AUS/indicator/SH.XPD.CHEX.GD.ZS?format=json&amp;per_page=80&amp;date=2008:2025" TargetMode="External"/><Relationship Id="rId14" Type="http://schemas.openxmlformats.org/officeDocument/2006/relationships/hyperlink" Target="https://api.worldbank.org/v2/country/AUS/indicator/SH.XPD.OOPC.CH.ZS?format=json&amp;per_page=80&amp;date=2008:2025" TargetMode="External"/><Relationship Id="rId15" Type="http://schemas.openxmlformats.org/officeDocument/2006/relationships/hyperlink" Target="https://api.worldbank.org/v2/country/AUS/indicator/SH.MED.PHYS.ZS?format=json&amp;per_page=80&amp;date=2008:2025" TargetMode="External"/><Relationship Id="rId16" Type="http://schemas.openxmlformats.org/officeDocument/2006/relationships/hyperlink" Target="https://www.pc.gov.au/ongoing/report-on-government-services/health/public-hospitals" TargetMode="External"/><Relationship Id="rId17" Type="http://schemas.openxmlformats.org/officeDocument/2006/relationships/hyperlink" Target="https://www.abs.gov.au/media-centre/media-releases/dementia-australias-leading-cause-death" TargetMode="External"/><Relationship Id="rId18" Type="http://schemas.openxmlformats.org/officeDocument/2006/relationships/hyperlink" Target="https://www.apra.gov.au/node/62468" TargetMode="External"/><Relationship Id="rId19" Type="http://schemas.openxmlformats.org/officeDocument/2006/relationships/hyperlink" Target="https://peo.gov.au/understand-our-parliament/parliament-house/australias-parliament-house" TargetMode="External"/><Relationship Id="rId20" Type="http://schemas.openxmlformats.org/officeDocument/2006/relationships/hyperlink" Target="https://www.pm.gov.au/media/record-funding-public-hospitals-and-disability-reform" TargetMode="External"/><Relationship Id="rId21" Type="http://schemas.openxmlformats.org/officeDocument/2006/relationships/hyperlink" Target="https://results.aec.gov.au/31496/Website/HouseDefault-31496.htm" TargetMode="External"/><Relationship Id="rId22" Type="http://schemas.openxmlformats.org/officeDocument/2006/relationships/hyperlink" Target="https://www.markbutler.net.au/news/media-releases/more-university-places-for-future-australian-doctors" TargetMode="External"/><Relationship Id="rId23" Type="http://schemas.openxmlformats.org/officeDocument/2006/relationships/hyperlink" Target="https://www.commonwealthfund.org/sites/default/files/2026-05/2026_Country-Profiles_Australia.pdf" TargetMode="External"/><Relationship Id="rId24" Type="http://schemas.openxmlformats.org/officeDocument/2006/relationships/hyperlink" Target="https://api.worldbank.org/v2/country/AUS/indicator/SP.URB.TOTL.IN.ZS?format=json&amp;per_page=80&amp;date=2008:2025" TargetMode="External"/><Relationship Id="rId25" Type="http://schemas.openxmlformats.org/officeDocument/2006/relationships/hyperlink" Target="https://api.worldbank.org/v2/country/AUS/indicator/SP.POP.65UP.TO.ZS?format=json&amp;per_page=80&amp;date=2008:2025" TargetMode="External"/><Relationship Id="rId26" Type="http://schemas.openxmlformats.org/officeDocument/2006/relationships/hyperlink" Target="https://api.worldbank.org/v2/country/AUS/indicator/SP.DYN.LE00.IN?format=json&amp;per_page=80&amp;date=2008:2025" TargetMode="External"/><Relationship Id="rId27" Type="http://schemas.openxmlformats.org/officeDocument/2006/relationships/hyperlink" Target="https://budget.gov.au/content/bp1/download/bp1_2026-27.pdf" TargetMode="External"/><Relationship Id="rId28" Type="http://schemas.openxmlformats.org/officeDocument/2006/relationships/hyperlink" Target="https://api.worldbank.org/v2/country/AUS;NZL;CAN;GBR;USA;SGP;OED/indicator/SH.XPD.CHEX.GD.ZS?format=json&amp;per_page=500&amp;date=2023:2023" TargetMode="External"/><Relationship Id="rId29" Type="http://schemas.openxmlformats.org/officeDocument/2006/relationships/hyperlink" Target="https://www.aihw.gov.au/news-media/media-releases/2026/2026-october/hospital-spending-tops-123b-as-growth-outpaces-spending-on-primary-health-care-and-prevention" TargetMode="External"/><Relationship Id="rId30" Type="http://schemas.openxmlformats.org/officeDocument/2006/relationships/hyperlink" Target="https://budget.gov.au/content/bp2/download/bp2_2026-27.pdf" TargetMode="External"/><Relationship Id="rId31" Type="http://schemas.openxmlformats.org/officeDocument/2006/relationships/hyperlink" Target="https://www.markbutler.net.au/news/media-releases/delivering-the-bulk-billing-incentive-program" TargetMode="External"/><Relationship Id="rId32" Type="http://schemas.openxmlformats.org/officeDocument/2006/relationships/hyperlink" Target="https://nwmphn.org.au/for-primary-care/primary-care-reform/bulk-billing-practice-incentive-program/" TargetMode="External"/><Relationship Id="rId33" Type="http://schemas.openxmlformats.org/officeDocument/2006/relationships/image" Target="media/image2.png"/><Relationship Id="rId34" Type="http://schemas.openxmlformats.org/officeDocument/2006/relationships/image" Target="media/image3.png"/><Relationship Id="rId35" Type="http://schemas.openxmlformats.org/officeDocument/2006/relationships/hyperlink" Target="https://api.worldbank.org/v2/country/AUS;NZL;CAN;GBR;USA;SGP;OED;WLD/indicator/SH.MED.PHYS.ZS?format=json&amp;per_page=500&amp;date=2019:2025" TargetMode="External"/><Relationship Id="rId36" Type="http://schemas.openxmlformats.org/officeDocument/2006/relationships/hyperlink" Target="https://www.ramsayhealth.com" TargetMode="External"/><Relationship Id="rId37" Type="http://schemas.openxmlformats.org/officeDocument/2006/relationships/hyperlink" Target="https://www.abc.net.au/news/2026-09-14/healthscope-split-receivers-calvary-healthe-consortium/107151964" TargetMode="External"/><Relationship Id="rId38" Type="http://schemas.openxmlformats.org/officeDocument/2006/relationships/hyperlink" Target="https://physicianresources.dana-farber.org/news/new-international-partnership-to-accelerate-search-for-cancer-cures" TargetMode="External"/><Relationship Id="rId39" Type="http://schemas.openxmlformats.org/officeDocument/2006/relationships/hyperlink" Target="https://www.christie.nhs.uk/about-us/news-at-the-christie/latest-news-stories/partnership-agreement-celebrates-collaboration-between-leading-australian-and-uk-cancer-centres" TargetMode="External"/><Relationship Id="rId40" Type="http://schemas.openxmlformats.org/officeDocument/2006/relationships/image" Target="media/image4.png"/><Relationship Id="rId41" Type="http://schemas.openxmlformats.org/officeDocument/2006/relationships/hyperlink" Target="https://api.worldbank.org/v2/country/AUS/indicator/SH.MED.BEDS.ZS?format=json&amp;per_page=80&amp;date=2008:2025" TargetMode="External"/><Relationship Id="rId42" Type="http://schemas.openxmlformats.org/officeDocument/2006/relationships/image" Target="media/image5.png"/><Relationship Id="rId43" Type="http://schemas.openxmlformats.org/officeDocument/2006/relationships/hyperlink" Target="https://www.medicalrepublic.com.au/80-of-ahpras-fast-track-doctors-working-in-cities/119365" TargetMode="External"/><Relationship Id="rId44" Type="http://schemas.openxmlformats.org/officeDocument/2006/relationships/hyperlink" Target="https://www.abs.gov.au/statistics/health/health-conditions-and-risks/national-health-survey/latest-rele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