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Nigeria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1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er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Anass Sedrati, CC BY-SA 4.0,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Nigeria country profile (2026-10-21). Superscript numbers refer to the numbered sources in Nigeria_Profile_DRAFT_SOURCES.docx.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t>At a Glance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237.5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2025 estimate</w:t>
            </w:r>
            <w:hyperlink r:id="rId11">
              <w:r>
                <w:rPr>
                  <w:color w:val="B31822"/>
                  <w:vertAlign w:val="superscript"/>
                </w:rPr>
                <w:t xml:space="preserve">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9,530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capita, PPP (international dollars),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5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4.19%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Current health expenditure, share of GDP, 2023</w:t>
            </w:r>
            <w:hyperlink r:id="rId13">
              <w:r>
                <w:rPr>
                  <w:color w:val="B31822"/>
                  <w:vertAlign w:val="superscript"/>
                </w:rPr>
                <w:t xml:space="preserve">47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71.9%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current health expenditure, 2023</w:t>
            </w:r>
            <w:hyperlink r:id="rId14">
              <w:r>
                <w:rPr>
                  <w:color w:val="B31822"/>
                  <w:vertAlign w:val="superscript"/>
                </w:rPr>
                <w:t xml:space="preserve">43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0.38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 people, 2023</w:t>
            </w:r>
            <w:hyperlink r:id="rId15">
              <w:r>
                <w:rPr>
                  <w:color w:val="B31822"/>
                  <w:vertAlign w:val="superscript"/>
                </w:rPr>
                <w:t xml:space="preserve">59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54.6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Life expectancy at birth, years, 2024</w:t>
            </w:r>
            <w:hyperlink r:id="rId16">
              <w:r>
                <w:rPr>
                  <w:color w:val="B31822"/>
                  <w:vertAlign w:val="superscript"/>
                </w:rPr>
                <w:t xml:space="preserve">10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115.6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Under-five deaths per 1,000 live births, 2024</w:t>
            </w:r>
            <w:hyperlink r:id="rId17">
              <w:r>
                <w:rPr>
                  <w:color w:val="B31822"/>
                  <w:vertAlign w:val="superscript"/>
                </w:rPr>
                <w:t xml:space="preserve">33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23 m+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Health insurance enrollment, September 2026</w:t>
            </w:r>
            <w:hyperlink r:id="rId18">
              <w:r>
                <w:rPr>
                  <w:color w:val="B31822"/>
                  <w:vertAlign w:val="superscript"/>
                </w:rPr>
                <w:t xml:space="preserve">39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B31822"/>
          <w:sz w:val="24"/>
        </w:rPr>
        <w:t>Country background</w:t>
      </w:r>
    </w:p>
    <w:p>
      <w:pPr>
        <w:widowControl/>
      </w:pPr>
      <w:r>
        <w:rPr>
          <w:sz w:val="21"/>
        </w:rPr>
        <w:t>Nigeria, a federal presidential republic of 36 states and the Federal Capital Territory, Abuja, had about 237.5 million people in 2025.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11">
        <w:r>
          <w:rPr>
            <w:color w:val="B31822"/>
            <w:vertAlign w:val="superscript"/>
          </w:rPr>
          <w:t xml:space="preserve">2,</w:t>
        </w:r>
      </w:hyperlink>
      <w:hyperlink r:id="rId20">
        <w:r>
          <w:rPr>
            <w:color w:val="B31822"/>
            <w:vertAlign w:val="superscript"/>
          </w:rPr>
          <w:t xml:space="preserve">6</w:t>
        </w:r>
      </w:hyperlink>
      <w:r>
        <w:rPr>
          <w:sz w:val="21"/>
        </w:rPr>
        <w:t xml:space="preserve"> Bola Tinubu has been president since 29 May 2023, and Muhammad Ali Pate is Coordinating Minister of Health and Social Welfare.</w:t>
      </w:r>
      <w:hyperlink r:id="rId20">
        <w:r>
          <w:rPr>
            <w:color w:val="B31822"/>
            <w:vertAlign w:val="superscript"/>
          </w:rPr>
          <w:t xml:space="preserve">6,</w:t>
        </w:r>
      </w:hyperlink>
      <w:hyperlink r:id="rId21">
        <w:r>
          <w:rPr>
            <w:color w:val="B31822"/>
            <w:vertAlign w:val="superscript"/>
          </w:rPr>
          <w:t xml:space="preserve">15,</w:t>
        </w:r>
      </w:hyperlink>
      <w:hyperlink r:id="rId22">
        <w:r>
          <w:rPr>
            <w:color w:val="B31822"/>
            <w:vertAlign w:val="superscript"/>
          </w:rPr>
          <w:t xml:space="preserve">17,</w:t>
        </w:r>
      </w:hyperlink>
      <w:hyperlink r:id="rId23">
        <w:r>
          <w:rPr>
            <w:color w:val="B31822"/>
            <w:vertAlign w:val="superscript"/>
          </w:rPr>
          <w:t xml:space="preserve">18</w:t>
        </w:r>
      </w:hyperlink>
      <w:r>
        <w:rPr>
          <w:sz w:val="21"/>
        </w:rPr>
        <w:t xml:space="preserve"> The federal government sets regulation, while states and local governments run general hospitals and primary health care centers.</w:t>
      </w:r>
      <w:hyperlink r:id="rId24">
        <w:r>
          <w:rPr>
            <w:color w:val="B31822"/>
            <w:vertAlign w:val="superscript"/>
          </w:rPr>
          <w:t xml:space="preserve">19</w:t>
        </w:r>
      </w:hyperlink>
      <w:r>
        <w:rPr>
          <w:sz w:val="21"/>
        </w:rPr>
        <w:t xml:space="preserve"> Real GDP grew 4.2 percent in the first half of 2026, and inflation eased to 14.63 percent in September 2026.</w:t>
      </w:r>
      <w:hyperlink r:id="rId20">
        <w:r>
          <w:rPr>
            <w:color w:val="B31822"/>
            <w:vertAlign w:val="superscript"/>
          </w:rPr>
          <w:t xml:space="preserve">6,</w:t>
        </w:r>
      </w:hyperlink>
      <w:hyperlink r:id="rId25">
        <w:r>
          <w:rPr>
            <w:color w:val="B31822"/>
            <w:vertAlign w:val="superscript"/>
          </w:rPr>
          <w:t xml:space="preserve">20</w:t>
        </w:r>
      </w:hyperlink>
      <w:r>
        <w:rPr>
          <w:sz w:val="21"/>
        </w:rPr>
        <w:t xml:space="preserve"> The population is young, with 40.5 percent under 15, and life expectancy at birth was 54.6 years in 2024.</w:t>
      </w:r>
      <w:hyperlink r:id="rId16">
        <w:r>
          <w:rPr>
            <w:color w:val="B31822"/>
            <w:vertAlign w:val="superscript"/>
          </w:rPr>
          <w:t xml:space="preserve">10,</w:t>
        </w:r>
      </w:hyperlink>
      <w:hyperlink r:id="rId26">
        <w:r>
          <w:rPr>
            <w:color w:val="B31822"/>
            <w:vertAlign w:val="superscript"/>
          </w:rPr>
          <w:t xml:space="preserve">13</w:t>
        </w:r>
      </w:hyperlink>
      <w:r>
        <w:rPr>
          <w:sz w:val="21"/>
        </w:rPr>
        <w:t xml:space="preserve"> The key risk is affordability: an estimated 69.6 percent of Nigerians lived below $4.20 a day in 2025, and households paid most health costs.</w:t>
      </w:r>
      <w:hyperlink r:id="rId20">
        <w:r>
          <w:rPr>
            <w:color w:val="B31822"/>
            <w:vertAlign w:val="superscript"/>
          </w:rPr>
          <w:t xml:space="preserve">6,</w:t>
        </w:r>
      </w:hyperlink>
      <w:hyperlink r:id="rId14">
        <w:r>
          <w:rPr>
            <w:color w:val="B31822"/>
            <w:vertAlign w:val="superscript"/>
          </w:rPr>
          <w:t xml:space="preserve">43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Out-of-pocket payments made up 71.9 percent of current health spending in 2023.</w:t>
      </w:r>
      <w:hyperlink r:id="rId14">
        <w:r>
          <w:rPr>
            <w:color w:val="B31822"/>
            <w:vertAlign w:val="superscript"/>
          </w:rPr>
          <w:t xml:space="preserve">43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Practicing doctors fell 16.9 percent to about 55,000 in 2025, largely because of emigration.</w:t>
      </w:r>
      <w:hyperlink r:id="rId27">
        <w:r>
          <w:rPr>
            <w:color w:val="B31822"/>
            <w:vertAlign w:val="superscript"/>
          </w:rPr>
          <w:t xml:space="preserve">60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Communicable, maternal, prenatal and nutritional conditions caused 63.7 percent of deaths in 2021, and noncommunicable diseases 27.7 percent.</w:t>
      </w:r>
      <w:hyperlink r:id="rId28">
        <w:r>
          <w:rPr>
            <w:color w:val="B31822"/>
            <w:vertAlign w:val="superscript"/>
          </w:rPr>
          <w:t xml:space="preserve">26,</w:t>
        </w:r>
      </w:hyperlink>
      <w:hyperlink r:id="rId29">
        <w:r>
          <w:rPr>
            <w:color w:val="B31822"/>
            <w:vertAlign w:val="superscript"/>
          </w:rPr>
          <w:t xml:space="preserve">27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Health insurance enrollment passed 23 million in September 2026, roughly 10 percent of the 2025 population.</w:t>
      </w:r>
      <w:hyperlink r:id="rId11">
        <w:r>
          <w:rPr>
            <w:color w:val="B31822"/>
            <w:vertAlign w:val="superscript"/>
          </w:rPr>
          <w:t xml:space="preserve">2,</w:t>
        </w:r>
      </w:hyperlink>
      <w:hyperlink r:id="rId18">
        <w:r>
          <w:rPr>
            <w:color w:val="B31822"/>
            <w:vertAlign w:val="superscript"/>
          </w:rPr>
          <w:t xml:space="preserve">39</w:t>
        </w:r>
      </w:hyperlink>
    </w:p>
    <w:p>
      <w:pPr>
        <w:pStyle w:val="Heading1"/>
        <w:keepNext/>
        <w:widowControl/>
        <w:spacing w:before="280" w:after="80"/>
      </w:pPr>
      <w:r>
        <w:t>Health System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Health spending was 4.19 percent of GDP in 2023, below Kenya, Egypt and South Africa.</w:t>
      </w:r>
      <w:hyperlink r:id="rId13">
        <w:r>
          <w:rPr>
            <w:color w:val="B31822"/>
            <w:vertAlign w:val="superscript"/>
          </w:rPr>
          <w:t xml:space="preserve">47,</w:t>
        </w:r>
      </w:hyperlink>
      <w:hyperlink r:id="rId30">
        <w:r>
          <w:rPr>
            <w:color w:val="B31822"/>
            <w:vertAlign w:val="superscript"/>
          </w:rPr>
          <w:t xml:space="preserve">52</w:t>
        </w:r>
      </w:hyperlink>
    </w:p>
    <w:p>
      <w:pPr>
        <w:pStyle w:val="ListBullet"/>
        <w:widowControl/>
        <w:spacing w:after="60"/>
      </w:pPr>
      <w:r>
        <w:rPr>
          <w:sz w:val="21"/>
        </w:rPr>
        <w:t>Of 40,368 hospitals and clinics counted in mid-2021, 85.2 percent were primary and only 0.4 percent tertiary.</w:t>
      </w:r>
      <w:hyperlink r:id="rId24">
        <w:r>
          <w:rPr>
            <w:color w:val="B31822"/>
            <w:vertAlign w:val="superscript"/>
          </w:rPr>
          <w:t xml:space="preserve">19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United States intends to provide $2.1 billion over five years under a December 2025 health memorandum.</w:t>
      </w:r>
      <w:hyperlink r:id="rId31">
        <w:r>
          <w:rPr>
            <w:color w:val="B31822"/>
            <w:vertAlign w:val="superscript"/>
          </w:rPr>
          <w:t xml:space="preserve">58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Nigeria: health spending and out-of-pocket share,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expenditure. Sources: </w:t>
      </w:r>
      <w:hyperlink r:id="rId33">
        <w:r>
          <w:rPr>
            <w:color w:val="B31822"/>
            <w:vertAlign w:val="superscript"/>
          </w:rPr>
          <w:t xml:space="preserve">93,</w:t>
        </w:r>
      </w:hyperlink>
      <w:hyperlink r:id="rId34">
        <w:r>
          <w:rPr>
            <w:color w:val="B31822"/>
            <w:vertAlign w:val="superscript"/>
          </w:rPr>
          <w:t xml:space="preserve">94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Nigeria and comparators (latest year available)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4077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year available for each country or group in the World Bank series, shown in brackets; comparison years differ (2020 to 2023). Sources: </w:t>
      </w:r>
      <w:hyperlink r:id="rId36">
        <w:r>
          <w:rPr>
            <w:color w:val="B31822"/>
            <w:vertAlign w:val="superscript"/>
          </w:rPr>
          <w:t xml:space="preserve">62</w:t>
        </w:r>
      </w:hyperlink>
    </w:p>
    <w:p>
      <w:pPr>
        <w:pStyle w:val="Heading1"/>
        <w:keepNext/>
        <w:widowControl/>
        <w:spacing w:before="280" w:after="80"/>
      </w:pPr>
      <w:r>
        <w:t>Market and Competition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Evercare built the 165-bed Evercare Hospital Lekki in Lagos, and Padiyath Healthcare is building a 300-bed hospital in Abuja.</w:t>
      </w:r>
      <w:hyperlink r:id="rId37">
        <w:r>
          <w:rPr>
            <w:color w:val="B31822"/>
            <w:vertAlign w:val="superscript"/>
          </w:rPr>
          <w:t xml:space="preserve">44,</w:t>
        </w:r>
      </w:hyperlink>
      <w:hyperlink r:id="rId38">
        <w:r>
          <w:rPr>
            <w:color w:val="B31822"/>
            <w:vertAlign w:val="superscript"/>
          </w:rPr>
          <w:t xml:space="preserve">45</w:t>
        </w:r>
      </w:hyperlink>
    </w:p>
    <w:p>
      <w:pPr>
        <w:pStyle w:val="ListBullet"/>
        <w:widowControl/>
        <w:spacing w:after="60"/>
      </w:pPr>
      <w:r>
        <w:rPr>
          <w:sz w:val="21"/>
        </w:rPr>
        <w:t>UVA Health supports the kidney transplant program at Federal Medical Centre Umuahia, one of several active U.S. academic ties.</w:t>
      </w:r>
      <w:hyperlink r:id="rId39">
        <w:r>
          <w:rPr>
            <w:color w:val="B31822"/>
            <w:vertAlign w:val="superscript"/>
          </w:rPr>
          <w:t xml:space="preserve">68</w:t>
        </w:r>
      </w:hyperlink>
    </w:p>
    <w:p>
      <w:pPr>
        <w:pStyle w:val="ListBullet"/>
        <w:widowControl/>
        <w:spacing w:after="60"/>
      </w:pPr>
      <w:r>
        <w:rPr>
          <w:sz w:val="21"/>
        </w:rPr>
        <w:t>Central Bank data show $549 million of health travel spending in the first nine months of 2025, up 18 percent.</w:t>
      </w:r>
      <w:hyperlink r:id="rId40">
        <w:r>
          <w:rPr>
            <w:color w:val="B31822"/>
            <w:vertAlign w:val="superscript"/>
          </w:rPr>
          <w:t xml:space="preserve">88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Nigeria: private health spending per person,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Domestic private health expenditure per capita in current US dollars (mostly household out-of-pocket payments); values move with the naira exchange rate. Sources: </w:t>
      </w:r>
      <w:hyperlink r:id="rId42">
        <w:r>
          <w:rPr>
            <w:color w:val="B31822"/>
            <w:vertAlign w:val="superscript"/>
          </w:rPr>
          <w:t xml:space="preserve">95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Foreign health systems active in Nigeria</w:t>
      </w:r>
    </w:p>
    <w:p>
      <w:pPr>
        <w:widowControl/>
      </w:pPr>
      <w:r>
        <w:rPr>
          <w:sz w:val="20"/>
        </w:rPr>
        <w:t>19 foreign institutions with confirmed active partnerships (21 in all): 7 training and education, 7 research collaboration, 3 advisory and consulting, 3 clinical affiliation, 1 ownership or management.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26308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eria_partnerships_m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63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Nigeria. Source: CSI partnerships tracker, verified 2026-10-21.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Johns Hopkins University (Johns Hopkins Hospital)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Mayo Clinic (Mayo Clinic Global Consulting)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Advisory and consulting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Memorial Sloan Kettering Cancer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St. Jude Children's Research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Illinois Chicago (UIC School of Public Health)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Maryland School of Medicine (Institute of Human Virology)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Miami (Sylvester Comprehensive Cancer Center)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Virginia Health System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Vanderbilt University Medical Center (Vanderbilt Institute for Global Health)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Virginia Commonwealth University (VCU Massey Comprehensive Cancer Center)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Evercare Group (owned at its 2021 launch by the TPG-managed Evercare Health Fund)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King's College Hospital NHS Foundation Trust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Advisory and consulting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King's College London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Liverpool School of Tropical Medicine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Manipal Hospitals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Christie NHS Foundation Trust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Advisory and consulting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Royal Marsden NHS Foundation Trust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Birmingham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Glasgow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CSI partnerships in Nigeria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Presidential and National Assembly elections on 16 January 2027 could change federal priorities.</w:t>
      </w:r>
      <w:hyperlink r:id="rId44">
        <w:r>
          <w:rPr>
            <w:color w:val="B31822"/>
            <w:vertAlign w:val="superscript"/>
          </w:rPr>
          <w:t xml:space="preserve">16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In 2024, 4,193 doctors and dentists emigrated, and 72.9 percent of surveyed medical and nursing students intended to practice abroad.</w:t>
      </w:r>
      <w:hyperlink r:id="rId27">
        <w:r>
          <w:rPr>
            <w:color w:val="B31822"/>
            <w:vertAlign w:val="superscript"/>
          </w:rPr>
          <w:t xml:space="preserve">60,</w:t>
        </w:r>
      </w:hyperlink>
      <w:hyperlink r:id="rId45">
        <w:r>
          <w:rPr>
            <w:color w:val="B31822"/>
            <w:vertAlign w:val="superscript"/>
          </w:rPr>
          <w:t xml:space="preserve">64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2026 budget proposal gave health N2.48 trillion (US$1.86 billion), about 4.2 percent, below the Abuja Declaration's 15 percent target.</w:t>
      </w:r>
      <w:hyperlink r:id="rId46">
        <w:r>
          <w:rPr>
            <w:color w:val="B31822"/>
            <w:vertAlign w:val="superscript"/>
          </w:rPr>
          <w:t xml:space="preserve">53,</w:t>
        </w:r>
      </w:hyperlink>
      <w:hyperlink r:id="rId47">
        <w:r>
          <w:rPr>
            <w:color w:val="B31822"/>
            <w:vertAlign w:val="superscript"/>
          </w:rPr>
          <w:t xml:space="preserve">54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B31822"/>
          <w:sz w:val="20"/>
        </w:rPr>
        <w:t xml:space="preserve">2026-02-03   </w:t>
      </w:r>
      <w:r>
        <w:rPr>
          <w:sz w:val="20"/>
        </w:rPr>
        <w:t>The IFC and NSIA financed MedServe's $154.1 million project for diagnostic, radiotherapy and cardiac catheterization centers.</w:t>
      </w:r>
      <w:hyperlink r:id="rId48">
        <w:r>
          <w:rPr>
            <w:color w:val="B31822"/>
            <w:vertAlign w:val="superscript"/>
          </w:rPr>
          <w:t xml:space="preserve">46</w:t>
        </w:r>
      </w:hyperlink>
    </w:p>
    <w:p>
      <w:pPr>
        <w:widowControl/>
        <w:spacing w:after="60"/>
      </w:pPr>
      <w:r>
        <w:rPr>
          <w:b/>
          <w:color w:val="B31822"/>
          <w:sz w:val="20"/>
        </w:rPr>
        <w:t xml:space="preserve">2026-07-09   </w:t>
      </w:r>
      <w:r>
        <w:rPr>
          <w:sz w:val="20"/>
        </w:rPr>
        <w:t>Health insurance enrollment reached 22.03 million, up 35 percent in a year, as mandatory provisions are phased in.</w:t>
      </w:r>
      <w:hyperlink r:id="rId49">
        <w:r>
          <w:rPr>
            <w:color w:val="B31822"/>
            <w:vertAlign w:val="superscript"/>
          </w:rPr>
          <w:t xml:space="preserve">38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2026-10-20   </w:t>
      </w:r>
      <w:r>
        <w:rPr>
          <w:sz w:val="20"/>
        </w:rPr>
        <w:t>Nigeria confirmed an imported Ebola Bundibugyo case in Abuja, and 44 contacts are being monitored.</w:t>
      </w:r>
      <w:hyperlink r:id="rId50">
        <w:r>
          <w:rPr>
            <w:color w:val="B31822"/>
            <w:vertAlign w:val="superscript"/>
          </w:rPr>
          <w:t xml:space="preserve">91,</w:t>
        </w:r>
      </w:hyperlink>
      <w:hyperlink r:id="rId51">
        <w:r>
          <w:rPr>
            <w:color w:val="B31822"/>
            <w:vertAlign w:val="superscript"/>
          </w:rPr>
          <w:t xml:space="preserve">92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api.worldbank.org/v2/country/NGA/indicator/SP.POP.TOTL?format=json&amp;per_page=1000&amp;date=2010:2025" TargetMode="External"/><Relationship Id="rId12" Type="http://schemas.openxmlformats.org/officeDocument/2006/relationships/hyperlink" Target="https://api.worldbank.org/v2/country/NGA/indicator/NY.GDP.PCAP.PP.CD?format=json&amp;per_page=1000&amp;date=2010:2025" TargetMode="External"/><Relationship Id="rId13" Type="http://schemas.openxmlformats.org/officeDocument/2006/relationships/hyperlink" Target="https://api.worldbank.org/v2/country/NGA/indicator/SH.XPD.CHEX.GD.ZS?format=json&amp;per_page=1000&amp;date=2010:2025" TargetMode="External"/><Relationship Id="rId14" Type="http://schemas.openxmlformats.org/officeDocument/2006/relationships/hyperlink" Target="https://api.worldbank.org/v2/country/NGA/indicator/SH.XPD.OOPC.CH.ZS?format=json&amp;per_page=1000&amp;date=2010:2025" TargetMode="External"/><Relationship Id="rId15" Type="http://schemas.openxmlformats.org/officeDocument/2006/relationships/hyperlink" Target="https://api.worldbank.org/v2/country/NGA/indicator/SH.MED.PHYS.ZS?format=json&amp;per_page=1000&amp;date=2010:2025" TargetMode="External"/><Relationship Id="rId16" Type="http://schemas.openxmlformats.org/officeDocument/2006/relationships/hyperlink" Target="https://api.worldbank.org/v2/country/NGA/indicator/SP.DYN.LE00.IN?format=json&amp;per_page=1000&amp;date=2010:2025" TargetMode="External"/><Relationship Id="rId17" Type="http://schemas.openxmlformats.org/officeDocument/2006/relationships/hyperlink" Target="https://api.worldbank.org/v2/country/NGA/indicator/SH.DYN.MORT?format=json&amp;per_page=1000&amp;date=2010:2025" TargetMode="External"/><Relationship Id="rId18" Type="http://schemas.openxmlformats.org/officeDocument/2006/relationships/hyperlink" Target="https://www.thisdaylive.com/2026/09/21/nhia-enrolment-hits-23m-expands-disease-cover/" TargetMode="External"/><Relationship Id="rId19" Type="http://schemas.openxmlformats.org/officeDocument/2006/relationships/hyperlink" Target="https://www.constituteproject.org/constitution/Nigeria_2011" TargetMode="External"/><Relationship Id="rId20" Type="http://schemas.openxmlformats.org/officeDocument/2006/relationships/hyperlink" Target="https://www.worldbank.org/en/country/nigeria/overview" TargetMode="External"/><Relationship Id="rId21" Type="http://schemas.openxmlformats.org/officeDocument/2006/relationships/hyperlink" Target="https://www.aljazeera.com/news/2023/5/29/tinubu-sworn-in-as-nigerias-president-succeeds-buhari" TargetMode="External"/><Relationship Id="rId22" Type="http://schemas.openxmlformats.org/officeDocument/2006/relationships/hyperlink" Target="https://fmino.gov.ng/?p=43744" TargetMode="External"/><Relationship Id="rId23" Type="http://schemas.openxmlformats.org/officeDocument/2006/relationships/hyperlink" Target="https://www.thisdaylive.com/2026/09/06/tinubu-eulogises-health-minister-ali-pate-at-58/" TargetMode="External"/><Relationship Id="rId24" Type="http://schemas.openxmlformats.org/officeDocument/2006/relationships/hyperlink" Target="https://oxfordbusinessgroup.com/report-article/nigeria-health-care-overview/" TargetMode="External"/><Relationship Id="rId25" Type="http://schemas.openxmlformats.org/officeDocument/2006/relationships/hyperlink" Target="https://nairametrics.com/2026/10/15/nigerias-inflation-drops-to-14-63-in-september-2026-nbs/" TargetMode="External"/><Relationship Id="rId26" Type="http://schemas.openxmlformats.org/officeDocument/2006/relationships/hyperlink" Target="https://api.worldbank.org/v2/country/NGA/indicator/SP.POP.0014.TO.ZS?format=json&amp;per_page=1000&amp;date=2010:2025" TargetMode="External"/><Relationship Id="rId27" Type="http://schemas.openxmlformats.org/officeDocument/2006/relationships/hyperlink" Target="https://businessday.ng/?p=1077860" TargetMode="External"/><Relationship Id="rId28" Type="http://schemas.openxmlformats.org/officeDocument/2006/relationships/hyperlink" Target="https://api.worldbank.org/v2/country/NGA/indicator/SH.DTH.COMM.ZS?format=json&amp;per_page=1000&amp;date=2010:2025" TargetMode="External"/><Relationship Id="rId29" Type="http://schemas.openxmlformats.org/officeDocument/2006/relationships/hyperlink" Target="https://api.worldbank.org/v2/country/NGA/indicator/SH.DTH.NCOM.ZS?format=json&amp;per_page=1000&amp;date=2010:2025" TargetMode="External"/><Relationship Id="rId30" Type="http://schemas.openxmlformats.org/officeDocument/2006/relationships/hyperlink" Target="https://api.worldbank.org/v2/country/GHA;KEN;EGY;ETH;ZAF/indicator/SH.XPD.CHEX.GD.ZS?format=json&amp;per_page=1000&amp;date=2023:2023" TargetMode="External"/><Relationship Id="rId31" Type="http://schemas.openxmlformats.org/officeDocument/2006/relationships/hyperlink" Target="https://nannews.ng/u-s-signs-5-1bn-bilateral-healthcare-cooperation-with-nigeria/" TargetMode="External"/><Relationship Id="rId32" Type="http://schemas.openxmlformats.org/officeDocument/2006/relationships/image" Target="media/image2.png"/><Relationship Id="rId33" Type="http://schemas.openxmlformats.org/officeDocument/2006/relationships/hyperlink" Target="https://api.worldbank.org/v2/country/NGA/indicator/SH.XPD.CHEX.GD.ZS?format=json&amp;per_page=1000&amp;date=2012:2023" TargetMode="External"/><Relationship Id="rId34" Type="http://schemas.openxmlformats.org/officeDocument/2006/relationships/hyperlink" Target="https://api.worldbank.org/v2/country/NGA/indicator/SH.XPD.OOPC.CH.ZS?format=json&amp;per_page=1000&amp;date=2012:2023" TargetMode="External"/><Relationship Id="rId35" Type="http://schemas.openxmlformats.org/officeDocument/2006/relationships/image" Target="media/image3.png"/><Relationship Id="rId36" Type="http://schemas.openxmlformats.org/officeDocument/2006/relationships/hyperlink" Target="https://api.worldbank.org/v2/country/NGA;GHA;KEN;ZAF;EGY;ETH;SSF;WLD;GBR/indicator/SH.MED.PHYS.ZS?format=json&amp;per_page=1000&amp;date=2015:2026" TargetMode="External"/><Relationship Id="rId37" Type="http://schemas.openxmlformats.org/officeDocument/2006/relationships/hyperlink" Target="https://www.investmentmonitor.ai/real-estate/can-fdi-fix-nigerias-broken-healthcare-infrastructure" TargetMode="External"/><Relationship Id="rId38" Type="http://schemas.openxmlformats.org/officeDocument/2006/relationships/hyperlink" Target="https://www.thisdaylive.com/2024/11/25/india-firm-to-boost-nigerias-healthcare-with-100m-investment/" TargetMode="External"/><Relationship Id="rId39" Type="http://schemas.openxmlformats.org/officeDocument/2006/relationships/hyperlink" Target="https://news.med.virginia.edu/community/uva-nigeria-elevating-global-kidney-care/" TargetMode="External"/><Relationship Id="rId40" Type="http://schemas.openxmlformats.org/officeDocument/2006/relationships/hyperlink" Target="https://thesun.ng/checking-rising-medical-tourism/" TargetMode="External"/><Relationship Id="rId41" Type="http://schemas.openxmlformats.org/officeDocument/2006/relationships/image" Target="media/image4.png"/><Relationship Id="rId42" Type="http://schemas.openxmlformats.org/officeDocument/2006/relationships/hyperlink" Target="https://api.worldbank.org/v2/country/NGA/indicator/SH.XPD.PVTD.PC.CD?format=json&amp;per_page=1000&amp;date=2012:2023" TargetMode="External"/><Relationship Id="rId43" Type="http://schemas.openxmlformats.org/officeDocument/2006/relationships/image" Target="media/image5.png"/><Relationship Id="rId44" Type="http://schemas.openxmlformats.org/officeDocument/2006/relationships/hyperlink" Target="https://www.channelstv.com/2026/02/26/inec-releases-revised-election-timetable-presidential-poll-to-hold-jan-16/" TargetMode="External"/><Relationship Id="rId45" Type="http://schemas.openxmlformats.org/officeDocument/2006/relationships/hyperlink" Target="https://pmc.ncbi.nlm.nih.gov/articles/PMC12070749/" TargetMode="External"/><Relationship Id="rId46" Type="http://schemas.openxmlformats.org/officeDocument/2006/relationships/hyperlink" Target="https://businessday.ng/?p=1070527" TargetMode="External"/><Relationship Id="rId47" Type="http://schemas.openxmlformats.org/officeDocument/2006/relationships/hyperlink" Target="https://niser.gov.ng/v2/strengthening-human-capital-financing-for-productivity-and-inclusive-growth-policy-implications-of-nigerias-2026-federal-budget/" TargetMode="External"/><Relationship Id="rId48" Type="http://schemas.openxmlformats.org/officeDocument/2006/relationships/hyperlink" Target="https://www.ifc.org/en/pressroom/2026/ifc-and-nsia-to-scale-oncology-and-diagnostic-services-for-underserved-communities" TargetMode="External"/><Relationship Id="rId49" Type="http://schemas.openxmlformats.org/officeDocument/2006/relationships/hyperlink" Target="https://nannews.ng/nigerians-on-health-insurance-hit-22m-nhia/" TargetMode="External"/><Relationship Id="rId50" Type="http://schemas.openxmlformats.org/officeDocument/2006/relationships/hyperlink" Target="https://afro.who.int/countries/nigeria/news/nigeria-confirms-imported-case-ebola-bundibugyo-virus-disease" TargetMode="External"/><Relationship Id="rId51" Type="http://schemas.openxmlformats.org/officeDocument/2006/relationships/hyperlink" Target="https://www.premiumtimesng.com/health/health-news/918701-ebola-44-identified-contacts-to-stay-isolated-for-three-weeks-minis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