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40"/>
      </w:pPr>
      <w:r>
        <w:rPr>
          <w:b/>
          <w:color w:val="6E6E6E"/>
          <w:sz w:val="26"/>
        </w:rPr>
        <w:t>COUNTRY PROFILE &amp; MARKET INTELLIGENCE</w:t>
      </w:r>
    </w:p>
    <w:p>
      <w:pPr>
        <w:spacing w:after="560"/>
      </w:pPr>
      <w:r>
        <w:rPr>
          <w:b/>
          <w:color w:val="D91F2C"/>
          <w:sz w:val="80"/>
        </w:rPr>
        <w:t>India</w:t>
      </w:r>
    </w:p>
    <w:p>
      <w:r>
        <w:drawing>
          <wp:inline xmlns:a="http://schemas.openxmlformats.org/drawingml/2006/main" xmlns:pic="http://schemas.openxmlformats.org/drawingml/2006/picture">
            <wp:extent cx="5976000" cy="2689200"/>
            <wp:docPr id="1" name="Picture 1"/>
            <wp:cNvGraphicFramePr>
              <a:graphicFrameLocks noChangeAspect="1"/>
            </wp:cNvGraphicFramePr>
            <a:graphic>
              <a:graphicData uri="http://schemas.openxmlformats.org/drawingml/2006/picture">
                <pic:pic>
                  <pic:nvPicPr>
                    <pic:cNvPr id="0" name="India_cover_map.png"/>
                    <pic:cNvPicPr/>
                  </pic:nvPicPr>
                  <pic:blipFill>
                    <a:blip r:embed="rId10"/>
                    <a:stretch>
                      <a:fillRect/>
                    </a:stretch>
                  </pic:blipFill>
                  <pic:spPr>
                    <a:xfrm>
                      <a:off x="0" y="0"/>
                      <a:ext cx="5976000" cy="2689200"/>
                    </a:xfrm>
                    <a:prstGeom prst="rect"/>
                  </pic:spPr>
                </pic:pic>
              </a:graphicData>
            </a:graphic>
          </wp:inline>
        </w:drawing>
      </w:r>
    </w:p>
    <w:p>
      <w:pPr>
        <w:spacing w:before="480"/>
      </w:pPr>
      <w:r>
        <w:rPr>
          <w:i/>
          <w:color w:val="6E6E6E"/>
          <w:sz w:val="20"/>
        </w:rPr>
        <w:t>Draft prepared 2026-09-24. Superscript numbers refer to the numbered sources in the companion document, India_Profile_DRAFT_SOURCES.docx. The CSI Assessment section requires completion from Cedars-Sinai's internal data.</w:t>
      </w:r>
    </w:p>
    <w:p>
      <w:pPr>
        <w:spacing w:before="1200"/>
        <w:jc w:val="right"/>
      </w:pPr>
      <w:r>
        <w:rPr>
          <w:b/>
          <w:color w:val="6E6E6E"/>
          <w:sz w:val="22"/>
        </w:rPr>
        <w:t>Cedars-Sinai  |  INTERNATIONAL</w:t>
      </w:r>
    </w:p>
    <w:p>
      <w:r>
        <w:br w:type="page"/>
      </w:r>
    </w:p>
    <w:p>
      <w:pPr>
        <w:spacing w:after="280"/>
      </w:pPr>
      <w:r>
        <w:rPr>
          <w:color w:val="D91F2C"/>
          <w:sz w:val="40"/>
        </w:rPr>
        <w:t>Table of Contents</w:t>
      </w:r>
    </w:p>
    <w:p>
      <w:pPr>
        <w:tabs>
          <w:tab w:pos="9411" w:val="right" w:leader="dot"/>
        </w:tabs>
        <w:spacing w:after="120" w:before="160"/>
        <w:ind w:left="0"/>
      </w:pPr>
      <w:hyperlink w:anchor="_sec1">
        <w:r>
          <w:rPr>
            <w:b/>
          </w:rPr>
          <w:t xml:space="preserve">Country Overview</w:t>
        </w:r>
      </w:hyperlink>
      <w:r>
        <w:tab/>
      </w:r>
      <w:r>
        <w:fldChar w:fldCharType="begin"/>
      </w:r>
      <w:r>
        <w:instrText xml:space="preserve"> PAGEREF _sec1 \h </w:instrText>
      </w:r>
      <w:r>
        <w:fldChar w:fldCharType="separate"/>
      </w:r>
      <w:r>
        <w:t/>
      </w:r>
      <w:r>
        <w:fldChar w:fldCharType="end"/>
      </w:r>
    </w:p>
    <w:p>
      <w:pPr>
        <w:tabs>
          <w:tab w:pos="9411" w:val="right" w:leader="dot"/>
        </w:tabs>
        <w:spacing w:after="80" w:before="0"/>
        <w:ind w:left="340"/>
      </w:pPr>
      <w:hyperlink w:anchor="_sec2">
        <w:r>
          <w:rPr>
            <w:i/>
          </w:rPr>
          <w:t xml:space="preserve">Population and Demographics</w:t>
        </w:r>
      </w:hyperlink>
      <w:r>
        <w:tab/>
      </w:r>
      <w:r>
        <w:fldChar w:fldCharType="begin"/>
      </w:r>
      <w:r>
        <w:instrText xml:space="preserve"> PAGEREF _sec2 \h </w:instrText>
      </w:r>
      <w:r>
        <w:fldChar w:fldCharType="separate"/>
      </w:r>
      <w:r>
        <w:t/>
      </w:r>
      <w:r>
        <w:fldChar w:fldCharType="end"/>
      </w:r>
    </w:p>
    <w:p>
      <w:pPr>
        <w:tabs>
          <w:tab w:pos="9411" w:val="right" w:leader="dot"/>
        </w:tabs>
        <w:spacing w:after="80" w:before="0"/>
        <w:ind w:left="340"/>
      </w:pPr>
      <w:hyperlink w:anchor="_sec3">
        <w:r>
          <w:rPr>
            <w:i/>
          </w:rPr>
          <w:t xml:space="preserve">Government</w:t>
        </w:r>
      </w:hyperlink>
      <w:r>
        <w:tab/>
      </w:r>
      <w:r>
        <w:fldChar w:fldCharType="begin"/>
      </w:r>
      <w:r>
        <w:instrText xml:space="preserve"> PAGEREF _sec3 \h </w:instrText>
      </w:r>
      <w:r>
        <w:fldChar w:fldCharType="separate"/>
      </w:r>
      <w:r>
        <w:t/>
      </w:r>
      <w:r>
        <w:fldChar w:fldCharType="end"/>
      </w:r>
    </w:p>
    <w:p>
      <w:pPr>
        <w:tabs>
          <w:tab w:pos="9411" w:val="right" w:leader="dot"/>
        </w:tabs>
        <w:spacing w:after="80" w:before="0"/>
        <w:ind w:left="340"/>
      </w:pPr>
      <w:hyperlink w:anchor="_sec4">
        <w:r>
          <w:rPr>
            <w:i/>
          </w:rPr>
          <w:t xml:space="preserve">Economy</w:t>
        </w:r>
      </w:hyperlink>
      <w:r>
        <w:tab/>
      </w:r>
      <w:r>
        <w:fldChar w:fldCharType="begin"/>
      </w:r>
      <w:r>
        <w:instrText xml:space="preserve"> PAGEREF _sec4 \h </w:instrText>
      </w:r>
      <w:r>
        <w:fldChar w:fldCharType="separate"/>
      </w:r>
      <w:r>
        <w:t/>
      </w:r>
      <w:r>
        <w:fldChar w:fldCharType="end"/>
      </w:r>
    </w:p>
    <w:p>
      <w:pPr>
        <w:tabs>
          <w:tab w:pos="9411" w:val="right" w:leader="dot"/>
        </w:tabs>
        <w:spacing w:after="80" w:before="0"/>
        <w:ind w:left="340"/>
      </w:pPr>
      <w:hyperlink w:anchor="_sec5">
        <w:r>
          <w:rPr>
            <w:i/>
          </w:rPr>
          <w:t xml:space="preserve">Disease Prevalence</w:t>
        </w:r>
      </w:hyperlink>
      <w:r>
        <w:tab/>
      </w:r>
      <w:r>
        <w:fldChar w:fldCharType="begin"/>
      </w:r>
      <w:r>
        <w:instrText xml:space="preserve"> PAGEREF _sec5 \h </w:instrText>
      </w:r>
      <w:r>
        <w:fldChar w:fldCharType="separate"/>
      </w:r>
      <w:r>
        <w:t/>
      </w:r>
      <w:r>
        <w:fldChar w:fldCharType="end"/>
      </w:r>
    </w:p>
    <w:p>
      <w:pPr>
        <w:tabs>
          <w:tab w:pos="9411" w:val="right" w:leader="dot"/>
        </w:tabs>
        <w:spacing w:after="120" w:before="160"/>
        <w:ind w:left="0"/>
      </w:pPr>
      <w:hyperlink w:anchor="_sec6">
        <w:r>
          <w:rPr>
            <w:b/>
          </w:rPr>
          <w:t xml:space="preserve">India Health System</w:t>
        </w:r>
      </w:hyperlink>
      <w:r>
        <w:tab/>
      </w:r>
      <w:r>
        <w:fldChar w:fldCharType="begin"/>
      </w:r>
      <w:r>
        <w:instrText xml:space="preserve"> PAGEREF _sec6 \h </w:instrText>
      </w:r>
      <w:r>
        <w:fldChar w:fldCharType="separate"/>
      </w:r>
      <w:r>
        <w:t/>
      </w:r>
      <w:r>
        <w:fldChar w:fldCharType="end"/>
      </w:r>
    </w:p>
    <w:p>
      <w:pPr>
        <w:tabs>
          <w:tab w:pos="9411" w:val="right" w:leader="dot"/>
        </w:tabs>
        <w:spacing w:after="80" w:before="0"/>
        <w:ind w:left="340"/>
      </w:pPr>
      <w:hyperlink w:anchor="_sec7">
        <w:r>
          <w:rPr>
            <w:i/>
          </w:rPr>
          <w:t xml:space="preserve">Public Healthcare System</w:t>
        </w:r>
      </w:hyperlink>
      <w:r>
        <w:tab/>
      </w:r>
      <w:r>
        <w:fldChar w:fldCharType="begin"/>
      </w:r>
      <w:r>
        <w:instrText xml:space="preserve"> PAGEREF _sec7 \h </w:instrText>
      </w:r>
      <w:r>
        <w:fldChar w:fldCharType="separate"/>
      </w:r>
      <w:r>
        <w:t/>
      </w:r>
      <w:r>
        <w:fldChar w:fldCharType="end"/>
      </w:r>
    </w:p>
    <w:p>
      <w:pPr>
        <w:tabs>
          <w:tab w:pos="9411" w:val="right" w:leader="dot"/>
        </w:tabs>
        <w:spacing w:after="80" w:before="0"/>
        <w:ind w:left="340"/>
      </w:pPr>
      <w:hyperlink w:anchor="_sec8">
        <w:r>
          <w:rPr>
            <w:i/>
          </w:rPr>
          <w:t xml:space="preserve">Private Healthcare System</w:t>
        </w:r>
      </w:hyperlink>
      <w:r>
        <w:tab/>
      </w:r>
      <w:r>
        <w:fldChar w:fldCharType="begin"/>
      </w:r>
      <w:r>
        <w:instrText xml:space="preserve"> PAGEREF _sec8 \h </w:instrText>
      </w:r>
      <w:r>
        <w:fldChar w:fldCharType="separate"/>
      </w:r>
      <w:r>
        <w:t/>
      </w:r>
      <w:r>
        <w:fldChar w:fldCharType="end"/>
      </w:r>
    </w:p>
    <w:p>
      <w:pPr>
        <w:tabs>
          <w:tab w:pos="9411" w:val="right" w:leader="dot"/>
        </w:tabs>
        <w:spacing w:after="80" w:before="0"/>
        <w:ind w:left="340"/>
      </w:pPr>
      <w:hyperlink w:anchor="_sec9">
        <w:r>
          <w:rPr>
            <w:i/>
          </w:rPr>
          <w:t xml:space="preserve">Healthcare Financing</w:t>
        </w:r>
      </w:hyperlink>
      <w:r>
        <w:tab/>
      </w:r>
      <w:r>
        <w:fldChar w:fldCharType="begin"/>
      </w:r>
      <w:r>
        <w:instrText xml:space="preserve"> PAGEREF _sec9 \h </w:instrText>
      </w:r>
      <w:r>
        <w:fldChar w:fldCharType="separate"/>
      </w:r>
      <w:r>
        <w:t/>
      </w:r>
      <w:r>
        <w:fldChar w:fldCharType="end"/>
      </w:r>
    </w:p>
    <w:p>
      <w:pPr>
        <w:tabs>
          <w:tab w:pos="9411" w:val="right" w:leader="dot"/>
        </w:tabs>
        <w:spacing w:after="80" w:before="0"/>
        <w:ind w:left="340"/>
      </w:pPr>
      <w:hyperlink w:anchor="_sec10">
        <w:r>
          <w:rPr>
            <w:i/>
          </w:rPr>
          <w:t xml:space="preserve">Workforce</w:t>
        </w:r>
      </w:hyperlink>
      <w:r>
        <w:tab/>
      </w:r>
      <w:r>
        <w:fldChar w:fldCharType="begin"/>
      </w:r>
      <w:r>
        <w:instrText xml:space="preserve"> PAGEREF _sec10 \h </w:instrText>
      </w:r>
      <w:r>
        <w:fldChar w:fldCharType="separate"/>
      </w:r>
      <w:r>
        <w:t/>
      </w:r>
      <w:r>
        <w:fldChar w:fldCharType="end"/>
      </w:r>
    </w:p>
    <w:p>
      <w:pPr>
        <w:tabs>
          <w:tab w:pos="9411" w:val="right" w:leader="dot"/>
        </w:tabs>
        <w:spacing w:after="80" w:before="0"/>
        <w:ind w:left="340"/>
      </w:pPr>
      <w:hyperlink w:anchor="_sec11">
        <w:r>
          <w:rPr>
            <w:i/>
          </w:rPr>
          <w:t xml:space="preserve">Education</w:t>
        </w:r>
      </w:hyperlink>
      <w:r>
        <w:tab/>
      </w:r>
      <w:r>
        <w:fldChar w:fldCharType="begin"/>
      </w:r>
      <w:r>
        <w:instrText xml:space="preserve"> PAGEREF _sec11 \h </w:instrText>
      </w:r>
      <w:r>
        <w:fldChar w:fldCharType="separate"/>
      </w:r>
      <w:r>
        <w:t/>
      </w:r>
      <w:r>
        <w:fldChar w:fldCharType="end"/>
      </w:r>
    </w:p>
    <w:p>
      <w:pPr>
        <w:tabs>
          <w:tab w:pos="9411" w:val="right" w:leader="dot"/>
        </w:tabs>
        <w:spacing w:after="80" w:before="0"/>
        <w:ind w:left="340"/>
      </w:pPr>
      <w:hyperlink w:anchor="_sec12">
        <w:r>
          <w:rPr>
            <w:i/>
          </w:rPr>
          <w:t xml:space="preserve">Healthcare Outlook</w:t>
        </w:r>
      </w:hyperlink>
      <w:r>
        <w:tab/>
      </w:r>
      <w:r>
        <w:fldChar w:fldCharType="begin"/>
      </w:r>
      <w:r>
        <w:instrText xml:space="preserve"> PAGEREF _sec12 \h </w:instrText>
      </w:r>
      <w:r>
        <w:fldChar w:fldCharType="separate"/>
      </w:r>
      <w:r>
        <w:t/>
      </w:r>
      <w:r>
        <w:fldChar w:fldCharType="end"/>
      </w:r>
    </w:p>
    <w:p>
      <w:pPr>
        <w:tabs>
          <w:tab w:pos="9411" w:val="right" w:leader="dot"/>
        </w:tabs>
        <w:spacing w:after="80" w:before="0"/>
        <w:ind w:left="340"/>
      </w:pPr>
      <w:hyperlink w:anchor="_sec13">
        <w:r>
          <w:rPr>
            <w:i/>
          </w:rPr>
          <w:t xml:space="preserve">Competitive Landscape</w:t>
        </w:r>
      </w:hyperlink>
      <w:r>
        <w:tab/>
      </w:r>
      <w:r>
        <w:fldChar w:fldCharType="begin"/>
      </w:r>
      <w:r>
        <w:instrText xml:space="preserve"> PAGEREF _sec13 \h </w:instrText>
      </w:r>
      <w:r>
        <w:fldChar w:fldCharType="separate"/>
      </w:r>
      <w:r>
        <w:t/>
      </w:r>
      <w:r>
        <w:fldChar w:fldCharType="end"/>
      </w:r>
    </w:p>
    <w:p>
      <w:pPr>
        <w:tabs>
          <w:tab w:pos="9411" w:val="right" w:leader="dot"/>
        </w:tabs>
        <w:spacing w:after="120" w:before="160"/>
        <w:ind w:left="0"/>
      </w:pPr>
      <w:hyperlink w:anchor="_sec14">
        <w:r>
          <w:rPr>
            <w:b/>
          </w:rPr>
          <w:t xml:space="preserve">Recent Developments</w:t>
        </w:r>
      </w:hyperlink>
      <w:r>
        <w:tab/>
      </w:r>
      <w:r>
        <w:fldChar w:fldCharType="begin"/>
      </w:r>
      <w:r>
        <w:instrText xml:space="preserve"> PAGEREF _sec14 \h </w:instrText>
      </w:r>
      <w:r>
        <w:fldChar w:fldCharType="separate"/>
      </w:r>
      <w:r>
        <w:t/>
      </w:r>
      <w:r>
        <w:fldChar w:fldCharType="end"/>
      </w:r>
    </w:p>
    <w:p>
      <w:pPr>
        <w:tabs>
          <w:tab w:pos="9411" w:val="right" w:leader="dot"/>
        </w:tabs>
        <w:spacing w:after="120" w:before="160"/>
        <w:ind w:left="0"/>
      </w:pPr>
      <w:hyperlink w:anchor="_sec15">
        <w:r>
          <w:rPr>
            <w:b/>
          </w:rPr>
          <w:t xml:space="preserve">CSI Assessment</w:t>
        </w:r>
      </w:hyperlink>
      <w:r>
        <w:tab/>
      </w:r>
      <w:r>
        <w:fldChar w:fldCharType="begin"/>
      </w:r>
      <w:r>
        <w:instrText xml:space="preserve"> PAGEREF _sec15 \h </w:instrText>
      </w:r>
      <w:r>
        <w:fldChar w:fldCharType="separate"/>
      </w:r>
      <w:r>
        <w:t/>
      </w:r>
      <w:r>
        <w:fldChar w:fldCharType="end"/>
      </w:r>
    </w:p>
    <w:p>
      <w:r>
        <w:br w:type="page"/>
      </w:r>
    </w:p>
    <w:p>
      <w:pPr>
        <w:pStyle w:val="Heading1"/>
      </w:pPr>
      <w:bookmarkStart w:id="1" w:name="_sec1"/>
      <w:r>
        <w:t>Country Overview</w:t>
      </w:r>
      <w:bookmarkEnd w:id="1"/>
    </w:p>
    <w:p>
      <w:pPr>
        <w:spacing w:before="0" w:after="80"/>
        <w:pBdr>
          <w:bottom w:val="single" w:sz="12" w:space="1" w:color="D91F2C"/>
        </w:pBdr>
      </w:pPr>
    </w:p>
    <w:p>
      <w:pPr>
        <w:pStyle w:val="Heading2"/>
      </w:pPr>
      <w:bookmarkStart w:id="2" w:name="_sec2"/>
      <w:r>
        <w:t>Population and Demographics</w:t>
      </w:r>
      <w:bookmarkEnd w:id="2"/>
    </w:p>
    <w:tbl>
      <w:tblPr>
        <w:tblW w:type="auto" w:w="0"/>
        <w:jc w:val="left"/>
        <w:tblLayout w:type="autofit"/>
        <w:tblLook w:firstColumn="1" w:firstRow="1" w:lastColumn="0" w:lastRow="0" w:noHBand="0" w:noVBand="1" w:val="04A0"/>
      </w:tblPr>
      <w:tblGrid>
        <w:gridCol w:w="2436"/>
        <w:gridCol w:w="2436"/>
        <w:gridCol w:w="2436"/>
        <w:gridCol w:w="2436"/>
      </w:tblGrid>
      <w:tr>
        <w:tc>
          <w:tcPr>
            <w:tcW w:type="dxa" w:w="2436"/>
          </w:tcPr>
          <w:p>
            <w:pPr>
              <w:spacing w:after="60"/>
            </w:pPr>
            <w:r>
              <w:rPr>
                <w:b/>
                <w:color w:val="B31822"/>
                <w:sz w:val="21"/>
              </w:rPr>
              <w:t>Capital</w:t>
            </w:r>
          </w:p>
        </w:tc>
        <w:tc>
          <w:tcPr>
            <w:tcW w:type="dxa" w:w="2436"/>
          </w:tcPr>
          <w:p>
            <w:pPr>
              <w:spacing w:after="60"/>
            </w:pPr>
            <w:r>
              <w:rPr>
                <w:sz w:val="21"/>
              </w:rPr>
              <w:t>New Delhi</w:t>
            </w:r>
            <w:hyperlink r:id="rId11">
              <w:r>
                <w:rPr>
                  <w:color w:val="B31822"/>
                  <w:vertAlign w:val="superscript"/>
                </w:rPr>
                <w:t xml:space="preserve">1</w:t>
              </w:r>
            </w:hyperlink>
          </w:p>
        </w:tc>
        <w:tc>
          <w:tcPr>
            <w:tcW w:type="dxa" w:w="2436"/>
          </w:tcPr>
          <w:p>
            <w:pPr>
              <w:spacing w:after="60"/>
            </w:pPr>
            <w:r>
              <w:rPr>
                <w:b/>
                <w:color w:val="B31822"/>
                <w:sz w:val="21"/>
              </w:rPr>
              <w:t>Official languages</w:t>
            </w:r>
          </w:p>
        </w:tc>
        <w:tc>
          <w:tcPr>
            <w:tcW w:type="dxa" w:w="2436"/>
          </w:tcPr>
          <w:p>
            <w:pPr>
              <w:spacing w:after="60"/>
            </w:pPr>
            <w:r>
              <w:rPr>
                <w:sz w:val="21"/>
              </w:rPr>
              <w:t>Hindi and English are the official languages of the Union; the Constitution's Eighth Schedule lists 22 scheduled languages</w:t>
            </w:r>
            <w:hyperlink r:id="rId11">
              <w:r>
                <w:rPr>
                  <w:color w:val="B31822"/>
                  <w:vertAlign w:val="superscript"/>
                </w:rPr>
                <w:t xml:space="preserve">1</w:t>
              </w:r>
            </w:hyperlink>
          </w:p>
        </w:tc>
      </w:tr>
      <w:tr>
        <w:tc>
          <w:tcPr>
            <w:tcW w:type="dxa" w:w="2436"/>
          </w:tcPr>
          <w:p>
            <w:pPr>
              <w:spacing w:after="60"/>
            </w:pPr>
            <w:r>
              <w:rPr>
                <w:b/>
                <w:color w:val="B31822"/>
                <w:sz w:val="21"/>
              </w:rPr>
              <w:t>Population</w:t>
            </w:r>
          </w:p>
        </w:tc>
        <w:tc>
          <w:tcPr>
            <w:tcW w:type="dxa" w:w="2436"/>
          </w:tcPr>
          <w:p>
            <w:pPr>
              <w:spacing w:after="60"/>
            </w:pPr>
            <w:r>
              <w:rPr>
                <w:sz w:val="21"/>
              </w:rPr>
              <w:t>About 1.46 billion (2025 estimate, UN World Population Prospects 2024); the world's most populous country</w:t>
            </w:r>
            <w:hyperlink r:id="rId12">
              <w:r>
                <w:rPr>
                  <w:color w:val="B31822"/>
                  <w:vertAlign w:val="superscript"/>
                </w:rPr>
                <w:t xml:space="preserve">2,</w:t>
              </w:r>
            </w:hyperlink>
            <w:hyperlink r:id="rId13">
              <w:r>
                <w:rPr>
                  <w:color w:val="B31822"/>
                  <w:vertAlign w:val="superscript"/>
                </w:rPr>
                <w:t xml:space="preserve">3</w:t>
              </w:r>
            </w:hyperlink>
          </w:p>
        </w:tc>
        <w:tc>
          <w:tcPr>
            <w:tcW w:type="dxa" w:w="2436"/>
          </w:tcPr>
          <w:p>
            <w:pPr>
              <w:spacing w:after="60"/>
            </w:pPr>
            <w:r>
              <w:rPr>
                <w:b/>
                <w:color w:val="B31822"/>
                <w:sz w:val="21"/>
              </w:rPr>
              <w:t>Area</w:t>
            </w:r>
          </w:p>
        </w:tc>
        <w:tc>
          <w:tcPr>
            <w:tcW w:type="dxa" w:w="2436"/>
          </w:tcPr>
          <w:p>
            <w:pPr>
              <w:spacing w:after="60"/>
            </w:pPr>
            <w:r>
              <w:rPr>
                <w:sz w:val="21"/>
              </w:rPr>
              <w:t>3,287,263 sq km</w:t>
            </w:r>
            <w:hyperlink r:id="rId11">
              <w:r>
                <w:rPr>
                  <w:color w:val="B31822"/>
                  <w:vertAlign w:val="superscript"/>
                </w:rPr>
                <w:t xml:space="preserve">1</w:t>
              </w:r>
            </w:hyperlink>
          </w:p>
        </w:tc>
      </w:tr>
      <w:tr>
        <w:tc>
          <w:tcPr>
            <w:tcW w:type="dxa" w:w="2436"/>
          </w:tcPr>
          <w:p>
            <w:pPr>
              <w:spacing w:after="60"/>
            </w:pPr>
            <w:r>
              <w:rPr>
                <w:b/>
                <w:color w:val="B31822"/>
                <w:sz w:val="21"/>
              </w:rPr>
              <w:t>GDP (PPP), total</w:t>
            </w:r>
          </w:p>
        </w:tc>
        <w:tc>
          <w:tcPr>
            <w:tcW w:type="dxa" w:w="2436"/>
          </w:tcPr>
          <w:p>
            <w:pPr>
              <w:spacing w:after="60"/>
            </w:pPr>
            <w:r>
              <w:rPr>
                <w:sz w:val="21"/>
              </w:rPr>
              <w:t>About US$17.2 trillion in current international dollars (2025, World Bank); about US$15.6 trillion in 2024</w:t>
            </w:r>
            <w:hyperlink r:id="rId14">
              <w:r>
                <w:rPr>
                  <w:color w:val="B31822"/>
                  <w:vertAlign w:val="superscript"/>
                </w:rPr>
                <w:t xml:space="preserve">4,</w:t>
              </w:r>
            </w:hyperlink>
            <w:hyperlink r:id="rId15">
              <w:r>
                <w:rPr>
                  <w:color w:val="B31822"/>
                  <w:vertAlign w:val="superscript"/>
                </w:rPr>
                <w:t xml:space="preserve">5</w:t>
              </w:r>
            </w:hyperlink>
          </w:p>
        </w:tc>
        <w:tc>
          <w:tcPr>
            <w:tcW w:type="dxa" w:w="2436"/>
          </w:tcPr>
          <w:p>
            <w:pPr>
              <w:spacing w:after="60"/>
            </w:pPr>
            <w:r>
              <w:rPr>
                <w:b/>
                <w:color w:val="B31822"/>
                <w:sz w:val="21"/>
              </w:rPr>
              <w:t>GDP (PPP), per capita</w:t>
            </w:r>
          </w:p>
        </w:tc>
        <w:tc>
          <w:tcPr>
            <w:tcW w:type="dxa" w:w="2436"/>
          </w:tcPr>
          <w:p>
            <w:pPr>
              <w:spacing w:after="60"/>
            </w:pPr>
            <w:r>
              <w:rPr>
                <w:sz w:val="21"/>
              </w:rPr>
              <w:t>About US$11,748 in current international dollars (2025, World Bank); about US$10,719 in 2024</w:t>
            </w:r>
            <w:hyperlink r:id="rId16">
              <w:r>
                <w:rPr>
                  <w:color w:val="B31822"/>
                  <w:vertAlign w:val="superscript"/>
                </w:rPr>
                <w:t xml:space="preserve">6,</w:t>
              </w:r>
            </w:hyperlink>
            <w:hyperlink r:id="rId15">
              <w:r>
                <w:rPr>
                  <w:color w:val="B31822"/>
                  <w:vertAlign w:val="superscript"/>
                </w:rPr>
                <w:t xml:space="preserve">5</w:t>
              </w:r>
            </w:hyperlink>
          </w:p>
        </w:tc>
      </w:tr>
      <w:tr>
        <w:tc>
          <w:tcPr>
            <w:tcW w:type="dxa" w:w="2436"/>
          </w:tcPr>
          <w:p>
            <w:pPr>
              <w:spacing w:after="60"/>
            </w:pPr>
            <w:r>
              <w:rPr>
                <w:b/>
                <w:color w:val="B31822"/>
                <w:sz w:val="21"/>
              </w:rPr>
              <w:t>Government type</w:t>
            </w:r>
          </w:p>
        </w:tc>
        <w:tc>
          <w:tcPr>
            <w:tcW w:type="dxa" w:w="2436"/>
          </w:tcPr>
          <w:p>
            <w:pPr>
              <w:spacing w:after="60"/>
            </w:pPr>
            <w:r>
              <w:rPr>
                <w:sz w:val="21"/>
              </w:rPr>
              <w:t>Federal parliamentary democratic republic</w:t>
            </w:r>
            <w:hyperlink r:id="rId11">
              <w:r>
                <w:rPr>
                  <w:color w:val="B31822"/>
                  <w:vertAlign w:val="superscript"/>
                </w:rPr>
                <w:t xml:space="preserve">1</w:t>
              </w:r>
            </w:hyperlink>
          </w:p>
        </w:tc>
        <w:tc>
          <w:tcPr>
            <w:tcW w:type="dxa" w:w="2436"/>
          </w:tcPr>
          <w:p>
            <w:pPr>
              <w:spacing w:after="60"/>
            </w:pPr>
            <w:r>
              <w:rPr>
                <w:b/>
                <w:color w:val="B31822"/>
                <w:sz w:val="21"/>
              </w:rPr>
              <w:t>Head of state</w:t>
            </w:r>
          </w:p>
        </w:tc>
        <w:tc>
          <w:tcPr>
            <w:tcW w:type="dxa" w:w="2436"/>
          </w:tcPr>
          <w:p>
            <w:pPr>
              <w:spacing w:after="60"/>
            </w:pPr>
            <w:r>
              <w:rPr>
                <w:sz w:val="21"/>
              </w:rPr>
              <w:t>President Droupadi Murmu (in office since 25 July 2022)</w:t>
            </w:r>
            <w:hyperlink r:id="rId17">
              <w:r>
                <w:rPr>
                  <w:color w:val="B31822"/>
                  <w:vertAlign w:val="superscript"/>
                </w:rPr>
                <w:t xml:space="preserve">7</w:t>
              </w:r>
            </w:hyperlink>
          </w:p>
        </w:tc>
      </w:tr>
      <w:tr>
        <w:tc>
          <w:tcPr>
            <w:tcW w:type="dxa" w:w="2436"/>
          </w:tcPr>
          <w:p>
            <w:pPr>
              <w:spacing w:after="60"/>
            </w:pPr>
            <w:r>
              <w:rPr>
                <w:b/>
                <w:color w:val="B31822"/>
                <w:sz w:val="21"/>
              </w:rPr>
              <w:t>Head of government</w:t>
            </w:r>
          </w:p>
        </w:tc>
        <w:tc>
          <w:tcPr>
            <w:tcW w:type="dxa" w:w="2436"/>
          </w:tcPr>
          <w:p>
            <w:pPr>
              <w:spacing w:after="60"/>
            </w:pPr>
            <w:r>
              <w:rPr>
                <w:sz w:val="21"/>
              </w:rPr>
              <w:t>Prime Minister Narendra Modi (in office since 2014, third term since June 2024)</w:t>
            </w:r>
            <w:hyperlink r:id="rId11">
              <w:r>
                <w:rPr>
                  <w:color w:val="B31822"/>
                  <w:vertAlign w:val="superscript"/>
                </w:rPr>
                <w:t xml:space="preserve">1,</w:t>
              </w:r>
            </w:hyperlink>
            <w:hyperlink r:id="rId17">
              <w:r>
                <w:rPr>
                  <w:color w:val="B31822"/>
                  <w:vertAlign w:val="superscript"/>
                </w:rPr>
                <w:t xml:space="preserve">7</w:t>
              </w:r>
            </w:hyperlink>
          </w:p>
        </w:tc>
        <w:tc>
          <w:tcPr>
            <w:tcW w:type="dxa" w:w="2436"/>
          </w:tcPr>
          <w:p>
            <w:pPr>
              <w:spacing w:after="60"/>
            </w:pPr>
            <w:r>
              <w:rPr>
                <w:b/>
                <w:color w:val="B31822"/>
                <w:sz w:val="21"/>
              </w:rPr>
              <w:t>Currency</w:t>
            </w:r>
          </w:p>
        </w:tc>
        <w:tc>
          <w:tcPr>
            <w:tcW w:type="dxa" w:w="2436"/>
          </w:tcPr>
          <w:p>
            <w:pPr>
              <w:spacing w:after="60"/>
            </w:pPr>
            <w:r>
              <w:rPr>
                <w:sz w:val="21"/>
              </w:rPr>
              <w:t>Indian rupee (INR)</w:t>
            </w:r>
            <w:hyperlink r:id="rId11">
              <w:r>
                <w:rPr>
                  <w:color w:val="B31822"/>
                  <w:vertAlign w:val="superscript"/>
                </w:rPr>
                <w:t xml:space="preserve">1</w:t>
              </w:r>
            </w:hyperlink>
          </w:p>
        </w:tc>
      </w:tr>
      <w:tr>
        <w:tc>
          <w:tcPr>
            <w:tcW w:type="dxa" w:w="2436"/>
          </w:tcPr>
          <w:p>
            <w:pPr>
              <w:spacing w:after="60"/>
            </w:pPr>
            <w:r>
              <w:rPr>
                <w:b/>
                <w:color w:val="B31822"/>
                <w:sz w:val="21"/>
              </w:rPr>
              <w:t>Urban population</w:t>
            </w:r>
          </w:p>
        </w:tc>
        <w:tc>
          <w:tcPr>
            <w:tcW w:type="dxa" w:w="2436"/>
          </w:tcPr>
          <w:p>
            <w:pPr>
              <w:spacing w:after="60"/>
            </w:pPr>
            <w:r>
              <w:rPr>
                <w:sz w:val="21"/>
              </w:rPr>
              <w:t>35.7% of total (2025, World Bank); 35.4% in 2024</w:t>
            </w:r>
            <w:hyperlink r:id="rId18">
              <w:r>
                <w:rPr>
                  <w:color w:val="B31822"/>
                  <w:vertAlign w:val="superscript"/>
                </w:rPr>
                <w:t xml:space="preserve">8,</w:t>
              </w:r>
            </w:hyperlink>
            <w:hyperlink r:id="rId15">
              <w:r>
                <w:rPr>
                  <w:color w:val="B31822"/>
                  <w:vertAlign w:val="superscript"/>
                </w:rPr>
                <w:t xml:space="preserve">5</w:t>
              </w:r>
            </w:hyperlink>
          </w:p>
        </w:tc>
        <w:tc>
          <w:tcPr>
            <w:tcW w:type="dxa" w:w="2436"/>
          </w:tcPr>
          <w:p>
            <w:pPr>
              <w:spacing w:after="60"/>
            </w:pPr>
            <w:r>
              <w:rPr>
                <w:b/>
                <w:color w:val="B31822"/>
                <w:sz w:val="21"/>
              </w:rPr>
              <w:t>Total fertility rate</w:t>
            </w:r>
          </w:p>
        </w:tc>
        <w:tc>
          <w:tcPr>
            <w:tcW w:type="dxa" w:w="2436"/>
          </w:tcPr>
          <w:p>
            <w:pPr>
              <w:spacing w:after="60"/>
            </w:pPr>
            <w:r>
              <w:rPr>
                <w:sz w:val="21"/>
              </w:rPr>
              <w:t>1.9 births per woman (2024, Sample Registration System Statistical Report 2024, released May 2026)</w:t>
            </w:r>
            <w:hyperlink r:id="rId19">
              <w:r>
                <w:rPr>
                  <w:color w:val="B31822"/>
                  <w:vertAlign w:val="superscript"/>
                </w:rPr>
                <w:t xml:space="preserve">9,</w:t>
              </w:r>
            </w:hyperlink>
            <w:hyperlink r:id="rId20">
              <w:r>
                <w:rPr>
                  <w:color w:val="B31822"/>
                  <w:vertAlign w:val="superscript"/>
                </w:rPr>
                <w:t xml:space="preserve">10,</w:t>
              </w:r>
            </w:hyperlink>
            <w:hyperlink r:id="rId21">
              <w:r>
                <w:rPr>
                  <w:color w:val="B31822"/>
                  <w:vertAlign w:val="superscript"/>
                </w:rPr>
                <w:t xml:space="preserve">11</w:t>
              </w:r>
            </w:hyperlink>
          </w:p>
        </w:tc>
      </w:tr>
      <w:tr>
        <w:tc>
          <w:tcPr>
            <w:tcW w:type="dxa" w:w="2436"/>
          </w:tcPr>
          <w:p>
            <w:pPr>
              <w:spacing w:after="60"/>
            </w:pPr>
            <w:r>
              <w:rPr>
                <w:b/>
                <w:color w:val="B31822"/>
                <w:sz w:val="21"/>
              </w:rPr>
              <w:t>Infant mortality rate</w:t>
            </w:r>
          </w:p>
        </w:tc>
        <w:tc>
          <w:tcPr>
            <w:tcW w:type="dxa" w:w="2436"/>
          </w:tcPr>
          <w:p>
            <w:pPr>
              <w:spacing w:after="60"/>
            </w:pPr>
            <w:r>
              <w:rPr>
                <w:sz w:val="21"/>
              </w:rPr>
              <w:t>24 per 1,000 live births (2024, Sample Registration System), down from 30 in 2019</w:t>
            </w:r>
            <w:hyperlink r:id="rId20">
              <w:r>
                <w:rPr>
                  <w:color w:val="B31822"/>
                  <w:vertAlign w:val="superscript"/>
                </w:rPr>
                <w:t xml:space="preserve">10</w:t>
              </w:r>
            </w:hyperlink>
          </w:p>
        </w:tc>
        <w:tc>
          <w:tcPr>
            <w:tcW w:type="dxa" w:w="2436"/>
          </w:tcPr>
          <w:p>
            <w:pPr>
              <w:spacing w:after="60"/>
            </w:pPr>
            <w:r>
              <w:rPr>
                <w:b/>
                <w:color w:val="B31822"/>
                <w:sz w:val="21"/>
              </w:rPr>
              <w:t>Population aged 60 and over</w:t>
            </w:r>
          </w:p>
        </w:tc>
        <w:tc>
          <w:tcPr>
            <w:tcW w:type="dxa" w:w="2436"/>
          </w:tcPr>
          <w:p>
            <w:pPr>
              <w:spacing w:after="60"/>
            </w:pPr>
            <w:r>
              <w:rPr>
                <w:sz w:val="21"/>
              </w:rPr>
              <w:t>10.5% (2022), projected to reach 20.8% by 2050 (UNFPA India Ageing Report 2023)</w:t>
            </w:r>
            <w:hyperlink r:id="rId22">
              <w:r>
                <w:rPr>
                  <w:color w:val="B31822"/>
                  <w:vertAlign w:val="superscript"/>
                </w:rPr>
                <w:t xml:space="preserve">12,</w:t>
              </w:r>
            </w:hyperlink>
            <w:hyperlink r:id="rId23">
              <w:r>
                <w:rPr>
                  <w:color w:val="B31822"/>
                  <w:vertAlign w:val="superscript"/>
                </w:rPr>
                <w:t xml:space="preserve">13</w:t>
              </w:r>
            </w:hyperlink>
          </w:p>
        </w:tc>
      </w:tr>
    </w:tbl>
    <w:p>
      <w:pPr>
        <w:spacing w:after="40"/>
      </w:pPr>
    </w:p>
    <w:p>
      <w:r>
        <w:t>India is in the middle of a fast and uneven demographic transition. The UN estimates the population at about 1.46 billion in 2025 and projects a peak of roughly 1.7 billion in the early 2060s.</w:t>
      </w:r>
      <w:hyperlink r:id="rId12">
        <w:r>
          <w:rPr>
            <w:color w:val="B31822"/>
            <w:vertAlign w:val="superscript"/>
          </w:rPr>
          <w:t xml:space="preserve">2,</w:t>
        </w:r>
      </w:hyperlink>
      <w:hyperlink r:id="rId13">
        <w:r>
          <w:rPr>
            <w:color w:val="B31822"/>
            <w:vertAlign w:val="superscript"/>
          </w:rPr>
          <w:t xml:space="preserve">3</w:t>
        </w:r>
      </w:hyperlink>
      <w:r>
        <w:t xml:space="preserve"> Fertility has already dropped below replacement.</w:t>
      </w:r>
      <w:hyperlink r:id="rId19">
        <w:r>
          <w:rPr>
            <w:color w:val="B31822"/>
            <w:vertAlign w:val="superscript"/>
          </w:rPr>
          <w:t xml:space="preserve">9,</w:t>
        </w:r>
      </w:hyperlink>
      <w:hyperlink r:id="rId20">
        <w:r>
          <w:rPr>
            <w:color w:val="B31822"/>
            <w:vertAlign w:val="superscript"/>
          </w:rPr>
          <w:t xml:space="preserve">10</w:t>
        </w:r>
      </w:hyperlink>
      <w:r>
        <w:t xml:space="preserve"> The Registrar General's Sample Registration System Statistical Report 2024, released in May 2026, puts the national total fertility rate at 1.9 for 2024, and every state except six in the north (Bihar, Uttar Pradesh, Madhya Pradesh, Rajasthan, Chhattisgarh and Jharkhand) is now below the replacement level of 2.1.</w:t>
      </w:r>
      <w:hyperlink r:id="rId19">
        <w:r>
          <w:rPr>
            <w:color w:val="B31822"/>
            <w:vertAlign w:val="superscript"/>
          </w:rPr>
          <w:t xml:space="preserve">9,</w:t>
        </w:r>
      </w:hyperlink>
      <w:hyperlink r:id="rId20">
        <w:r>
          <w:rPr>
            <w:color w:val="B31822"/>
            <w:vertAlign w:val="superscript"/>
          </w:rPr>
          <w:t xml:space="preserve">10,</w:t>
        </w:r>
      </w:hyperlink>
      <w:hyperlink r:id="rId21">
        <w:r>
          <w:rPr>
            <w:color w:val="B31822"/>
            <w:vertAlign w:val="superscript"/>
          </w:rPr>
          <w:t xml:space="preserve">11</w:t>
        </w:r>
      </w:hyperlink>
      <w:r>
        <w:t xml:space="preserve"> The regional spread is wide, from 2.9 in Bihar to 1.2 in Delhi, with Kerala, Tamil Nadu and West Bengal at 1.3.</w:t>
      </w:r>
      <w:hyperlink r:id="rId19">
        <w:r>
          <w:rPr>
            <w:color w:val="B31822"/>
            <w:vertAlign w:val="superscript"/>
          </w:rPr>
          <w:t xml:space="preserve">9,</w:t>
        </w:r>
      </w:hyperlink>
      <w:hyperlink r:id="rId21">
        <w:r>
          <w:rPr>
            <w:color w:val="B31822"/>
            <w:vertAlign w:val="superscript"/>
          </w:rPr>
          <w:t xml:space="preserve">11</w:t>
        </w:r>
      </w:hyperlink>
    </w:p>
    <w:p>
      <w:r>
        <w:t>That gap effectively gives India two demographic profiles. Southern and western states such as Kerala and Tamil Nadu are ageing quickly, and UNFPA expects their share of people aged 60 and over to pass 20 percent by 2036.</w:t>
      </w:r>
      <w:hyperlink r:id="rId23">
        <w:r>
          <w:rPr>
            <w:color w:val="B31822"/>
            <w:vertAlign w:val="superscript"/>
          </w:rPr>
          <w:t xml:space="preserve">13</w:t>
        </w:r>
      </w:hyperlink>
      <w:r>
        <w:t xml:space="preserve"> The high-fertility northern states remain comparatively young and still carry heavy maternal and child health needs, even as national infant mortality has fallen to 24 per 1,000 live births in 2024 from 30 in 2019.</w:t>
      </w:r>
      <w:hyperlink r:id="rId20">
        <w:r>
          <w:rPr>
            <w:color w:val="B31822"/>
            <w:vertAlign w:val="superscript"/>
          </w:rPr>
          <w:t xml:space="preserve">10</w:t>
        </w:r>
      </w:hyperlink>
      <w:r>
        <w:t xml:space="preserve"> Nationally, UNFPA projects the 60-plus share to roughly double from 10.5 percent in 2022 to 20.8 percent by 2050.</w:t>
      </w:r>
      <w:hyperlink r:id="rId22">
        <w:r>
          <w:rPr>
            <w:color w:val="B31822"/>
            <w:vertAlign w:val="superscript"/>
          </w:rPr>
          <w:t xml:space="preserve">12,</w:t>
        </w:r>
      </w:hyperlink>
      <w:hyperlink r:id="rId23">
        <w:r>
          <w:rPr>
            <w:color w:val="B31822"/>
            <w:vertAlign w:val="superscript"/>
          </w:rPr>
          <w:t xml:space="preserve">13</w:t>
        </w:r>
      </w:hyperlink>
      <w:r>
        <w:t xml:space="preserve"> Urbanisation is still moderate at about 36 percent in 2025 (World Bank), but tertiary and quaternary care is concentrated in the metros, and patients travel long distances to reach it.</w:t>
      </w:r>
      <w:hyperlink r:id="rId18">
        <w:r>
          <w:rPr>
            <w:color w:val="B31822"/>
            <w:vertAlign w:val="superscript"/>
          </w:rPr>
          <w:t xml:space="preserve">8,</w:t>
        </w:r>
      </w:hyperlink>
      <w:hyperlink r:id="rId15">
        <w:r>
          <w:rPr>
            <w:color w:val="B31822"/>
            <w:vertAlign w:val="superscript"/>
          </w:rPr>
          <w:t xml:space="preserve">5</w:t>
        </w:r>
      </w:hyperlink>
    </w:p>
    <w:p>
      <w:r>
        <w:t>Denominators are also about to change. The Census of 2027, the first since 2011, began house-listing in April 2026 and will enumerate the population in February 2027 against a reference date of 1 March 2027.</w:t>
      </w:r>
      <w:hyperlink r:id="rId24">
        <w:r>
          <w:rPr>
            <w:color w:val="B31822"/>
            <w:vertAlign w:val="superscript"/>
          </w:rPr>
          <w:t xml:space="preserve">14,</w:t>
        </w:r>
      </w:hyperlink>
      <w:hyperlink r:id="rId25">
        <w:r>
          <w:rPr>
            <w:color w:val="B31822"/>
            <w:vertAlign w:val="superscript"/>
          </w:rPr>
          <w:t xml:space="preserve">15</w:t>
        </w:r>
      </w:hyperlink>
      <w:r>
        <w:t xml:space="preserve"> Until then, most per-capita health indicators rest on projections. For a foreign academic medical center, the ageing, NCD-heavy south and west (Mumbai, Bengaluru, Chennai, Hyderabad, Kochi) and the National Capital Region are the most natural markets for high-acuity collaboration, while the younger northern states are better suited to public-health and capacity-building work.</w:t>
      </w:r>
    </w:p>
    <w:p>
      <w:pPr>
        <w:pStyle w:val="Heading2"/>
      </w:pPr>
      <w:bookmarkStart w:id="3" w:name="_sec3"/>
      <w:r>
        <w:t>Government</w:t>
      </w:r>
      <w:bookmarkEnd w:id="3"/>
    </w:p>
    <w:p>
      <w:r>
        <w:t>India is a federal parliamentary republic.</w:t>
      </w:r>
      <w:hyperlink r:id="rId11">
        <w:r>
          <w:rPr>
            <w:color w:val="B31822"/>
            <w:vertAlign w:val="superscript"/>
          </w:rPr>
          <w:t xml:space="preserve">1</w:t>
        </w:r>
      </w:hyperlink>
      <w:r>
        <w:t xml:space="preserve"> The President is the constitutional head of state, and executive power sits with the Prime Minister and the Union Council of Ministers, who answer to Parliament.</w:t>
      </w:r>
      <w:hyperlink r:id="rId11">
        <w:r>
          <w:rPr>
            <w:color w:val="B31822"/>
            <w:vertAlign w:val="superscript"/>
          </w:rPr>
          <w:t xml:space="preserve">1</w:t>
        </w:r>
      </w:hyperlink>
      <w:r>
        <w:t xml:space="preserve"> Narendra Modi has been Prime Minister since 2014 and began a third term in June 2024, and Droupadi Murmu has been President since July 2022.</w:t>
      </w:r>
      <w:hyperlink r:id="rId17">
        <w:r>
          <w:rPr>
            <w:color w:val="B31822"/>
            <w:vertAlign w:val="superscript"/>
          </w:rPr>
          <w:t xml:space="preserve">7,</w:t>
        </w:r>
      </w:hyperlink>
      <w:hyperlink r:id="rId11">
        <w:r>
          <w:rPr>
            <w:color w:val="B31822"/>
            <w:vertAlign w:val="superscript"/>
          </w:rPr>
          <w:t xml:space="preserve">1</w:t>
        </w:r>
      </w:hyperlink>
      <w:r>
        <w:t xml:space="preserve"> For health, the key feature is the constitutional division of powers. Entry 6 of the State List in the Seventh Schedule, 'public health and sanitation; hospitals and dispensaries', makes health care delivery a state responsibility.</w:t>
      </w:r>
      <w:hyperlink r:id="rId26">
        <w:r>
          <w:rPr>
            <w:color w:val="B31822"/>
            <w:vertAlign w:val="superscript"/>
          </w:rPr>
          <w:t xml:space="preserve">16,</w:t>
        </w:r>
      </w:hyperlink>
      <w:hyperlink r:id="rId27">
        <w:r>
          <w:rPr>
            <w:color w:val="B31822"/>
            <w:vertAlign w:val="superscript"/>
          </w:rPr>
          <w:t xml:space="preserve">17</w:t>
        </w:r>
      </w:hyperlink>
      <w:r>
        <w:t xml:space="preserve"> Education, including medical education, sits on the Concurrent List, where Union law prevails when the two conflict.</w:t>
      </w:r>
      <w:hyperlink r:id="rId26">
        <w:r>
          <w:rPr>
            <w:color w:val="B31822"/>
            <w:vertAlign w:val="superscript"/>
          </w:rPr>
          <w:t xml:space="preserve">16</w:t>
        </w:r>
      </w:hyperlink>
      <w:r>
        <w:t xml:space="preserve"> In practice, the Union shapes the system through money and regulation. It funds and designs flagship schemes such as the National Health Mission and Ayushman Bharat PM-JAY, it regulates medical education through the National Medical Commission, and it steers state priorities through Finance Commission grants.</w:t>
      </w:r>
      <w:hyperlink r:id="rId28">
        <w:r>
          <w:rPr>
            <w:color w:val="B31822"/>
            <w:vertAlign w:val="superscript"/>
          </w:rPr>
          <w:t xml:space="preserve">18</w:t>
        </w:r>
      </w:hyperlink>
      <w:r>
        <w:t xml:space="preserve"> The Fifteenth Finance Commission, for example, earmarked about Rs 70,051 crore in health grants through local governments for FY2021-22 to FY2025-26.</w:t>
      </w:r>
      <w:hyperlink r:id="rId28">
        <w:r>
          <w:rPr>
            <w:color w:val="B31822"/>
            <w:vertAlign w:val="superscript"/>
          </w:rPr>
          <w:t xml:space="preserve">18</w:t>
        </w:r>
      </w:hyperlink>
      <w:r>
        <w:t xml:space="preserve"> States still decide whether and how to take part. Odisha and Delhi joined PM-JAY only in 2025, and West Bengal signed on in June 2026, which completed nationwide rollout.</w:t>
      </w:r>
      <w:hyperlink r:id="rId29">
        <w:r>
          <w:rPr>
            <w:color w:val="B31822"/>
            <w:vertAlign w:val="superscript"/>
          </w:rPr>
          <w:t xml:space="preserve">19,</w:t>
        </w:r>
      </w:hyperlink>
      <w:hyperlink r:id="rId30">
        <w:r>
          <w:rPr>
            <w:color w:val="B31822"/>
            <w:vertAlign w:val="superscript"/>
          </w:rPr>
          <w:t xml:space="preserve">20,</w:t>
        </w:r>
      </w:hyperlink>
      <w:hyperlink r:id="rId31">
        <w:r>
          <w:rPr>
            <w:color w:val="B31822"/>
            <w:vertAlign w:val="superscript"/>
          </w:rPr>
          <w:t xml:space="preserve">21</w:t>
        </w:r>
      </w:hyperlink>
      <w:r>
        <w:t xml:space="preserve"> Several states also run their own insurance schemes alongside it. For a foreign partner, this means the relevant counterparty is often a state government rather than New Delhi. Cleveland Clinic's June 2026 MediCity memorandum, for instance, was signed with the Government of Maharashtra.</w:t>
      </w:r>
      <w:hyperlink r:id="rId32">
        <w:r>
          <w:rPr>
            <w:color w:val="B31822"/>
            <w:vertAlign w:val="superscript"/>
          </w:rPr>
          <w:t xml:space="preserve">22</w:t>
        </w:r>
      </w:hyperlink>
      <w:r>
        <w:t xml:space="preserve"> Regulation, land allocation, scheme empanelment and public-hospital collaboration all vary state by state, so market entry needs to be planned at state level.</w:t>
      </w:r>
    </w:p>
    <w:p>
      <w:pPr>
        <w:pStyle w:val="Heading2"/>
      </w:pPr>
      <w:bookmarkStart w:id="4" w:name="_sec4"/>
      <w:r>
        <w:t>Economy</w:t>
      </w:r>
      <w:bookmarkEnd w:id="4"/>
    </w:p>
    <w:p>
      <w:r>
        <w:t>India is the fastest-growing large economy. Provisional estimates from the National Statistics Office, released on 5 June 2026, put real GDP growth for FY2025-26 at 7.7 percent, up from 7.1 percent in FY2024-25, with growth of 7.8 percent in the January to March quarter.</w:t>
      </w:r>
      <w:hyperlink r:id="rId33">
        <w:r>
          <w:rPr>
            <w:color w:val="B31822"/>
            <w:vertAlign w:val="superscript"/>
          </w:rPr>
          <w:t xml:space="preserve">23</w:t>
        </w:r>
      </w:hyperlink>
      <w:r>
        <w:t xml:space="preserve"> Nominal GDP for the year is estimated at about Rs 346 lakh crore.</w:t>
      </w:r>
      <w:hyperlink r:id="rId33">
        <w:r>
          <w:rPr>
            <w:color w:val="B31822"/>
            <w:vertAlign w:val="superscript"/>
          </w:rPr>
          <w:t xml:space="preserve">23</w:t>
        </w:r>
      </w:hyperlink>
      <w:r>
        <w:t xml:space="preserve"> Momentum carried into the new fiscal year: estimates released on 31 August 2026 show real growth of 7.8 percent in April to June 2026.</w:t>
      </w:r>
      <w:hyperlink r:id="rId34">
        <w:r>
          <w:rPr>
            <w:color w:val="B31822"/>
            <w:vertAlign w:val="superscript"/>
          </w:rPr>
          <w:t xml:space="preserve">24</w:t>
        </w:r>
      </w:hyperlink>
      <w:r>
        <w:t xml:space="preserve"> These figures use a new national accounts series with base year 2022-23, introduced on 27 February 2026 to replace the 2011-12 base, so growth rates are not strictly comparable with older publications.</w:t>
      </w:r>
      <w:hyperlink r:id="rId33">
        <w:r>
          <w:rPr>
            <w:color w:val="B31822"/>
            <w:vertAlign w:val="superscript"/>
          </w:rPr>
          <w:t xml:space="preserve">23,</w:t>
        </w:r>
      </w:hyperlink>
      <w:hyperlink r:id="rId35">
        <w:r>
          <w:rPr>
            <w:color w:val="B31822"/>
            <w:vertAlign w:val="superscript"/>
          </w:rPr>
          <w:t xml:space="preserve">25</w:t>
        </w:r>
      </w:hyperlink>
      <w:r>
        <w:t xml:space="preserve"> In purchasing-power terms the World Bank puts 2025 GDP at about US$17.2 trillion, or about US$11,748 per person.</w:t>
      </w:r>
      <w:hyperlink r:id="rId14">
        <w:r>
          <w:rPr>
            <w:color w:val="B31822"/>
            <w:vertAlign w:val="superscript"/>
          </w:rPr>
          <w:t xml:space="preserve">4,</w:t>
        </w:r>
      </w:hyperlink>
      <w:hyperlink r:id="rId16">
        <w:r>
          <w:rPr>
            <w:color w:val="B31822"/>
            <w:vertAlign w:val="superscript"/>
          </w:rPr>
          <w:t xml:space="preserve">6</w:t>
        </w:r>
      </w:hyperlink>
      <w:r>
        <w:t xml:space="preserve"> India is therefore a very large but still lower-middle-income market, where a relatively small affluent and insured segment drives demand for premium care.</w:t>
      </w:r>
    </w:p>
    <w:p>
      <w:r>
        <w:t>The economy is increasingly exposed to US trade policy, and the tariff regime facing Indian exporters has changed several times in a year. Washington raised tariffs on most Indian goods to 50 percent from 27 August 2025 over India's purchases of Russian oil.</w:t>
      </w:r>
      <w:hyperlink r:id="rId36">
        <w:r>
          <w:rPr>
            <w:color w:val="B31822"/>
            <w:vertAlign w:val="superscript"/>
          </w:rPr>
          <w:t xml:space="preserve">26</w:t>
        </w:r>
      </w:hyperlink>
      <w:r>
        <w:t xml:space="preserve"> After President Trump announced a trade understanding on 2 February 2026, a joint statement on 6 February set out a framework for an interim agreement with an 18 percent reciprocal rate, and the 25 percent Russian-oil penalty was removed.</w:t>
      </w:r>
      <w:hyperlink r:id="rId37">
        <w:r>
          <w:rPr>
            <w:color w:val="B31822"/>
            <w:vertAlign w:val="superscript"/>
          </w:rPr>
          <w:t xml:space="preserve">27,</w:t>
        </w:r>
      </w:hyperlink>
      <w:hyperlink r:id="rId38">
        <w:r>
          <w:rPr>
            <w:color w:val="B31822"/>
            <w:vertAlign w:val="superscript"/>
          </w:rPr>
          <w:t xml:space="preserve">28</w:t>
        </w:r>
      </w:hyperlink>
      <w:r>
        <w:t xml:space="preserve"> On 20 February 2026 the US Supreme Court struck down the emergency-powers (IEEPA) tariffs on which those rates rested.</w:t>
      </w:r>
      <w:hyperlink r:id="rId39">
        <w:r>
          <w:rPr>
            <w:color w:val="B31822"/>
            <w:vertAlign w:val="superscript"/>
          </w:rPr>
          <w:t xml:space="preserve">29,</w:t>
        </w:r>
      </w:hyperlink>
      <w:hyperlink r:id="rId40">
        <w:r>
          <w:rPr>
            <w:color w:val="B31822"/>
            <w:vertAlign w:val="superscript"/>
          </w:rPr>
          <w:t xml:space="preserve">30</w:t>
        </w:r>
      </w:hyperlink>
      <w:r>
        <w:t xml:space="preserve"> After a temporary 10 percent global tariff, most Indian goods have faced a 10 percent Section 301 duty since 24 July 2026.</w:t>
      </w:r>
      <w:hyperlink r:id="rId39">
        <w:r>
          <w:rPr>
            <w:color w:val="B31822"/>
            <w:vertAlign w:val="superscript"/>
          </w:rPr>
          <w:t xml:space="preserve">29,</w:t>
        </w:r>
      </w:hyperlink>
      <w:hyperlink r:id="rId40">
        <w:r>
          <w:rPr>
            <w:color w:val="B31822"/>
            <w:vertAlign w:val="superscript"/>
          </w:rPr>
          <w:t xml:space="preserve">30</w:t>
        </w:r>
      </w:hyperlink>
      <w:r>
        <w:t xml:space="preserve"> Generic pharmaceuticals remain tied to a US Section 232 investigation, and on 18 September 2026 President Trump signed the Lindsey O. Graham Sanctioning Russia and Iran Act, which lets him impose, but does not trigger, tariffs of up to 100 percent on the largest buyers of Russian energy, with India and China the most exposed.</w:t>
      </w:r>
      <w:hyperlink r:id="rId41">
        <w:r>
          <w:rPr>
            <w:color w:val="B31822"/>
            <w:vertAlign w:val="superscript"/>
          </w:rPr>
          <w:t xml:space="preserve">31,</w:t>
        </w:r>
      </w:hyperlink>
      <w:hyperlink r:id="rId42">
        <w:r>
          <w:rPr>
            <w:color w:val="B31822"/>
            <w:vertAlign w:val="superscript"/>
          </w:rPr>
          <w:t xml:space="preserve">32,</w:t>
        </w:r>
      </w:hyperlink>
      <w:hyperlink r:id="rId43">
        <w:r>
          <w:rPr>
            <w:color w:val="B31822"/>
            <w:vertAlign w:val="superscript"/>
          </w:rPr>
          <w:t xml:space="preserve">33</w:t>
        </w:r>
      </w:hyperlink>
      <w:r>
        <w:t xml:space="preserve"> This matters for health because pharmaceuticals are a major export: Pharmexcil data show record exports of US$31.1 billion in FY2025-26, of which the United States took about US$9.5 billion, roughly 30 percent, down nearly 10 percent on the year before.</w:t>
      </w:r>
      <w:hyperlink r:id="rId44">
        <w:r>
          <w:rPr>
            <w:color w:val="B31822"/>
            <w:vertAlign w:val="superscript"/>
          </w:rPr>
          <w:t xml:space="preserve">34</w:t>
        </w:r>
      </w:hyperlink>
    </w:p>
    <w:p>
      <w:r>
        <w:t>On the fiscal side, the Union Budget 2026-27 gave the Health Ministry Rs 1,06,530 crore, nearly 10 percent above the previous year's revised estimate, and announced support for five regional medical hubs built with states and private investors.</w:t>
      </w:r>
      <w:hyperlink r:id="rId45">
        <w:r>
          <w:rPr>
            <w:color w:val="B31822"/>
            <w:vertAlign w:val="superscript"/>
          </w:rPr>
          <w:t xml:space="preserve">35,</w:t>
        </w:r>
      </w:hyperlink>
      <w:hyperlink r:id="rId46">
        <w:r>
          <w:rPr>
            <w:color w:val="B31822"/>
            <w:vertAlign w:val="superscript"/>
          </w:rPr>
          <w:t xml:space="preserve">36</w:t>
        </w:r>
      </w:hyperlink>
    </w:p>
    <w:p>
      <w:pPr>
        <w:pStyle w:val="Heading2"/>
      </w:pPr>
      <w:bookmarkStart w:id="5" w:name="_sec5"/>
      <w:r>
        <w:t>Disease Prevalence</w:t>
      </w:r>
      <w:bookmarkEnd w:id="5"/>
    </w:p>
    <w:tbl>
      <w:tblPr>
        <w:tblW w:type="auto" w:w="0"/>
        <w:jc w:val="left"/>
        <w:tblLayout w:type="autofit"/>
        <w:tblLook w:firstColumn="1" w:firstRow="1" w:lastColumn="0" w:lastRow="0" w:noHBand="0" w:noVBand="1" w:val="04A0"/>
      </w:tblPr>
      <w:tblGrid>
        <w:gridCol w:w="2436"/>
        <w:gridCol w:w="2436"/>
        <w:gridCol w:w="2436"/>
        <w:gridCol w:w="2436"/>
      </w:tblGrid>
      <w:tr>
        <w:tc>
          <w:tcPr>
            <w:tcW w:type="dxa" w:w="2436"/>
          </w:tcPr>
          <w:p>
            <w:pPr>
              <w:spacing w:after="60"/>
            </w:pPr>
            <w:r>
              <w:rPr>
                <w:b/>
                <w:color w:val="B31822"/>
                <w:sz w:val="21"/>
              </w:rPr>
              <w:t>NCD share of all deaths</w:t>
            </w:r>
          </w:p>
        </w:tc>
        <w:tc>
          <w:tcPr>
            <w:tcW w:type="dxa" w:w="2436"/>
          </w:tcPr>
          <w:p>
            <w:pPr>
              <w:spacing w:after="60"/>
            </w:pPr>
            <w:r>
              <w:rPr>
                <w:sz w:val="21"/>
              </w:rPr>
              <w:t>66% (2019, WHO)</w:t>
            </w:r>
            <w:hyperlink r:id="rId47">
              <w:r>
                <w:rPr>
                  <w:color w:val="B31822"/>
                  <w:vertAlign w:val="superscript"/>
                </w:rPr>
                <w:t xml:space="preserve">37</w:t>
              </w:r>
            </w:hyperlink>
          </w:p>
        </w:tc>
        <w:tc>
          <w:tcPr>
            <w:tcW w:type="dxa" w:w="2436"/>
          </w:tcPr>
          <w:p>
            <w:pPr>
              <w:spacing w:after="60"/>
            </w:pPr>
            <w:r>
              <w:rPr>
                <w:b/>
                <w:color w:val="B31822"/>
                <w:sz w:val="21"/>
              </w:rPr>
              <w:t>Probability of dying aged 30 to 70 from the four main NCDs</w:t>
            </w:r>
          </w:p>
        </w:tc>
        <w:tc>
          <w:tcPr>
            <w:tcW w:type="dxa" w:w="2436"/>
          </w:tcPr>
          <w:p>
            <w:pPr>
              <w:spacing w:after="60"/>
            </w:pPr>
            <w:r>
              <w:rPr>
                <w:sz w:val="21"/>
              </w:rPr>
              <w:t>23.6% (2021, WHO Global Health Observatory); 23.7% in 2019</w:t>
            </w:r>
            <w:hyperlink r:id="rId48">
              <w:r>
                <w:rPr>
                  <w:color w:val="B31822"/>
                  <w:vertAlign w:val="superscript"/>
                </w:rPr>
                <w:t xml:space="preserve">38</w:t>
              </w:r>
            </w:hyperlink>
          </w:p>
        </w:tc>
      </w:tr>
      <w:tr>
        <w:tc>
          <w:tcPr>
            <w:tcW w:type="dxa" w:w="2436"/>
          </w:tcPr>
          <w:p>
            <w:pPr>
              <w:spacing w:after="60"/>
            </w:pPr>
            <w:r>
              <w:rPr>
                <w:b/>
                <w:color w:val="B31822"/>
                <w:sz w:val="21"/>
              </w:rPr>
              <w:t>Circulatory diseases, share of medically certified deaths</w:t>
            </w:r>
          </w:p>
        </w:tc>
        <w:tc>
          <w:tcPr>
            <w:tcW w:type="dxa" w:w="2436"/>
          </w:tcPr>
          <w:p>
            <w:pPr>
              <w:spacing w:after="60"/>
            </w:pPr>
            <w:r>
              <w:rPr>
                <w:sz w:val="21"/>
              </w:rPr>
              <w:t>38.8% (2024, Medical Certification of Cause of Death report; certified deaths were 23.1% of all registered deaths)</w:t>
            </w:r>
            <w:hyperlink r:id="rId49">
              <w:r>
                <w:rPr>
                  <w:color w:val="B31822"/>
                  <w:vertAlign w:val="superscript"/>
                </w:rPr>
                <w:t xml:space="preserve">39</w:t>
              </w:r>
            </w:hyperlink>
          </w:p>
        </w:tc>
        <w:tc>
          <w:tcPr>
            <w:tcW w:type="dxa" w:w="2436"/>
          </w:tcPr>
          <w:p>
            <w:pPr>
              <w:spacing w:after="60"/>
            </w:pPr>
            <w:r>
              <w:rPr>
                <w:b/>
                <w:color w:val="B31822"/>
                <w:sz w:val="21"/>
              </w:rPr>
              <w:t>Diabetes and prediabetes</w:t>
            </w:r>
          </w:p>
        </w:tc>
        <w:tc>
          <w:tcPr>
            <w:tcW w:type="dxa" w:w="2436"/>
          </w:tcPr>
          <w:p>
            <w:pPr>
              <w:spacing w:after="60"/>
            </w:pPr>
            <w:r>
              <w:rPr>
                <w:sz w:val="21"/>
              </w:rPr>
              <w:t>About 101 million people with diabetes (11.4%) and 136 million with prediabetes (15.3%) (ICMR-INDIAB, fieldwork 2008 to 2020, published 2023)</w:t>
            </w:r>
            <w:hyperlink r:id="rId50">
              <w:r>
                <w:rPr>
                  <w:color w:val="B31822"/>
                  <w:vertAlign w:val="superscript"/>
                </w:rPr>
                <w:t xml:space="preserve">40</w:t>
              </w:r>
            </w:hyperlink>
          </w:p>
        </w:tc>
      </w:tr>
      <w:tr>
        <w:tc>
          <w:tcPr>
            <w:tcW w:type="dxa" w:w="2436"/>
          </w:tcPr>
          <w:p>
            <w:pPr>
              <w:spacing w:after="60"/>
            </w:pPr>
            <w:r>
              <w:rPr>
                <w:b/>
                <w:color w:val="B31822"/>
                <w:sz w:val="21"/>
              </w:rPr>
              <w:t>Hypertension, adults 15 and over</w:t>
            </w:r>
          </w:p>
        </w:tc>
        <w:tc>
          <w:tcPr>
            <w:tcW w:type="dxa" w:w="2436"/>
          </w:tcPr>
          <w:p>
            <w:pPr>
              <w:spacing w:after="60"/>
            </w:pPr>
            <w:r>
              <w:rPr>
                <w:sz w:val="21"/>
              </w:rPr>
              <w:t>24.0% of men and 21.3% of women (NFHS-5, 2019 to 2021)</w:t>
            </w:r>
            <w:hyperlink r:id="rId51">
              <w:r>
                <w:rPr>
                  <w:color w:val="B31822"/>
                  <w:vertAlign w:val="superscript"/>
                </w:rPr>
                <w:t xml:space="preserve">41</w:t>
              </w:r>
            </w:hyperlink>
          </w:p>
        </w:tc>
        <w:tc>
          <w:tcPr>
            <w:tcW w:type="dxa" w:w="2436"/>
          </w:tcPr>
          <w:p>
            <w:pPr>
              <w:spacing w:after="60"/>
            </w:pPr>
            <w:r>
              <w:rPr>
                <w:b/>
                <w:color w:val="B31822"/>
                <w:sz w:val="21"/>
              </w:rPr>
              <w:t>Anaemia, women aged 15 to 49</w:t>
            </w:r>
          </w:p>
        </w:tc>
        <w:tc>
          <w:tcPr>
            <w:tcW w:type="dxa" w:w="2436"/>
          </w:tcPr>
          <w:p>
            <w:pPr>
              <w:spacing w:after="60"/>
            </w:pPr>
            <w:r>
              <w:rPr>
                <w:sz w:val="21"/>
              </w:rPr>
              <w:t>57% (NFHS-5, 2019 to 2021)</w:t>
            </w:r>
            <w:hyperlink r:id="rId52">
              <w:r>
                <w:rPr>
                  <w:color w:val="B31822"/>
                  <w:vertAlign w:val="superscript"/>
                </w:rPr>
                <w:t xml:space="preserve">42</w:t>
              </w:r>
            </w:hyperlink>
          </w:p>
        </w:tc>
      </w:tr>
      <w:tr>
        <w:tc>
          <w:tcPr>
            <w:tcW w:type="dxa" w:w="2436"/>
          </w:tcPr>
          <w:p>
            <w:pPr>
              <w:spacing w:after="60"/>
            </w:pPr>
            <w:r>
              <w:rPr>
                <w:b/>
                <w:color w:val="B31822"/>
                <w:sz w:val="21"/>
              </w:rPr>
              <w:t>New cancer cases</w:t>
            </w:r>
          </w:p>
        </w:tc>
        <w:tc>
          <w:tcPr>
            <w:tcW w:type="dxa" w:w="2436"/>
          </w:tcPr>
          <w:p>
            <w:pPr>
              <w:spacing w:after="60"/>
            </w:pPr>
            <w:r>
              <w:rPr>
                <w:sz w:val="21"/>
              </w:rPr>
              <w:t>About 1.53 million estimated (2024, ICMR National Cancer Registry Programme)</w:t>
            </w:r>
            <w:hyperlink r:id="rId53">
              <w:r>
                <w:rPr>
                  <w:color w:val="B31822"/>
                  <w:vertAlign w:val="superscript"/>
                </w:rPr>
                <w:t xml:space="preserve">43</w:t>
              </w:r>
            </w:hyperlink>
          </w:p>
        </w:tc>
        <w:tc>
          <w:tcPr>
            <w:tcW w:type="dxa" w:w="2436"/>
          </w:tcPr>
          <w:p>
            <w:pPr>
              <w:spacing w:after="60"/>
            </w:pPr>
            <w:r>
              <w:rPr>
                <w:b/>
                <w:color w:val="B31822"/>
                <w:sz w:val="21"/>
              </w:rPr>
              <w:t>Tuberculosis</w:t>
            </w:r>
          </w:p>
        </w:tc>
        <w:tc>
          <w:tcPr>
            <w:tcW w:type="dxa" w:w="2436"/>
          </w:tcPr>
          <w:p>
            <w:pPr>
              <w:spacing w:after="60"/>
            </w:pPr>
            <w:r>
              <w:rPr>
                <w:sz w:val="21"/>
              </w:rPr>
              <w:t>About 25% of global TB cases; incidence 187 per 100,000 (2024, WHO Global TB Report 2025)</w:t>
            </w:r>
            <w:hyperlink r:id="rId54">
              <w:r>
                <w:rPr>
                  <w:color w:val="B31822"/>
                  <w:vertAlign w:val="superscript"/>
                </w:rPr>
                <w:t xml:space="preserve">44,</w:t>
              </w:r>
            </w:hyperlink>
            <w:hyperlink r:id="rId55">
              <w:r>
                <w:rPr>
                  <w:color w:val="B31822"/>
                  <w:vertAlign w:val="superscript"/>
                </w:rPr>
                <w:t xml:space="preserve">45</w:t>
              </w:r>
            </w:hyperlink>
          </w:p>
        </w:tc>
      </w:tr>
      <w:tr>
        <w:tc>
          <w:tcPr>
            <w:tcW w:type="dxa" w:w="2436"/>
          </w:tcPr>
          <w:p>
            <w:pPr>
              <w:spacing w:after="60"/>
            </w:pPr>
            <w:r>
              <w:rPr>
                <w:b/>
                <w:color w:val="B31822"/>
                <w:sz w:val="21"/>
              </w:rPr>
              <w:t>Deaths attributable to air pollution</w:t>
            </w:r>
          </w:p>
        </w:tc>
        <w:tc>
          <w:tcPr>
            <w:tcW w:type="dxa" w:w="2436"/>
          </w:tcPr>
          <w:p>
            <w:pPr>
              <w:spacing w:after="60"/>
            </w:pPr>
            <w:r>
              <w:rPr>
                <w:sz w:val="21"/>
              </w:rPr>
              <w:t>About 2.1 million (2021, State of Global Air 2024)</w:t>
            </w:r>
            <w:hyperlink r:id="rId56">
              <w:r>
                <w:rPr>
                  <w:color w:val="B31822"/>
                  <w:vertAlign w:val="superscript"/>
                </w:rPr>
                <w:t xml:space="preserve">46,</w:t>
              </w:r>
            </w:hyperlink>
            <w:hyperlink r:id="rId57">
              <w:r>
                <w:rPr>
                  <w:color w:val="B31822"/>
                  <w:vertAlign w:val="superscript"/>
                </w:rPr>
                <w:t xml:space="preserve">47</w:t>
              </w:r>
            </w:hyperlink>
          </w:p>
        </w:tc>
        <w:tc>
          <w:tcPr>
            <w:tcW w:type="dxa" w:w="2436"/>
          </w:tcPr>
          <w:p/>
        </w:tc>
        <w:tc>
          <w:tcPr>
            <w:tcW w:type="dxa" w:w="2436"/>
          </w:tcPr>
          <w:p/>
        </w:tc>
      </w:tr>
    </w:tbl>
    <w:p>
      <w:pPr>
        <w:spacing w:after="40"/>
      </w:pPr>
    </w:p>
    <w:p>
      <w:r>
        <w:t>Non-communicable diseases now dominate India's disease burden, but communicable, maternal and nutritional conditions have not gone away.</w:t>
      </w:r>
      <w:hyperlink r:id="rId58">
        <w:r>
          <w:rPr>
            <w:color w:val="B31822"/>
            <w:vertAlign w:val="superscript"/>
          </w:rPr>
          <w:t xml:space="preserve">48</w:t>
        </w:r>
      </w:hyperlink>
      <w:r>
        <w:t xml:space="preserve"> The ICMR, PHFI and IHME State-Level Disease Burden Initiative found that the NCD share of deaths rose from 37.9 percent in 1990 to 61.8 percent in 2016, and WHO estimates it at 66 percent in 2019.</w:t>
      </w:r>
      <w:hyperlink r:id="rId59">
        <w:r>
          <w:rPr>
            <w:color w:val="B31822"/>
            <w:vertAlign w:val="superscript"/>
          </w:rPr>
          <w:t xml:space="preserve">49,</w:t>
        </w:r>
      </w:hyperlink>
      <w:hyperlink r:id="rId47">
        <w:r>
          <w:rPr>
            <w:color w:val="B31822"/>
            <w:vertAlign w:val="superscript"/>
          </w:rPr>
          <w:t xml:space="preserve">37</w:t>
        </w:r>
      </w:hyperlink>
      <w:r>
        <w:t xml:space="preserve"> According to WHO's Global Health Observatory, a 30-year-old Indian had a 23.6 percent chance in 2021 of dying before 70 from cardiovascular disease, cancer, diabetes or chronic respiratory disease, roughly one in four and among the higher rates in Asia.</w:t>
      </w:r>
      <w:hyperlink r:id="rId48">
        <w:r>
          <w:rPr>
            <w:color w:val="B31822"/>
            <w:vertAlign w:val="superscript"/>
          </w:rPr>
          <w:t xml:space="preserve">38</w:t>
        </w:r>
      </w:hyperlink>
      <w:r>
        <w:t xml:space="preserve"> According to IHME's Global Burden of Disease work, ischaemic heart disease is the leading cause of death, followed by stroke and COPD.</w:t>
      </w:r>
      <w:hyperlink r:id="rId60">
        <w:r>
          <w:rPr>
            <w:color w:val="B31822"/>
            <w:vertAlign w:val="superscript"/>
          </w:rPr>
          <w:t xml:space="preserve">50</w:t>
        </w:r>
      </w:hyperlink>
      <w:r>
        <w:t xml:space="preserve"> The official Medical Certification of Cause of Death report attributes 38.8 percent of certified deaths in 2024 to circulatory disease, but only 23.1 percent of registered deaths were medically certified, which shows how thin the vital-statistics base remains.</w:t>
      </w:r>
      <w:hyperlink r:id="rId49">
        <w:r>
          <w:rPr>
            <w:color w:val="B31822"/>
            <w:vertAlign w:val="superscript"/>
          </w:rPr>
          <w:t xml:space="preserve">39</w:t>
        </w:r>
      </w:hyperlink>
    </w:p>
    <w:p>
      <w:r>
        <w:t>Metabolic risk is very high. ICMR-INDIAB estimates 101 million people with diabetes and another 136 million with prediabetes.</w:t>
      </w:r>
      <w:hyperlink r:id="rId50">
        <w:r>
          <w:rPr>
            <w:color w:val="B31822"/>
            <w:vertAlign w:val="superscript"/>
          </w:rPr>
          <w:t xml:space="preserve">40</w:t>
        </w:r>
      </w:hyperlink>
      <w:r>
        <w:t xml:space="preserve"> GBD analyses rank air pollution, high blood pressure, dietary risks, high fasting plasma glucose and tobacco as leading risk factors, and the State of Global Air 2024 report attributes about 2.1 million Indian deaths in 2021 to air pollution.</w:t>
      </w:r>
      <w:hyperlink r:id="rId61">
        <w:r>
          <w:rPr>
            <w:color w:val="B31822"/>
            <w:vertAlign w:val="superscript"/>
          </w:rPr>
          <w:t xml:space="preserve">51,</w:t>
        </w:r>
      </w:hyperlink>
      <w:hyperlink r:id="rId62">
        <w:r>
          <w:rPr>
            <w:color w:val="B31822"/>
            <w:vertAlign w:val="superscript"/>
          </w:rPr>
          <w:t xml:space="preserve">52,</w:t>
        </w:r>
      </w:hyperlink>
      <w:hyperlink r:id="rId56">
        <w:r>
          <w:rPr>
            <w:color w:val="B31822"/>
            <w:vertAlign w:val="superscript"/>
          </w:rPr>
          <w:t xml:space="preserve">46,</w:t>
        </w:r>
      </w:hyperlink>
      <w:hyperlink r:id="rId57">
        <w:r>
          <w:rPr>
            <w:color w:val="B31822"/>
            <w:vertAlign w:val="superscript"/>
          </w:rPr>
          <w:t xml:space="preserve">47</w:t>
        </w:r>
      </w:hyperlink>
      <w:r>
        <w:t xml:space="preserve"> ICMR projects cancer cases to keep rising, led by oral and lung cancer in men and breast and cervical cancer in women.</w:t>
      </w:r>
      <w:hyperlink r:id="rId63">
        <w:r>
          <w:rPr>
            <w:color w:val="B31822"/>
            <w:vertAlign w:val="superscript"/>
          </w:rPr>
          <w:t xml:space="preserve">53,</w:t>
        </w:r>
      </w:hyperlink>
      <w:hyperlink r:id="rId53">
        <w:r>
          <w:rPr>
            <w:color w:val="B31822"/>
            <w:vertAlign w:val="superscript"/>
          </w:rPr>
          <w:t xml:space="preserve">43</w:t>
        </w:r>
      </w:hyperlink>
    </w:p>
    <w:p>
      <w:r>
        <w:t>Alongside this NCD burden, India still accounted for about a quarter of the world's TB cases in 2024, although WHO credits it with a 21 percent fall in incidence since 2015, and 57 percent of women aged 15 to 49 are anaemic.</w:t>
      </w:r>
      <w:hyperlink r:id="rId54">
        <w:r>
          <w:rPr>
            <w:color w:val="B31822"/>
            <w:vertAlign w:val="superscript"/>
          </w:rPr>
          <w:t xml:space="preserve">44,</w:t>
        </w:r>
      </w:hyperlink>
      <w:hyperlink r:id="rId55">
        <w:r>
          <w:rPr>
            <w:color w:val="B31822"/>
            <w:vertAlign w:val="superscript"/>
          </w:rPr>
          <w:t xml:space="preserve">45,</w:t>
        </w:r>
      </w:hyperlink>
      <w:hyperlink r:id="rId52">
        <w:r>
          <w:rPr>
            <w:color w:val="B31822"/>
            <w:vertAlign w:val="superscript"/>
          </w:rPr>
          <w:t xml:space="preserve">42</w:t>
        </w:r>
      </w:hyperlink>
      <w:r>
        <w:t xml:space="preserve"> The government's response has been population-level NCD screening through its 75/25 initiative.</w:t>
      </w:r>
      <w:hyperlink r:id="rId64">
        <w:r>
          <w:rPr>
            <w:color w:val="B31822"/>
            <w:vertAlign w:val="superscript"/>
          </w:rPr>
          <w:t xml:space="preserve">54</w:t>
        </w:r>
      </w:hyperlink>
      <w:r>
        <w:t xml:space="preserve"> For a foreign academic partner, the demand is clearest in cardiology, oncology, metabolic and transplant medicine, and pulmonary and environmental health research.</w:t>
      </w:r>
    </w:p>
    <w:p>
      <w:pPr>
        <w:pStyle w:val="Heading1"/>
      </w:pPr>
      <w:bookmarkStart w:id="6" w:name="_sec6"/>
      <w:r>
        <w:t>India Health System</w:t>
      </w:r>
      <w:bookmarkEnd w:id="6"/>
    </w:p>
    <w:p>
      <w:pPr>
        <w:spacing w:before="0" w:after="80"/>
        <w:pBdr>
          <w:bottom w:val="single" w:sz="12" w:space="1" w:color="D91F2C"/>
        </w:pBdr>
      </w:pPr>
    </w:p>
    <w:p>
      <w:pPr>
        <w:pStyle w:val="Heading2"/>
      </w:pPr>
      <w:bookmarkStart w:id="7" w:name="_sec7"/>
      <w:r>
        <w:t>Public Healthcare System</w:t>
      </w:r>
      <w:bookmarkEnd w:id="7"/>
    </w:p>
    <w:p>
      <w:r>
        <w:t>India's public system is built in tiers. At the base are sub-health centres, primary health centres and urban primary health centres, many of which have been upgraded into Ayushman Arogya Mandirs (formerly Health and Wellness Centres).</w:t>
      </w:r>
      <w:hyperlink r:id="rId65">
        <w:r>
          <w:rPr>
            <w:color w:val="B31822"/>
            <w:vertAlign w:val="superscript"/>
          </w:rPr>
          <w:t xml:space="preserve">55,</w:t>
        </w:r>
      </w:hyperlink>
      <w:hyperlink r:id="rId66">
        <w:r>
          <w:rPr>
            <w:color w:val="B31822"/>
            <w:vertAlign w:val="superscript"/>
          </w:rPr>
          <w:t xml:space="preserve">56</w:t>
        </w:r>
      </w:hyperlink>
      <w:r>
        <w:t xml:space="preserve"> Above them are community health centres, district hospitals, state medical college hospitals, and national institutes such as the AIIMS network, PGIMER Chandigarh and Tata Memorial Centre.</w:t>
      </w:r>
      <w:hyperlink r:id="rId65">
        <w:r>
          <w:rPr>
            <w:color w:val="B31822"/>
            <w:vertAlign w:val="superscript"/>
          </w:rPr>
          <w:t xml:space="preserve">55,</w:t>
        </w:r>
      </w:hyperlink>
      <w:hyperlink r:id="rId67">
        <w:r>
          <w:rPr>
            <w:color w:val="B31822"/>
            <w:vertAlign w:val="superscript"/>
          </w:rPr>
          <w:t xml:space="preserve">57</w:t>
        </w:r>
      </w:hyperlink>
      <w:r>
        <w:t xml:space="preserve"> By 30 November 2025 the Health Ministry reported 1,81,873 operational Ayushman Arogya Mandirs offering an expanded package of 12 services, including NCD screening and teleconsultation.</w:t>
      </w:r>
      <w:hyperlink r:id="rId65">
        <w:r>
          <w:rPr>
            <w:color w:val="B31822"/>
            <w:vertAlign w:val="superscript"/>
          </w:rPr>
          <w:t xml:space="preserve">55</w:t>
        </w:r>
      </w:hyperlink>
    </w:p>
    <w:p>
      <w:r>
        <w:t>The main financing and operating vehicle is the National Health Mission, which receives Rs 39,390 crore in the 2026-27 Union budget, supplemented by Rs 4,770 crore for the PM-Ayushman Bharat Health Infrastructure Mission.</w:t>
      </w:r>
      <w:hyperlink r:id="rId45">
        <w:r>
          <w:rPr>
            <w:color w:val="B31822"/>
            <w:vertAlign w:val="superscript"/>
          </w:rPr>
          <w:t xml:space="preserve">35</w:t>
        </w:r>
      </w:hyperlink>
      <w:r>
        <w:t xml:space="preserve"> The demand-side counterpart is Ayushman Bharat PM-JAY, a tax-funded scheme that pays for up to Rs 5 lakh of hospital care per family per year across 1,961 procedures, delivered through more than 38,000 public and private empanelled hospitals.</w:t>
      </w:r>
      <w:hyperlink r:id="rId68">
        <w:r>
          <w:rPr>
            <w:color w:val="B31822"/>
            <w:vertAlign w:val="superscript"/>
          </w:rPr>
          <w:t xml:space="preserve">58,</w:t>
        </w:r>
      </w:hyperlink>
      <w:hyperlink r:id="rId69">
        <w:r>
          <w:rPr>
            <w:color w:val="B31822"/>
            <w:vertAlign w:val="superscript"/>
          </w:rPr>
          <w:t xml:space="preserve">59</w:t>
        </w:r>
      </w:hyperlink>
      <w:r>
        <w:t xml:space="preserve"> Coverage was extended in September 2024 to everyone aged 70 and over, regardless of income.</w:t>
      </w:r>
      <w:hyperlink r:id="rId69">
        <w:r>
          <w:rPr>
            <w:color w:val="B31822"/>
            <w:vertAlign w:val="superscript"/>
          </w:rPr>
          <w:t xml:space="preserve">59</w:t>
        </w:r>
      </w:hyperlink>
      <w:r>
        <w:t xml:space="preserve"> By its eighth anniversary in September 2026, PM-JAY had funded 13.25 crore hospital admissions worth Rs 2.03 lakh crore, and 48.5 crore Ayushman cards had been issued.</w:t>
      </w:r>
      <w:hyperlink r:id="rId68">
        <w:r>
          <w:rPr>
            <w:color w:val="B31822"/>
            <w:vertAlign w:val="superscript"/>
          </w:rPr>
          <w:t xml:space="preserve">58,</w:t>
        </w:r>
      </w:hyperlink>
      <w:hyperlink r:id="rId69">
        <w:r>
          <w:rPr>
            <w:color w:val="B31822"/>
            <w:vertAlign w:val="superscript"/>
          </w:rPr>
          <w:t xml:space="preserve">59</w:t>
        </w:r>
      </w:hyperlink>
    </w:p>
    <w:p>
      <w:r>
        <w:t>The public system's main weakness is capacity. The Health Ministry counted 8,18,661 beds in public facilities from primary health centres up to medical colleges as of 31 March 2023, which works out to fewer than 0.6 beds per 1,000 people, against the National Health Policy 2017 norm of 2 per 1,000.</w:t>
      </w:r>
      <w:hyperlink r:id="rId67">
        <w:r>
          <w:rPr>
            <w:color w:val="B31822"/>
            <w:vertAlign w:val="superscript"/>
          </w:rPr>
          <w:t xml:space="preserve">57</w:t>
        </w:r>
      </w:hyperlink>
      <w:r>
        <w:t xml:space="preserve"> That count leaves out some other government hospitals, but on any measure public bed supply is well under one per 1,000 people, and far thinner in Bihar and Uttar Pradesh.</w:t>
      </w:r>
      <w:hyperlink r:id="rId67">
        <w:r>
          <w:rPr>
            <w:color w:val="B31822"/>
            <w:vertAlign w:val="superscript"/>
          </w:rPr>
          <w:t xml:space="preserve">57,</w:t>
        </w:r>
      </w:hyperlink>
      <w:hyperlink r:id="rId70">
        <w:r>
          <w:rPr>
            <w:color w:val="B31822"/>
            <w:vertAlign w:val="superscript"/>
          </w:rPr>
          <w:t xml:space="preserve">60</w:t>
        </w:r>
      </w:hyperlink>
      <w:r>
        <w:t xml:space="preserve"> Public care is much cheaper, though. The NSO's 2025 survey found average out-of-pocket spending of Rs 6,631 per hospitalisation, excluding childbirth, in public hospitals, against Rs 50,508 in private hospitals and Rs 34,064 across all facilities.</w:t>
      </w:r>
      <w:hyperlink r:id="rId71">
        <w:r>
          <w:rPr>
            <w:color w:val="B31822"/>
            <w:vertAlign w:val="superscript"/>
          </w:rPr>
          <w:t xml:space="preserve">61,</w:t>
        </w:r>
      </w:hyperlink>
      <w:hyperlink r:id="rId72">
        <w:r>
          <w:rPr>
            <w:color w:val="B31822"/>
            <w:vertAlign w:val="superscript"/>
          </w:rPr>
          <w:t xml:space="preserve">62</w:t>
        </w:r>
      </w:hyperlink>
      <w:r>
        <w:t xml:space="preserve"> For a foreign academic center, the public apex institutions are the natural partners for research, training and protocol work, while PM-JAY's tariffs set the price floor that private partners compete against.</w:t>
      </w:r>
    </w:p>
    <w:p>
      <w:pPr>
        <w:pStyle w:val="Heading2"/>
      </w:pPr>
      <w:bookmarkStart w:id="8" w:name="_sec8"/>
      <w:r>
        <w:t>Private Healthcare System</w:t>
      </w:r>
      <w:bookmarkEnd w:id="8"/>
    </w:p>
    <w:p>
      <w:r>
        <w:t>Private providers deliver most of India's specialist and hospital care, and they are consolidating fast. The NSO's 2025 household health survey found that treating the same illness costs five to ten times more in a private hospital than in a government one.</w:t>
      </w:r>
      <w:hyperlink r:id="rId73">
        <w:r>
          <w:rPr>
            <w:color w:val="B31822"/>
            <w:vertAlign w:val="superscript"/>
          </w:rPr>
          <w:t xml:space="preserve">63</w:t>
        </w:r>
      </w:hyperlink>
      <w:r>
        <w:t xml:space="preserve"> The average out-of-pocket bill for a hospital stay, excluding childbirth, was Rs 50,508 in private hospitals against Rs 6,631 in public ones, and the median was Rs 24,000 against Rs 1,100.</w:t>
      </w:r>
      <w:hyperlink r:id="rId71">
        <w:r>
          <w:rPr>
            <w:color w:val="B31822"/>
            <w:vertAlign w:val="superscript"/>
          </w:rPr>
          <w:t xml:space="preserve">61</w:t>
        </w:r>
      </w:hyperlink>
    </w:p>
    <w:p>
      <w:r>
        <w:t>The corporate chains are growing through acquisition and greenfield projects. Manipal Hospitals reported 49 hospitals and 13,037 licensed beds as of 31 March 2026, up from 33 hospitals and 9,520 beds two years earlier after it bought AMRI, Medica and Sahyadri.</w:t>
      </w:r>
      <w:hyperlink r:id="rId74">
        <w:r>
          <w:rPr>
            <w:color w:val="B31822"/>
            <w:vertAlign w:val="superscript"/>
          </w:rPr>
          <w:t xml:space="preserve">64</w:t>
        </w:r>
      </w:hyperlink>
      <w:r>
        <w:t xml:space="preserve"> It listed on the stock exchanges on 5 August 2026 after a Rs 9,275 crore IPO that was subscribed nearly five times.</w:t>
      </w:r>
      <w:hyperlink r:id="rId75">
        <w:r>
          <w:rPr>
            <w:color w:val="B31822"/>
            <w:vertAlign w:val="superscript"/>
          </w:rPr>
          <w:t xml:space="preserve">65</w:t>
        </w:r>
      </w:hyperlink>
      <w:r>
        <w:t xml:space="preserve"> Apollo Hospitals reports 10,970 beds in 78 hospitals in India and overseas as of March 2026, a total that counts owned and managed hospitals as well as day-surgery and cradle units.</w:t>
      </w:r>
      <w:hyperlink r:id="rId76">
        <w:r>
          <w:rPr>
            <w:color w:val="B31822"/>
            <w:vertAlign w:val="superscript"/>
          </w:rPr>
          <w:t xml:space="preserve">66,</w:t>
        </w:r>
      </w:hyperlink>
      <w:hyperlink r:id="rId77">
        <w:r>
          <w:rPr>
            <w:color w:val="B31822"/>
            <w:vertAlign w:val="superscript"/>
          </w:rPr>
          <w:t xml:space="preserve">67</w:t>
        </w:r>
      </w:hyperlink>
      <w:r>
        <w:t xml:space="preserve"> The merger of Aster DM Healthcare with Blackstone-backed Quality Care India took effect in July 2026 and created Aster DM Quality Care, with 39 hospitals in 28 cities and more than 10,600 beds under the Aster, CARE, Evercare and KIMSHEALTH brands.</w:t>
      </w:r>
      <w:hyperlink r:id="rId78">
        <w:r>
          <w:rPr>
            <w:color w:val="B31822"/>
            <w:vertAlign w:val="superscript"/>
          </w:rPr>
          <w:t xml:space="preserve">68,</w:t>
        </w:r>
      </w:hyperlink>
      <w:hyperlink r:id="rId79">
        <w:r>
          <w:rPr>
            <w:color w:val="B31822"/>
            <w:vertAlign w:val="superscript"/>
          </w:rPr>
          <w:t xml:space="preserve">69</w:t>
        </w:r>
      </w:hyperlink>
      <w:r>
        <w:t xml:space="preserve"> Max Healthcare had 4,966 operational beds at 31 March 2026 and aims for 10,000 by FY2030, and Medanta had about 3,665 installed beds across six hospitals after adding 623 in FY2025-26.</w:t>
      </w:r>
      <w:hyperlink r:id="rId80">
        <w:r>
          <w:rPr>
            <w:color w:val="B31822"/>
            <w:vertAlign w:val="superscript"/>
          </w:rPr>
          <w:t xml:space="preserve">70,</w:t>
        </w:r>
      </w:hyperlink>
      <w:hyperlink r:id="rId81">
        <w:r>
          <w:rPr>
            <w:color w:val="B31822"/>
            <w:vertAlign w:val="superscript"/>
          </w:rPr>
          <w:t xml:space="preserve">71,</w:t>
        </w:r>
      </w:hyperlink>
      <w:hyperlink r:id="rId82">
        <w:r>
          <w:rPr>
            <w:color w:val="B31822"/>
            <w:vertAlign w:val="superscript"/>
          </w:rPr>
          <w:t xml:space="preserve">72</w:t>
        </w:r>
      </w:hyperlink>
      <w:r>
        <w:t xml:space="preserve"> Malaysia's IHH Healthcare has controlled Fortis since 2018 with about 31.17 percent.</w:t>
      </w:r>
      <w:hyperlink r:id="rId83">
        <w:r>
          <w:rPr>
            <w:color w:val="B31822"/>
            <w:vertAlign w:val="superscript"/>
          </w:rPr>
          <w:t xml:space="preserve">73</w:t>
        </w:r>
      </w:hyperlink>
      <w:r>
        <w:t xml:space="preserve"> Its long-delayed mandatory open offer closed in November 2025 with only 1,778 shares tendered, so the stake is essentially unchanged.</w:t>
      </w:r>
      <w:hyperlink r:id="rId83">
        <w:r>
          <w:rPr>
            <w:color w:val="B31822"/>
            <w:vertAlign w:val="superscript"/>
          </w:rPr>
          <w:t xml:space="preserve">73</w:t>
        </w:r>
      </w:hyperlink>
      <w:r>
        <w:t xml:space="preserve"> Narayana Health entered the UK in October 2025 by buying Practice Plus Group's hospitals.</w:t>
      </w:r>
      <w:hyperlink r:id="rId84">
        <w:r>
          <w:rPr>
            <w:color w:val="B31822"/>
            <w:vertAlign w:val="superscript"/>
          </w:rPr>
          <w:t xml:space="preserve">74</w:t>
        </w:r>
      </w:hyperlink>
    </w:p>
    <w:p>
      <w:r>
        <w:t>An EY-Parthenon review of FY2025-26, published in July 2026, found revenue and EBITDA growth above 15 percent at leading operators, occupancy mostly between 60 and 75 percent, and large pipelines: about 3,400 new beds at Apollo between FY2027 and FY2030, about 2,700 at Medanta over three to four years, about 1,800 at Fortis and roughly 4,445 at Aster DM Quality Care.</w:t>
      </w:r>
      <w:hyperlink r:id="rId85">
        <w:r>
          <w:rPr>
            <w:color w:val="B31822"/>
            <w:vertAlign w:val="superscript"/>
          </w:rPr>
          <w:t xml:space="preserve">75,</w:t>
        </w:r>
      </w:hyperlink>
      <w:hyperlink r:id="rId86">
        <w:r>
          <w:rPr>
            <w:color w:val="B31822"/>
            <w:vertAlign w:val="superscript"/>
          </w:rPr>
          <w:t xml:space="preserve">76</w:t>
        </w:r>
      </w:hyperlink>
      <w:r>
        <w:t xml:space="preserve"> Global private equity (Blackstone, KKR) is an active consolidator.</w:t>
      </w:r>
      <w:hyperlink r:id="rId78">
        <w:r>
          <w:rPr>
            <w:color w:val="B31822"/>
            <w:vertAlign w:val="superscript"/>
          </w:rPr>
          <w:t xml:space="preserve">68,</w:t>
        </w:r>
      </w:hyperlink>
      <w:hyperlink r:id="rId87">
        <w:r>
          <w:rPr>
            <w:color w:val="B31822"/>
            <w:vertAlign w:val="superscript"/>
          </w:rPr>
          <w:t xml:space="preserve">77</w:t>
        </w:r>
      </w:hyperlink>
      <w:r>
        <w:t xml:space="preserve"> For a foreign academic medical center, these chains are the most likely commercial counterparties for affiliations, second-opinion services and clinical program development, and each is actively looking for differentiation in high-acuity specialties.</w:t>
      </w:r>
    </w:p>
    <w:p>
      <w:pPr>
        <w:pStyle w:val="Heading2"/>
      </w:pPr>
      <w:bookmarkStart w:id="9" w:name="_sec9"/>
      <w:r>
        <w:t>Healthcare Financing</w:t>
      </w:r>
      <w:bookmarkEnd w:id="9"/>
    </w:p>
    <w:tbl>
      <w:tblPr>
        <w:tblW w:type="auto" w:w="0"/>
        <w:jc w:val="left"/>
        <w:tblLayout w:type="autofit"/>
        <w:tblLook w:firstColumn="1" w:firstRow="1" w:lastColumn="0" w:lastRow="0" w:noHBand="0" w:noVBand="1" w:val="04A0"/>
      </w:tblPr>
      <w:tblGrid>
        <w:gridCol w:w="2436"/>
        <w:gridCol w:w="2436"/>
        <w:gridCol w:w="2436"/>
        <w:gridCol w:w="2436"/>
      </w:tblGrid>
      <w:tr>
        <w:tc>
          <w:tcPr>
            <w:tcW w:type="dxa" w:w="2436"/>
          </w:tcPr>
          <w:p>
            <w:pPr>
              <w:spacing w:after="60"/>
            </w:pPr>
            <w:r>
              <w:rPr>
                <w:b/>
                <w:color w:val="B31822"/>
                <w:sz w:val="21"/>
              </w:rPr>
              <w:t>Total health expenditure, share of GDP</w:t>
            </w:r>
          </w:p>
        </w:tc>
        <w:tc>
          <w:tcPr>
            <w:tcW w:type="dxa" w:w="2436"/>
          </w:tcPr>
          <w:p>
            <w:pPr>
              <w:spacing w:after="60"/>
            </w:pPr>
            <w:r>
              <w:rPr>
                <w:sz w:val="21"/>
              </w:rPr>
              <w:t>3.37% on the new 2022-23 base GDP series; 3.28% on the old 2011-12 series (2022-23, National Health Accounts)</w:t>
            </w:r>
            <w:hyperlink r:id="rId88">
              <w:r>
                <w:rPr>
                  <w:color w:val="B31822"/>
                  <w:vertAlign w:val="superscript"/>
                </w:rPr>
                <w:t xml:space="preserve">78</w:t>
              </w:r>
            </w:hyperlink>
          </w:p>
        </w:tc>
        <w:tc>
          <w:tcPr>
            <w:tcW w:type="dxa" w:w="2436"/>
          </w:tcPr>
          <w:p>
            <w:pPr>
              <w:spacing w:after="60"/>
            </w:pPr>
            <w:r>
              <w:rPr>
                <w:b/>
                <w:color w:val="B31822"/>
                <w:sz w:val="21"/>
              </w:rPr>
              <w:t>Total health expenditure per capita</w:t>
            </w:r>
          </w:p>
        </w:tc>
        <w:tc>
          <w:tcPr>
            <w:tcW w:type="dxa" w:w="2436"/>
          </w:tcPr>
          <w:p>
            <w:pPr>
              <w:spacing w:after="60"/>
            </w:pPr>
            <w:r>
              <w:rPr>
                <w:sz w:val="21"/>
              </w:rPr>
              <w:t>Rs 6,373 (2022-23, National Health Accounts)</w:t>
            </w:r>
            <w:hyperlink r:id="rId88">
              <w:r>
                <w:rPr>
                  <w:color w:val="B31822"/>
                  <w:vertAlign w:val="superscript"/>
                </w:rPr>
                <w:t xml:space="preserve">78,</w:t>
              </w:r>
            </w:hyperlink>
            <w:hyperlink r:id="rId89">
              <w:r>
                <w:rPr>
                  <w:color w:val="B31822"/>
                  <w:vertAlign w:val="superscript"/>
                </w:rPr>
                <w:t xml:space="preserve">79</w:t>
              </w:r>
            </w:hyperlink>
          </w:p>
        </w:tc>
      </w:tr>
      <w:tr>
        <w:tc>
          <w:tcPr>
            <w:tcW w:type="dxa" w:w="2436"/>
          </w:tcPr>
          <w:p>
            <w:pPr>
              <w:spacing w:after="60"/>
            </w:pPr>
            <w:r>
              <w:rPr>
                <w:b/>
                <w:color w:val="B31822"/>
                <w:sz w:val="21"/>
              </w:rPr>
              <w:t>Government health expenditure, share of GDP</w:t>
            </w:r>
          </w:p>
        </w:tc>
        <w:tc>
          <w:tcPr>
            <w:tcW w:type="dxa" w:w="2436"/>
          </w:tcPr>
          <w:p>
            <w:pPr>
              <w:spacing w:after="60"/>
            </w:pPr>
            <w:r>
              <w:rPr>
                <w:sz w:val="21"/>
              </w:rPr>
              <w:t>1.48% on the new 2022-23 base GDP series; 1.43% on the old series (2022-23)</w:t>
            </w:r>
            <w:hyperlink r:id="rId88">
              <w:r>
                <w:rPr>
                  <w:color w:val="B31822"/>
                  <w:vertAlign w:val="superscript"/>
                </w:rPr>
                <w:t xml:space="preserve">78,</w:t>
              </w:r>
            </w:hyperlink>
            <w:hyperlink r:id="rId90">
              <w:r>
                <w:rPr>
                  <w:color w:val="B31822"/>
                  <w:vertAlign w:val="superscript"/>
                </w:rPr>
                <w:t xml:space="preserve">80,</w:t>
              </w:r>
            </w:hyperlink>
            <w:hyperlink r:id="rId91">
              <w:r>
                <w:rPr>
                  <w:color w:val="B31822"/>
                  <w:vertAlign w:val="superscript"/>
                </w:rPr>
                <w:t xml:space="preserve">81</w:t>
              </w:r>
            </w:hyperlink>
          </w:p>
        </w:tc>
        <w:tc>
          <w:tcPr>
            <w:tcW w:type="dxa" w:w="2436"/>
          </w:tcPr>
          <w:p>
            <w:pPr>
              <w:spacing w:after="60"/>
            </w:pPr>
            <w:r>
              <w:rPr>
                <w:b/>
                <w:color w:val="B31822"/>
                <w:sz w:val="21"/>
              </w:rPr>
              <w:t>Government share of total health expenditure</w:t>
            </w:r>
          </w:p>
        </w:tc>
        <w:tc>
          <w:tcPr>
            <w:tcW w:type="dxa" w:w="2436"/>
          </w:tcPr>
          <w:p>
            <w:pPr>
              <w:spacing w:after="60"/>
            </w:pPr>
            <w:r>
              <w:rPr>
                <w:sz w:val="21"/>
              </w:rPr>
              <w:t>43.7% (2022-23), up from 28.6% in 2013-14</w:t>
            </w:r>
            <w:hyperlink r:id="rId90">
              <w:r>
                <w:rPr>
                  <w:color w:val="B31822"/>
                  <w:vertAlign w:val="superscript"/>
                </w:rPr>
                <w:t xml:space="preserve">80</w:t>
              </w:r>
            </w:hyperlink>
          </w:p>
        </w:tc>
      </w:tr>
      <w:tr>
        <w:tc>
          <w:tcPr>
            <w:tcW w:type="dxa" w:w="2436"/>
          </w:tcPr>
          <w:p>
            <w:pPr>
              <w:spacing w:after="60"/>
            </w:pPr>
            <w:r>
              <w:rPr>
                <w:b/>
                <w:color w:val="B31822"/>
                <w:sz w:val="21"/>
              </w:rPr>
              <w:t>Out-of-pocket share of total health expenditure</w:t>
            </w:r>
          </w:p>
        </w:tc>
        <w:tc>
          <w:tcPr>
            <w:tcW w:type="dxa" w:w="2436"/>
          </w:tcPr>
          <w:p>
            <w:pPr>
              <w:spacing w:after="60"/>
            </w:pPr>
            <w:r>
              <w:rPr>
                <w:sz w:val="21"/>
              </w:rPr>
              <w:t>43.4% (2022-23), up from 39.4% in 2021-22 and down from 64.2% in 2013-14</w:t>
            </w:r>
            <w:hyperlink r:id="rId90">
              <w:r>
                <w:rPr>
                  <w:color w:val="B31822"/>
                  <w:vertAlign w:val="superscript"/>
                </w:rPr>
                <w:t xml:space="preserve">80,</w:t>
              </w:r>
            </w:hyperlink>
            <w:hyperlink r:id="rId89">
              <w:r>
                <w:rPr>
                  <w:color w:val="B31822"/>
                  <w:vertAlign w:val="superscript"/>
                </w:rPr>
                <w:t xml:space="preserve">79</w:t>
              </w:r>
            </w:hyperlink>
          </w:p>
        </w:tc>
        <w:tc>
          <w:tcPr>
            <w:tcW w:type="dxa" w:w="2436"/>
          </w:tcPr>
          <w:p>
            <w:pPr>
              <w:spacing w:after="60"/>
            </w:pPr>
            <w:r>
              <w:rPr>
                <w:b/>
                <w:color w:val="B31822"/>
                <w:sz w:val="21"/>
              </w:rPr>
              <w:t>Government health expenditure per capita</w:t>
            </w:r>
          </w:p>
        </w:tc>
        <w:tc>
          <w:tcPr>
            <w:tcW w:type="dxa" w:w="2436"/>
          </w:tcPr>
          <w:p>
            <w:pPr>
              <w:spacing w:after="60"/>
            </w:pPr>
            <w:r>
              <w:rPr>
                <w:sz w:val="21"/>
              </w:rPr>
              <w:t>Rs 2,786 (2022-23)</w:t>
            </w:r>
            <w:hyperlink r:id="rId90">
              <w:r>
                <w:rPr>
                  <w:color w:val="B31822"/>
                  <w:vertAlign w:val="superscript"/>
                </w:rPr>
                <w:t xml:space="preserve">80</w:t>
              </w:r>
            </w:hyperlink>
          </w:p>
        </w:tc>
      </w:tr>
      <w:tr>
        <w:tc>
          <w:tcPr>
            <w:tcW w:type="dxa" w:w="2436"/>
          </w:tcPr>
          <w:p>
            <w:pPr>
              <w:spacing w:after="60"/>
            </w:pPr>
            <w:r>
              <w:rPr>
                <w:b/>
                <w:color w:val="B31822"/>
                <w:sz w:val="21"/>
              </w:rPr>
              <w:t>Union Ministry of Health budget</w:t>
            </w:r>
          </w:p>
        </w:tc>
        <w:tc>
          <w:tcPr>
            <w:tcW w:type="dxa" w:w="2436"/>
          </w:tcPr>
          <w:p>
            <w:pPr>
              <w:spacing w:after="60"/>
            </w:pPr>
            <w:r>
              <w:rPr>
                <w:sz w:val="21"/>
              </w:rPr>
              <w:t>Rs 1,06,530.42 crore (Budget Estimate 2026-27)</w:t>
            </w:r>
            <w:hyperlink r:id="rId45">
              <w:r>
                <w:rPr>
                  <w:color w:val="B31822"/>
                  <w:vertAlign w:val="superscript"/>
                </w:rPr>
                <w:t xml:space="preserve">35</w:t>
              </w:r>
            </w:hyperlink>
          </w:p>
        </w:tc>
        <w:tc>
          <w:tcPr>
            <w:tcW w:type="dxa" w:w="2436"/>
          </w:tcPr>
          <w:p>
            <w:pPr>
              <w:spacing w:after="60"/>
            </w:pPr>
            <w:r>
              <w:rPr>
                <w:b/>
                <w:color w:val="B31822"/>
                <w:sz w:val="21"/>
              </w:rPr>
              <w:t>PM-JAY Union allocation</w:t>
            </w:r>
          </w:p>
        </w:tc>
        <w:tc>
          <w:tcPr>
            <w:tcW w:type="dxa" w:w="2436"/>
          </w:tcPr>
          <w:p>
            <w:pPr>
              <w:spacing w:after="60"/>
            </w:pPr>
            <w:r>
              <w:rPr>
                <w:sz w:val="21"/>
              </w:rPr>
              <w:t>Rs 9,500 crore (Budget Estimate 2026-27)</w:t>
            </w:r>
            <w:hyperlink r:id="rId45">
              <w:r>
                <w:rPr>
                  <w:color w:val="B31822"/>
                  <w:vertAlign w:val="superscript"/>
                </w:rPr>
                <w:t xml:space="preserve">35</w:t>
              </w:r>
            </w:hyperlink>
          </w:p>
        </w:tc>
      </w:tr>
      <w:tr>
        <w:tc>
          <w:tcPr>
            <w:tcW w:type="dxa" w:w="2436"/>
          </w:tcPr>
          <w:p>
            <w:pPr>
              <w:spacing w:after="60"/>
            </w:pPr>
            <w:r>
              <w:rPr>
                <w:b/>
                <w:color w:val="B31822"/>
                <w:sz w:val="21"/>
              </w:rPr>
              <w:t>Average out-of-pocket cost per hospitalisation, excluding childbirth</w:t>
            </w:r>
          </w:p>
        </w:tc>
        <w:tc>
          <w:tcPr>
            <w:tcW w:type="dxa" w:w="2436"/>
          </w:tcPr>
          <w:p>
            <w:pPr>
              <w:spacing w:after="60"/>
            </w:pPr>
            <w:r>
              <w:rPr>
                <w:sz w:val="21"/>
              </w:rPr>
              <w:t>Rs 34,064 overall; Rs 6,631 in public hospitals; Rs 50,508 in private hospitals (2025, NSS 80th round)</w:t>
            </w:r>
            <w:hyperlink r:id="rId71">
              <w:r>
                <w:rPr>
                  <w:color w:val="B31822"/>
                  <w:vertAlign w:val="superscript"/>
                </w:rPr>
                <w:t xml:space="preserve">61,</w:t>
              </w:r>
            </w:hyperlink>
            <w:hyperlink r:id="rId72">
              <w:r>
                <w:rPr>
                  <w:color w:val="B31822"/>
                  <w:vertAlign w:val="superscript"/>
                </w:rPr>
                <w:t xml:space="preserve">62</w:t>
              </w:r>
            </w:hyperlink>
          </w:p>
        </w:tc>
        <w:tc>
          <w:tcPr>
            <w:tcW w:type="dxa" w:w="2436"/>
          </w:tcPr>
          <w:p>
            <w:pPr>
              <w:spacing w:after="60"/>
            </w:pPr>
            <w:r>
              <w:rPr>
                <w:b/>
                <w:color w:val="B31822"/>
                <w:sz w:val="21"/>
              </w:rPr>
              <w:t>Policy target</w:t>
            </w:r>
          </w:p>
        </w:tc>
        <w:tc>
          <w:tcPr>
            <w:tcW w:type="dxa" w:w="2436"/>
          </w:tcPr>
          <w:p>
            <w:pPr>
              <w:spacing w:after="60"/>
            </w:pPr>
            <w:r>
              <w:rPr>
                <w:sz w:val="21"/>
              </w:rPr>
              <w:t>Government health spending of 2.5% of GDP by 2025 (National Health Policy 2017; also recommended by the Fifteenth Finance Commission)</w:t>
            </w:r>
            <w:hyperlink r:id="rId92">
              <w:r>
                <w:rPr>
                  <w:color w:val="B31822"/>
                  <w:vertAlign w:val="superscript"/>
                </w:rPr>
                <w:t xml:space="preserve">82</w:t>
              </w:r>
            </w:hyperlink>
          </w:p>
        </w:tc>
      </w:tr>
    </w:tbl>
    <w:p>
      <w:pPr>
        <w:spacing w:after="40"/>
      </w:pPr>
    </w:p>
    <w:p>
      <w:r>
        <w:t>India spends little on health relative to its income, and households still pay a large share directly. The tenth round of National Health Accounts, covering 2022-23 and released in May 2026, puts total health expenditure at 3.37 percent of GDP on the new GDP series, or Rs 6,373 per person.</w:t>
      </w:r>
      <w:hyperlink r:id="rId88">
        <w:r>
          <w:rPr>
            <w:color w:val="B31822"/>
            <w:vertAlign w:val="superscript"/>
          </w:rPr>
          <w:t xml:space="preserve">78,</w:t>
        </w:r>
      </w:hyperlink>
      <w:hyperlink r:id="rId90">
        <w:r>
          <w:rPr>
            <w:color w:val="B31822"/>
            <w:vertAlign w:val="superscript"/>
          </w:rPr>
          <w:t xml:space="preserve">80,</w:t>
        </w:r>
      </w:hyperlink>
      <w:hyperlink r:id="rId89">
        <w:r>
          <w:rPr>
            <w:color w:val="B31822"/>
            <w:vertAlign w:val="superscript"/>
          </w:rPr>
          <w:t xml:space="preserve">79</w:t>
        </w:r>
      </w:hyperlink>
      <w:r>
        <w:t xml:space="preserve"> Government spending reached 1.48 percent of GDP on the same series.</w:t>
      </w:r>
      <w:hyperlink r:id="rId88">
        <w:r>
          <w:rPr>
            <w:color w:val="B31822"/>
            <w:vertAlign w:val="superscript"/>
          </w:rPr>
          <w:t xml:space="preserve">78</w:t>
        </w:r>
      </w:hyperlink>
      <w:r>
        <w:t xml:space="preserve"> On the old 2011-12 series the two ratios are 3.28 and 1.43 percent.</w:t>
      </w:r>
      <w:hyperlink r:id="rId88">
        <w:r>
          <w:rPr>
            <w:color w:val="B31822"/>
            <w:vertAlign w:val="superscript"/>
          </w:rPr>
          <w:t xml:space="preserve">78,</w:t>
        </w:r>
      </w:hyperlink>
      <w:hyperlink r:id="rId91">
        <w:r>
          <w:rPr>
            <w:color w:val="B31822"/>
            <w:vertAlign w:val="superscript"/>
          </w:rPr>
          <w:t xml:space="preserve">81</w:t>
        </w:r>
      </w:hyperlink>
      <w:r>
        <w:t xml:space="preserve"> Either way, government spending is far short of the 2.5 percent target set by the National Health Policy 2017 for 2025.</w:t>
      </w:r>
      <w:hyperlink r:id="rId92">
        <w:r>
          <w:rPr>
            <w:color w:val="B31822"/>
            <w:vertAlign w:val="superscript"/>
          </w:rPr>
          <w:t xml:space="preserve">82</w:t>
        </w:r>
      </w:hyperlink>
      <w:r>
        <w:t xml:space="preserve"> Over the decade the trend has been positive: the government share of total spending rose from 28.6 percent in 2013-14 to 43.7 percent, and the out-of-pocket share fell from 64.2 percent to 43.4 percent.</w:t>
      </w:r>
      <w:hyperlink r:id="rId90">
        <w:r>
          <w:rPr>
            <w:color w:val="B31822"/>
            <w:vertAlign w:val="superscript"/>
          </w:rPr>
          <w:t xml:space="preserve">80</w:t>
        </w:r>
      </w:hyperlink>
      <w:r>
        <w:t xml:space="preserve"> In 2022-23, however, the trend reversed.</w:t>
      </w:r>
      <w:hyperlink r:id="rId89">
        <w:r>
          <w:rPr>
            <w:color w:val="B31822"/>
            <w:vertAlign w:val="superscript"/>
          </w:rPr>
          <w:t xml:space="preserve">79</w:t>
        </w:r>
      </w:hyperlink>
      <w:r>
        <w:t xml:space="preserve"> The previous NHA round had shown a COVID-era peak for 2021-22, with a 48 percent government share and out-of-pocket spending of only 39.4 percent.</w:t>
      </w:r>
      <w:hyperlink r:id="rId93">
        <w:r>
          <w:rPr>
            <w:color w:val="B31822"/>
            <w:vertAlign w:val="superscript"/>
          </w:rPr>
          <w:t xml:space="preserve">83,</w:t>
        </w:r>
      </w:hyperlink>
      <w:hyperlink r:id="rId90">
        <w:r>
          <w:rPr>
            <w:color w:val="B31822"/>
            <w:vertAlign w:val="superscript"/>
          </w:rPr>
          <w:t xml:space="preserve">80</w:t>
        </w:r>
      </w:hyperlink>
      <w:r>
        <w:t xml:space="preserve"> When emergency pandemic spending ended, households again picked up a larger part of the bill.</w:t>
      </w:r>
      <w:hyperlink r:id="rId89">
        <w:r>
          <w:rPr>
            <w:color w:val="B31822"/>
            <w:vertAlign w:val="superscript"/>
          </w:rPr>
          <w:t xml:space="preserve">79</w:t>
        </w:r>
      </w:hyperlink>
      <w:r>
        <w:t xml:space="preserve"> Insurance is spreading. The NSO's 2025 survey found health insurance coverage of 47.4 percent in rural areas and 44.3 percent in urban areas, up from 14.1 and 19.1 percent in 2017-18.</w:t>
      </w:r>
      <w:hyperlink r:id="rId71">
        <w:r>
          <w:rPr>
            <w:color w:val="B31822"/>
            <w:vertAlign w:val="superscript"/>
          </w:rPr>
          <w:t xml:space="preserve">61,</w:t>
        </w:r>
      </w:hyperlink>
      <w:hyperlink r:id="rId72">
        <w:r>
          <w:rPr>
            <w:color w:val="B31822"/>
            <w:vertAlign w:val="superscript"/>
          </w:rPr>
          <w:t xml:space="preserve">62</w:t>
        </w:r>
      </w:hyperlink>
      <w:r>
        <w:t xml:space="preserve"> Coverage is mainly through PM-JAY and state schemes, and it has not yet brought down out-of-pocket spending, which still averages Rs 34,064 per hospitalisation excluding childbirth, and Rs 50,508 in private hospitals.</w:t>
      </w:r>
      <w:hyperlink r:id="rId71">
        <w:r>
          <w:rPr>
            <w:color w:val="B31822"/>
            <w:vertAlign w:val="superscript"/>
          </w:rPr>
          <w:t xml:space="preserve">61,</w:t>
        </w:r>
      </w:hyperlink>
      <w:hyperlink r:id="rId72">
        <w:r>
          <w:rPr>
            <w:color w:val="B31822"/>
            <w:vertAlign w:val="superscript"/>
          </w:rPr>
          <w:t xml:space="preserve">62</w:t>
        </w:r>
      </w:hyperlink>
      <w:r>
        <w:t xml:space="preserve"> Union health spending continues to rise, with the 2026-27 budget up nearly 10 percent over the previous year's revised estimate.</w:t>
      </w:r>
      <w:hyperlink r:id="rId45">
        <w:r>
          <w:rPr>
            <w:color w:val="B31822"/>
            <w:vertAlign w:val="superscript"/>
          </w:rPr>
          <w:t xml:space="preserve">35</w:t>
        </w:r>
      </w:hyperlink>
      <w:r>
        <w:t xml:space="preserve"> For a foreign partner, the financing picture points to a two-tier market. A price-sensitive mass market is anchored by PM-JAY rates, and a smaller cash-paying and privately insured segment, together with inbound international patients, sustains premium tertiary care.</w:t>
      </w:r>
    </w:p>
    <w:p>
      <w:pPr>
        <w:pStyle w:val="Heading2"/>
      </w:pPr>
      <w:bookmarkStart w:id="10" w:name="_sec10"/>
      <w:r>
        <w:t>Workforce</w:t>
      </w:r>
      <w:bookmarkEnd w:id="10"/>
    </w:p>
    <w:tbl>
      <w:tblPr>
        <w:tblW w:type="auto" w:w="0"/>
        <w:jc w:val="left"/>
        <w:tblLayout w:type="autofit"/>
        <w:tblLook w:firstColumn="1" w:firstRow="1" w:lastColumn="0" w:lastRow="0" w:noHBand="0" w:noVBand="1" w:val="04A0"/>
      </w:tblPr>
      <w:tblGrid>
        <w:gridCol w:w="2436"/>
        <w:gridCol w:w="2436"/>
        <w:gridCol w:w="2436"/>
        <w:gridCol w:w="2436"/>
      </w:tblGrid>
      <w:tr>
        <w:tc>
          <w:tcPr>
            <w:tcW w:type="dxa" w:w="2436"/>
          </w:tcPr>
          <w:p>
            <w:pPr>
              <w:spacing w:after="60"/>
            </w:pPr>
            <w:r>
              <w:rPr>
                <w:b/>
                <w:color w:val="B31822"/>
                <w:sz w:val="21"/>
              </w:rPr>
              <w:t>Registered allopathic doctors</w:t>
            </w:r>
          </w:p>
        </w:tc>
        <w:tc>
          <w:tcPr>
            <w:tcW w:type="dxa" w:w="2436"/>
          </w:tcPr>
          <w:p>
            <w:pPr>
              <w:spacing w:after="60"/>
            </w:pPr>
            <w:r>
              <w:rPr>
                <w:sz w:val="21"/>
              </w:rPr>
              <w:t>13,88,185, about 1.39 million (December 2025, Health Ministry reply to the Rajya Sabha)</w:t>
            </w:r>
            <w:hyperlink r:id="rId94">
              <w:r>
                <w:rPr>
                  <w:color w:val="B31822"/>
                  <w:vertAlign w:val="superscript"/>
                </w:rPr>
                <w:t xml:space="preserve">84,</w:t>
              </w:r>
            </w:hyperlink>
            <w:hyperlink r:id="rId95">
              <w:r>
                <w:rPr>
                  <w:color w:val="B31822"/>
                  <w:vertAlign w:val="superscript"/>
                </w:rPr>
                <w:t xml:space="preserve">85</w:t>
              </w:r>
            </w:hyperlink>
          </w:p>
        </w:tc>
        <w:tc>
          <w:tcPr>
            <w:tcW w:type="dxa" w:w="2436"/>
          </w:tcPr>
          <w:p>
            <w:pPr>
              <w:spacing w:after="60"/>
            </w:pPr>
            <w:r>
              <w:rPr>
                <w:b/>
                <w:color w:val="B31822"/>
                <w:sz w:val="21"/>
              </w:rPr>
              <w:t>Registered AYUSH practitioners</w:t>
            </w:r>
          </w:p>
        </w:tc>
        <w:tc>
          <w:tcPr>
            <w:tcW w:type="dxa" w:w="2436"/>
          </w:tcPr>
          <w:p>
            <w:pPr>
              <w:spacing w:after="60"/>
            </w:pPr>
            <w:r>
              <w:rPr>
                <w:sz w:val="21"/>
              </w:rPr>
              <w:t>7,51,768, about 7.52 lakh (December 2025)</w:t>
            </w:r>
            <w:hyperlink r:id="rId94">
              <w:r>
                <w:rPr>
                  <w:color w:val="B31822"/>
                  <w:vertAlign w:val="superscript"/>
                </w:rPr>
                <w:t xml:space="preserve">84,</w:t>
              </w:r>
            </w:hyperlink>
            <w:hyperlink r:id="rId96">
              <w:r>
                <w:rPr>
                  <w:color w:val="B31822"/>
                  <w:vertAlign w:val="superscript"/>
                </w:rPr>
                <w:t xml:space="preserve">86</w:t>
              </w:r>
            </w:hyperlink>
          </w:p>
        </w:tc>
      </w:tr>
      <w:tr>
        <w:tc>
          <w:tcPr>
            <w:tcW w:type="dxa" w:w="2436"/>
          </w:tcPr>
          <w:p>
            <w:pPr>
              <w:spacing w:after="60"/>
            </w:pPr>
            <w:r>
              <w:rPr>
                <w:b/>
                <w:color w:val="B31822"/>
                <w:sz w:val="21"/>
              </w:rPr>
              <w:t>Official doctor-population ratio</w:t>
            </w:r>
          </w:p>
        </w:tc>
        <w:tc>
          <w:tcPr>
            <w:tcW w:type="dxa" w:w="2436"/>
          </w:tcPr>
          <w:p>
            <w:pPr>
              <w:spacing w:after="60"/>
            </w:pPr>
            <w:r>
              <w:rPr>
                <w:sz w:val="21"/>
              </w:rPr>
              <w:t>1:811 (December 2025; counts allopathic and AYUSH practitioners and assumes 80% of registrants are active)</w:t>
            </w:r>
            <w:hyperlink r:id="rId94">
              <w:r>
                <w:rPr>
                  <w:color w:val="B31822"/>
                  <w:vertAlign w:val="superscript"/>
                </w:rPr>
                <w:t xml:space="preserve">84,</w:t>
              </w:r>
            </w:hyperlink>
            <w:hyperlink r:id="rId95">
              <w:r>
                <w:rPr>
                  <w:color w:val="B31822"/>
                  <w:vertAlign w:val="superscript"/>
                </w:rPr>
                <w:t xml:space="preserve">85</w:t>
              </w:r>
            </w:hyperlink>
          </w:p>
        </w:tc>
        <w:tc>
          <w:tcPr>
            <w:tcW w:type="dxa" w:w="2436"/>
          </w:tcPr>
          <w:p>
            <w:pPr>
              <w:spacing w:after="60"/>
            </w:pPr>
            <w:r>
              <w:rPr>
                <w:b/>
                <w:color w:val="B31822"/>
                <w:sz w:val="21"/>
              </w:rPr>
              <w:t>Registered allopathic doctors per 1,000 people</w:t>
            </w:r>
          </w:p>
        </w:tc>
        <w:tc>
          <w:tcPr>
            <w:tcW w:type="dxa" w:w="2436"/>
          </w:tcPr>
          <w:p>
            <w:pPr>
              <w:spacing w:after="60"/>
            </w:pPr>
            <w:r>
              <w:rPr>
                <w:sz w:val="21"/>
              </w:rPr>
              <w:t>Roughly 0.95 (2025, calculated from 13.88 lakh registered doctors and the UN 2025 population estimate; the active figure is lower)</w:t>
            </w:r>
            <w:hyperlink r:id="rId94">
              <w:r>
                <w:rPr>
                  <w:color w:val="B31822"/>
                  <w:vertAlign w:val="superscript"/>
                </w:rPr>
                <w:t xml:space="preserve">84,</w:t>
              </w:r>
            </w:hyperlink>
            <w:hyperlink r:id="rId12">
              <w:r>
                <w:rPr>
                  <w:color w:val="B31822"/>
                  <w:vertAlign w:val="superscript"/>
                </w:rPr>
                <w:t xml:space="preserve">2</w:t>
              </w:r>
            </w:hyperlink>
          </w:p>
        </w:tc>
      </w:tr>
      <w:tr>
        <w:tc>
          <w:tcPr>
            <w:tcW w:type="dxa" w:w="2436"/>
          </w:tcPr>
          <w:p>
            <w:pPr>
              <w:spacing w:after="60"/>
            </w:pPr>
            <w:r>
              <w:rPr>
                <w:b/>
                <w:color w:val="B31822"/>
                <w:sz w:val="21"/>
              </w:rPr>
              <w:t>Registered nursing personnel</w:t>
            </w:r>
          </w:p>
        </w:tc>
        <w:tc>
          <w:tcPr>
            <w:tcW w:type="dxa" w:w="2436"/>
          </w:tcPr>
          <w:p>
            <w:pPr>
              <w:spacing w:after="60"/>
            </w:pPr>
            <w:r>
              <w:rPr>
                <w:sz w:val="21"/>
              </w:rPr>
              <w:t>46.02 lakh, or 2.60 per 1,000 people (31 December 2025); only 14.24 lakh enrolled in the national Nurses Registration and Tracking System (2026)</w:t>
            </w:r>
            <w:hyperlink r:id="rId97">
              <w:r>
                <w:rPr>
                  <w:color w:val="B31822"/>
                  <w:vertAlign w:val="superscript"/>
                </w:rPr>
                <w:t xml:space="preserve">87,</w:t>
              </w:r>
            </w:hyperlink>
            <w:hyperlink r:id="rId98">
              <w:r>
                <w:rPr>
                  <w:color w:val="B31822"/>
                  <w:vertAlign w:val="superscript"/>
                </w:rPr>
                <w:t xml:space="preserve">88</w:t>
              </w:r>
            </w:hyperlink>
          </w:p>
        </w:tc>
        <w:tc>
          <w:tcPr>
            <w:tcW w:type="dxa" w:w="2436"/>
          </w:tcPr>
          <w:p>
            <w:pPr>
              <w:spacing w:after="60"/>
            </w:pPr>
            <w:r>
              <w:rPr>
                <w:b/>
                <w:color w:val="B31822"/>
                <w:sz w:val="21"/>
              </w:rPr>
              <w:t>Public hospital beds</w:t>
            </w:r>
          </w:p>
        </w:tc>
        <w:tc>
          <w:tcPr>
            <w:tcW w:type="dxa" w:w="2436"/>
          </w:tcPr>
          <w:p>
            <w:pPr>
              <w:spacing w:after="60"/>
            </w:pPr>
            <w:r>
              <w:rPr>
                <w:sz w:val="21"/>
              </w:rPr>
              <w:t>8,18,661 beds from primary health centres to medical colleges, fewer than 0.6 per 1,000 people (31 March 2023, Health Dynamics of India 2022-23), against a National Health Policy 2017 norm of 2 per 1,000</w:t>
            </w:r>
            <w:hyperlink r:id="rId67">
              <w:r>
                <w:rPr>
                  <w:color w:val="B31822"/>
                  <w:vertAlign w:val="superscript"/>
                </w:rPr>
                <w:t xml:space="preserve">57</w:t>
              </w:r>
            </w:hyperlink>
          </w:p>
        </w:tc>
      </w:tr>
      <w:tr>
        <w:tc>
          <w:tcPr>
            <w:tcW w:type="dxa" w:w="2436"/>
          </w:tcPr>
          <w:p>
            <w:pPr>
              <w:spacing w:after="60"/>
            </w:pPr>
            <w:r>
              <w:rPr>
                <w:b/>
                <w:color w:val="B31822"/>
                <w:sz w:val="21"/>
              </w:rPr>
              <w:t>WHO workforce threshold</w:t>
            </w:r>
          </w:p>
        </w:tc>
        <w:tc>
          <w:tcPr>
            <w:tcW w:type="dxa" w:w="2436"/>
          </w:tcPr>
          <w:p>
            <w:pPr>
              <w:spacing w:after="60"/>
            </w:pPr>
            <w:r>
              <w:rPr>
                <w:sz w:val="21"/>
              </w:rPr>
              <w:t>44.5 doctors, nurses and midwives per 10,000 people (4.45 per 1,000), set in the 2016 Global Strategy on Human Resources for Health</w:t>
            </w:r>
            <w:hyperlink r:id="rId99">
              <w:r>
                <w:rPr>
                  <w:color w:val="B31822"/>
                  <w:vertAlign w:val="superscript"/>
                </w:rPr>
                <w:t xml:space="preserve">89</w:t>
              </w:r>
            </w:hyperlink>
          </w:p>
        </w:tc>
        <w:tc>
          <w:tcPr>
            <w:tcW w:type="dxa" w:w="2436"/>
          </w:tcPr>
          <w:p>
            <w:pPr>
              <w:spacing w:after="60"/>
            </w:pPr>
            <w:r>
              <w:rPr>
                <w:b/>
                <w:color w:val="B31822"/>
                <w:sz w:val="21"/>
              </w:rPr>
              <w:t>OECD comparators</w:t>
            </w:r>
          </w:p>
        </w:tc>
        <w:tc>
          <w:tcPr>
            <w:tcW w:type="dxa" w:w="2436"/>
          </w:tcPr>
          <w:p>
            <w:pPr>
              <w:spacing w:after="60"/>
            </w:pPr>
            <w:r>
              <w:rPr>
                <w:sz w:val="21"/>
              </w:rPr>
              <w:t>Roughly 4 practising doctors, 9.2 nurses and just over 4 hospital beds per 1,000 people (OECD averages, Health at a Glance 2025)</w:t>
            </w:r>
            <w:hyperlink r:id="rId100">
              <w:r>
                <w:rPr>
                  <w:color w:val="B31822"/>
                  <w:vertAlign w:val="superscript"/>
                </w:rPr>
                <w:t xml:space="preserve">90,</w:t>
              </w:r>
            </w:hyperlink>
            <w:hyperlink r:id="rId101">
              <w:r>
                <w:rPr>
                  <w:color w:val="B31822"/>
                  <w:vertAlign w:val="superscript"/>
                </w:rPr>
                <w:t xml:space="preserve">91,</w:t>
              </w:r>
            </w:hyperlink>
            <w:hyperlink r:id="rId102">
              <w:r>
                <w:rPr>
                  <w:color w:val="B31822"/>
                  <w:vertAlign w:val="superscript"/>
                </w:rPr>
                <w:t xml:space="preserve">92</w:t>
              </w:r>
            </w:hyperlink>
          </w:p>
        </w:tc>
      </w:tr>
    </w:tbl>
    <w:p>
      <w:pPr>
        <w:spacing w:after="40"/>
      </w:pPr>
    </w:p>
    <w:p>
      <w:r>
        <w:t>India's health workforce is growing but remains thin and unevenly distributed. The Health Ministry told Parliament in December 2025 that 13.88 lakh allopathic doctors were registered.</w:t>
      </w:r>
      <w:hyperlink r:id="rId94">
        <w:r>
          <w:rPr>
            <w:color w:val="B31822"/>
            <w:vertAlign w:val="superscript"/>
          </w:rPr>
          <w:t xml:space="preserve">84,</w:t>
        </w:r>
      </w:hyperlink>
      <w:hyperlink r:id="rId95">
        <w:r>
          <w:rPr>
            <w:color w:val="B31822"/>
            <w:vertAlign w:val="superscript"/>
          </w:rPr>
          <w:t xml:space="preserve">85</w:t>
        </w:r>
      </w:hyperlink>
      <w:r>
        <w:t xml:space="preserve"> That is fewer than one registered doctor per 1,000 people, and fewer still are actually practising.</w:t>
      </w:r>
      <w:hyperlink r:id="rId94">
        <w:r>
          <w:rPr>
            <w:color w:val="B31822"/>
            <w:vertAlign w:val="superscript"/>
          </w:rPr>
          <w:t xml:space="preserve">84</w:t>
        </w:r>
      </w:hyperlink>
      <w:r>
        <w:t xml:space="preserve"> The government's headline ratio of one doctor per 811 people is reached only by adding 7.5 lakh AYUSH (traditional medicine) practitioners and assuming 80 percent of all registrants are active.</w:t>
      </w:r>
      <w:hyperlink r:id="rId94">
        <w:r>
          <w:rPr>
            <w:color w:val="B31822"/>
            <w:vertAlign w:val="superscript"/>
          </w:rPr>
          <w:t xml:space="preserve">84,</w:t>
        </w:r>
      </w:hyperlink>
      <w:hyperlink r:id="rId95">
        <w:r>
          <w:rPr>
            <w:color w:val="B31822"/>
            <w:vertAlign w:val="superscript"/>
          </w:rPr>
          <w:t xml:space="preserve">85</w:t>
        </w:r>
      </w:hyperlink>
      <w:r>
        <w:t xml:space="preserve"> On nursing, a July 2026 reply to the Rajya Sabha reported 46.02 lakh registered nursing personnel as of December 2025, or 2.60 per 1,000.</w:t>
      </w:r>
      <w:hyperlink r:id="rId97">
        <w:r>
          <w:rPr>
            <w:color w:val="B31822"/>
            <w:vertAlign w:val="superscript"/>
          </w:rPr>
          <w:t xml:space="preserve">87</w:t>
        </w:r>
      </w:hyperlink>
      <w:r>
        <w:t xml:space="preserve"> Of these, 34.88 lakh were registered nurses and midwives and 10.59 lakh were auxiliary nurse midwives.</w:t>
      </w:r>
      <w:hyperlink r:id="rId97">
        <w:r>
          <w:rPr>
            <w:color w:val="B31822"/>
            <w:vertAlign w:val="superscript"/>
          </w:rPr>
          <w:t xml:space="preserve">87</w:t>
        </w:r>
      </w:hyperlink>
      <w:r>
        <w:t xml:space="preserve"> Only 14.24 lakh are enrolled in the national Nurses Registration and Tracking System, so the number actually working in India, rather than inactive or abroad, is uncertain.</w:t>
      </w:r>
      <w:hyperlink r:id="rId98">
        <w:r>
          <w:rPr>
            <w:color w:val="B31822"/>
            <w:vertAlign w:val="superscript"/>
          </w:rPr>
          <w:t xml:space="preserve">88</w:t>
        </w:r>
      </w:hyperlink>
      <w:r>
        <w:t xml:space="preserve"> Even on generous counts, India's combined density of doctors, nurses and midwives is below WHO's threshold of 4.45 per 1,000 and a fraction of OECD averages of roughly 4 doctors and 9 nurses per 1,000.</w:t>
      </w:r>
      <w:hyperlink r:id="rId97">
        <w:r>
          <w:rPr>
            <w:color w:val="B31822"/>
            <w:vertAlign w:val="superscript"/>
          </w:rPr>
          <w:t xml:space="preserve">87,</w:t>
        </w:r>
      </w:hyperlink>
      <w:hyperlink r:id="rId99">
        <w:r>
          <w:rPr>
            <w:color w:val="B31822"/>
            <w:vertAlign w:val="superscript"/>
          </w:rPr>
          <w:t xml:space="preserve">89,</w:t>
        </w:r>
      </w:hyperlink>
      <w:hyperlink r:id="rId100">
        <w:r>
          <w:rPr>
            <w:color w:val="B31822"/>
            <w:vertAlign w:val="superscript"/>
          </w:rPr>
          <w:t xml:space="preserve">90,</w:t>
        </w:r>
      </w:hyperlink>
      <w:hyperlink r:id="rId101">
        <w:r>
          <w:rPr>
            <w:color w:val="B31822"/>
            <w:vertAlign w:val="superscript"/>
          </w:rPr>
          <w:t xml:space="preserve">91</w:t>
        </w:r>
      </w:hyperlink>
      <w:r>
        <w:t xml:space="preserve"> Beds are a similar constraint: the 8.19 lakh beds in public facilities counted in March 2023 amount to fewer than 0.6 per 1,000 people.</w:t>
      </w:r>
      <w:hyperlink r:id="rId67">
        <w:r>
          <w:rPr>
            <w:color w:val="B31822"/>
            <w:vertAlign w:val="superscript"/>
          </w:rPr>
          <w:t xml:space="preserve">57</w:t>
        </w:r>
      </w:hyperlink>
      <w:r>
        <w:t xml:space="preserve"> Shortages are worst in the populous northern states, while specialists cluster in metro private hospitals.</w:t>
      </w:r>
      <w:hyperlink r:id="rId97">
        <w:r>
          <w:rPr>
            <w:color w:val="B31822"/>
            <w:vertAlign w:val="superscript"/>
          </w:rPr>
          <w:t xml:space="preserve">87</w:t>
        </w:r>
      </w:hyperlink>
      <w:r>
        <w:t xml:space="preserve"> The Union Budget 2026-27 targets the allied-health gap with a plan to add 1 lakh allied health professionals over five years across ten disciplines, including radiology, anaesthesia and operating-theatre technology, and to train 1.5 lakh caregivers.</w:t>
      </w:r>
      <w:hyperlink r:id="rId46">
        <w:r>
          <w:rPr>
            <w:color w:val="B31822"/>
            <w:vertAlign w:val="superscript"/>
          </w:rPr>
          <w:t xml:space="preserve">36,</w:t>
        </w:r>
      </w:hyperlink>
      <w:hyperlink r:id="rId103">
        <w:r>
          <w:rPr>
            <w:color w:val="B31822"/>
            <w:vertAlign w:val="superscript"/>
          </w:rPr>
          <w:t xml:space="preserve">93,</w:t>
        </w:r>
      </w:hyperlink>
      <w:hyperlink r:id="rId45">
        <w:r>
          <w:rPr>
            <w:color w:val="B31822"/>
            <w:vertAlign w:val="superscript"/>
          </w:rPr>
          <w:t xml:space="preserve">35</w:t>
        </w:r>
      </w:hyperlink>
      <w:r>
        <w:t xml:space="preserve"> For a foreign academic partner, workforce development is one of the clearest openings, including nursing excellence programs, sub-specialty fellowships, allied-health training and hospital leadership education.</w:t>
      </w:r>
    </w:p>
    <w:p>
      <w:pPr>
        <w:pStyle w:val="Heading2"/>
      </w:pPr>
      <w:bookmarkStart w:id="11" w:name="_sec11"/>
      <w:r>
        <w:t>Education</w:t>
      </w:r>
      <w:bookmarkEnd w:id="11"/>
    </w:p>
    <w:p>
      <w:r>
        <w:t>Medical education in India is regulated nationally by the National Medical Commission (NMC), which replaced the Medical Council of India. Admission is through a single competitive exam.</w:t>
      </w:r>
      <w:hyperlink r:id="rId104">
        <w:r>
          <w:rPr>
            <w:color w:val="B31822"/>
            <w:vertAlign w:val="superscript"/>
          </w:rPr>
          <w:t xml:space="preserve">94</w:t>
        </w:r>
      </w:hyperlink>
      <w:r>
        <w:t xml:space="preserve"> Every MBBS place, in government and private colleges alike, is allocated through NEET-UG, run by the National Testing Agency, and the 2026 cycle exposed the weakness of that single point of failure.</w:t>
      </w:r>
      <w:hyperlink r:id="rId104">
        <w:r>
          <w:rPr>
            <w:color w:val="B31822"/>
            <w:vertAlign w:val="superscript"/>
          </w:rPr>
          <w:t xml:space="preserve">94</w:t>
        </w:r>
      </w:hyperlink>
      <w:r>
        <w:t xml:space="preserve"> The first sitting, on 3 May 2026 for about 22 lakh registered candidates, was cancelled on 12 May after a question-paper leak, and the investigation was handed to the Central Bureau of Investigation.</w:t>
      </w:r>
      <w:hyperlink r:id="rId104">
        <w:r>
          <w:rPr>
            <w:color w:val="B31822"/>
            <w:vertAlign w:val="superscript"/>
          </w:rPr>
          <w:t xml:space="preserve">94,</w:t>
        </w:r>
      </w:hyperlink>
      <w:hyperlink r:id="rId105">
        <w:r>
          <w:rPr>
            <w:color w:val="B31822"/>
            <w:vertAlign w:val="superscript"/>
          </w:rPr>
          <w:t xml:space="preserve">95</w:t>
        </w:r>
      </w:hyperlink>
      <w:r>
        <w:t xml:space="preserve"> It was the second NEET integrity crisis in three years, after a similar controversy in 2024.</w:t>
      </w:r>
      <w:hyperlink r:id="rId104">
        <w:r>
          <w:rPr>
            <w:color w:val="B31822"/>
            <w:vertAlign w:val="superscript"/>
          </w:rPr>
          <w:t xml:space="preserve">94</w:t>
        </w:r>
      </w:hyperlink>
      <w:r>
        <w:t xml:space="preserve"> Nearly 20 lakh candidates sat the re-examination on 21 June 2026.</w:t>
      </w:r>
      <w:hyperlink r:id="rId106">
        <w:r>
          <w:rPr>
            <w:color w:val="B31822"/>
            <w:vertAlign w:val="superscript"/>
          </w:rPr>
          <w:t xml:space="preserve">96,</w:t>
        </w:r>
      </w:hyperlink>
      <w:hyperlink r:id="rId105">
        <w:r>
          <w:rPr>
            <w:color w:val="B31822"/>
            <w:vertAlign w:val="superscript"/>
          </w:rPr>
          <w:t xml:space="preserve">95</w:t>
        </w:r>
      </w:hyperlink>
      <w:r>
        <w:t xml:space="preserve"> Results were declared on 16 July 2026, and 11.21 lakh candidates qualified, more than 58 percent of them women.</w:t>
      </w:r>
      <w:hyperlink r:id="rId106">
        <w:r>
          <w:rPr>
            <w:color w:val="B31822"/>
            <w:vertAlign w:val="superscript"/>
          </w:rPr>
          <w:t xml:space="preserve">96,</w:t>
        </w:r>
      </w:hyperlink>
      <w:hyperlink r:id="rId105">
        <w:r>
          <w:rPr>
            <w:color w:val="B31822"/>
            <w:vertAlign w:val="superscript"/>
          </w:rPr>
          <w:t xml:space="preserve">95</w:t>
        </w:r>
      </w:hyperlink>
    </w:p>
    <w:p>
      <w:r>
        <w:t>Supply has expanded quickly. NMC's updated seat matrix for 2026-27, issued in September 2026, lists 1,40,664 MBBS seats across 839 medical colleges, of which 64,121 are in government colleges.</w:t>
      </w:r>
      <w:hyperlink r:id="rId107">
        <w:r>
          <w:rPr>
            <w:color w:val="B31822"/>
            <w:vertAlign w:val="superscript"/>
          </w:rPr>
          <w:t xml:space="preserve">97</w:t>
        </w:r>
      </w:hyperlink>
      <w:r>
        <w:t xml:space="preserve"> The government had reported 1,28,875 undergraduate seats to Parliament in December 2025, up from 51,348 in 2014.</w:t>
      </w:r>
      <w:hyperlink r:id="rId94">
        <w:r>
          <w:rPr>
            <w:color w:val="B31822"/>
            <w:vertAlign w:val="superscript"/>
          </w:rPr>
          <w:t xml:space="preserve">84,</w:t>
        </w:r>
      </w:hyperlink>
      <w:hyperlink r:id="rId108">
        <w:r>
          <w:rPr>
            <w:color w:val="B31822"/>
            <w:vertAlign w:val="superscript"/>
          </w:rPr>
          <w:t xml:space="preserve">98</w:t>
        </w:r>
      </w:hyperlink>
      <w:r>
        <w:t xml:space="preserve"> The Prime Minister's August 2024 Independence Day pledge set a target of 75,000 new medical seats over five years.</w:t>
      </w:r>
      <w:hyperlink r:id="rId109">
        <w:r>
          <w:rPr>
            <w:color w:val="B31822"/>
            <w:vertAlign w:val="superscript"/>
          </w:rPr>
          <w:t xml:space="preserve">99</w:t>
        </w:r>
      </w:hyperlink>
    </w:p>
    <w:p>
      <w:r>
        <w:t>Postgraduate training is the bottleneck, although it is also growing. The government told Parliament in December 2025 that postgraduate seats had risen from 31,185 in 2014 to 82,059, while an NMC notice for 2025-26 listed a narrower count of about 57,500 MD and MS seats in medical colleges.</w:t>
      </w:r>
      <w:hyperlink r:id="rId94">
        <w:r>
          <w:rPr>
            <w:color w:val="B31822"/>
            <w:vertAlign w:val="superscript"/>
          </w:rPr>
          <w:t xml:space="preserve">84,</w:t>
        </w:r>
      </w:hyperlink>
      <w:hyperlink r:id="rId110">
        <w:r>
          <w:rPr>
            <w:color w:val="B31822"/>
            <w:vertAlign w:val="superscript"/>
          </w:rPr>
          <w:t xml:space="preserve">100</w:t>
        </w:r>
      </w:hyperlink>
      <w:r>
        <w:t xml:space="preserve"> Diplomate of National Board (DNB) posts, administered separately by the National Board of Examinations in Medical Sciences, add capacity, particularly in private hospitals. The planned National Exit Test (NExT), meant to replace both NEET-PG and the licensing exam for foreign graduates, has been put off.</w:t>
      </w:r>
      <w:hyperlink r:id="rId111">
        <w:r>
          <w:rPr>
            <w:color w:val="B31822"/>
            <w:vertAlign w:val="superscript"/>
          </w:rPr>
          <w:t xml:space="preserve">101</w:t>
        </w:r>
      </w:hyperlink>
      <w:r>
        <w:t xml:space="preserve"> In October 2025 the NMC chair indicated that it would not be implemented for three to four years while mock tests are run.</w:t>
      </w:r>
      <w:hyperlink r:id="rId111">
        <w:r>
          <w:rPr>
            <w:color w:val="B31822"/>
            <w:vertAlign w:val="superscript"/>
          </w:rPr>
          <w:t xml:space="preserve">101</w:t>
        </w:r>
      </w:hyperlink>
      <w:r>
        <w:t xml:space="preserve"> The rapid addition of new colleges, many of them private, has created a pressing need for faculty, simulation-based training and accreditation-quality curricula. Adani Health City's two planned medical colleges, for which Adani has engaged Mayo Clinic as a strategic adviser, and the education pillar of Cleveland Clinic's Navi Mumbai MediCity show that leading US institutions already see graduate medical education and faculty development as a way into India.</w:t>
      </w:r>
      <w:hyperlink r:id="rId112">
        <w:r>
          <w:rPr>
            <w:color w:val="B31822"/>
            <w:vertAlign w:val="superscript"/>
          </w:rPr>
          <w:t xml:space="preserve">102,</w:t>
        </w:r>
      </w:hyperlink>
      <w:hyperlink r:id="rId32">
        <w:r>
          <w:rPr>
            <w:color w:val="B31822"/>
            <w:vertAlign w:val="superscript"/>
          </w:rPr>
          <w:t xml:space="preserve">22</w:t>
        </w:r>
      </w:hyperlink>
    </w:p>
    <w:p>
      <w:pPr>
        <w:pStyle w:val="Heading2"/>
      </w:pPr>
      <w:bookmarkStart w:id="12" w:name="_sec12"/>
      <w:r>
        <w:t>Healthcare Outlook</w:t>
      </w:r>
      <w:bookmarkEnd w:id="12"/>
    </w:p>
    <w:p>
      <w:r>
        <w:t>India's health policy has a clear direction. Primary care is being strengthened through Ayushman Arogya Mandirs, hospital care is financed through a now-national PM-JAY, and a digital layer ties the system together. The Ayushman Bharat Digital Mission had created about 93.95 crore ABHA health IDs and linked more than 105 crore health records by 10 July 2026, with 5.33 lakh facilities and 9.85 lakh professionals registered.</w:t>
      </w:r>
      <w:hyperlink r:id="rId113">
        <w:r>
          <w:rPr>
            <w:color w:val="B31822"/>
            <w:vertAlign w:val="superscript"/>
          </w:rPr>
          <w:t xml:space="preserve">103,</w:t>
        </w:r>
      </w:hyperlink>
      <w:hyperlink r:id="rId114">
        <w:r>
          <w:rPr>
            <w:color w:val="B31822"/>
            <w:vertAlign w:val="superscript"/>
          </w:rPr>
          <w:t xml:space="preserve">104</w:t>
        </w:r>
      </w:hyperlink>
      <w:r>
        <w:t xml:space="preserve"> This interoperable, consent-based layer could support remote second opinions, tele-tumour boards and cross-border care coordination.</w:t>
      </w:r>
    </w:p>
    <w:p>
      <w:r>
        <w:t>The private hospital sector is entering a capital-intensive expansion phase, backed by public markets (Manipal's IPO) and global private equity (Blackstone in Aster DM Quality Care, KKR's pending acquisition of Medicover India).</w:t>
      </w:r>
      <w:hyperlink r:id="rId75">
        <w:r>
          <w:rPr>
            <w:color w:val="B31822"/>
            <w:vertAlign w:val="superscript"/>
          </w:rPr>
          <w:t xml:space="preserve">65,</w:t>
        </w:r>
      </w:hyperlink>
      <w:hyperlink r:id="rId78">
        <w:r>
          <w:rPr>
            <w:color w:val="B31822"/>
            <w:vertAlign w:val="superscript"/>
          </w:rPr>
          <w:t xml:space="preserve">68,</w:t>
        </w:r>
      </w:hyperlink>
      <w:hyperlink r:id="rId87">
        <w:r>
          <w:rPr>
            <w:color w:val="B31822"/>
            <w:vertAlign w:val="superscript"/>
          </w:rPr>
          <w:t xml:space="preserve">77</w:t>
        </w:r>
      </w:hyperlink>
      <w:r>
        <w:t xml:space="preserve"> Government is also encouraging integrated 'health cities'. The Union Budget 2026-27 promised five regional medical hubs combining care, education and research, developed with states and private partners.</w:t>
      </w:r>
      <w:hyperlink r:id="rId115">
        <w:r>
          <w:rPr>
            <w:color w:val="B31822"/>
            <w:vertAlign w:val="superscript"/>
          </w:rPr>
          <w:t xml:space="preserve">105</w:t>
        </w:r>
      </w:hyperlink>
      <w:r>
        <w:t xml:space="preserve"> Maharashtra's Navi Mumbai International MediCity, with Cleveland Clinic as anchor under a June 2026 MoU, and Adani's two Health Cities in Ahmedabad and Mumbai, for which Mayo Clinic is a strategic adviser, are the leading examples.</w:t>
      </w:r>
      <w:hyperlink r:id="rId116">
        <w:r>
          <w:rPr>
            <w:color w:val="B31822"/>
            <w:vertAlign w:val="superscript"/>
          </w:rPr>
          <w:t xml:space="preserve">106,</w:t>
        </w:r>
      </w:hyperlink>
      <w:hyperlink r:id="rId112">
        <w:r>
          <w:rPr>
            <w:color w:val="B31822"/>
            <w:vertAlign w:val="superscript"/>
          </w:rPr>
          <w:t xml:space="preserve">102</w:t>
        </w:r>
      </w:hyperlink>
    </w:p>
    <w:p>
      <w:r>
        <w:t>Medical value travel is the main uncertainty. Arrivals for medical purposes were 6.44 lakh in 2024, below 6.59 lakh in 2023 and 6.97 lakh in 2019.</w:t>
      </w:r>
      <w:hyperlink r:id="rId117">
        <w:r>
          <w:rPr>
            <w:color w:val="B31822"/>
            <w:vertAlign w:val="superscript"/>
          </w:rPr>
          <w:t xml:space="preserve">107</w:t>
        </w:r>
      </w:hyperlink>
      <w:r>
        <w:t xml:space="preserve"> Bangladesh, which supplied about 4.8 lakh of the 2024 arrivals, was hit hard by visa restrictions after August 2024, and provisional figures show only about 4.5 lakh medical travellers in January to November 2025.</w:t>
      </w:r>
      <w:hyperlink r:id="rId118">
        <w:r>
          <w:rPr>
            <w:color w:val="B31822"/>
            <w:vertAlign w:val="superscript"/>
          </w:rPr>
          <w:t xml:space="preserve">108,</w:t>
        </w:r>
      </w:hyperlink>
      <w:hyperlink r:id="rId119">
        <w:r>
          <w:rPr>
            <w:color w:val="B31822"/>
            <w:vertAlign w:val="superscript"/>
          </w:rPr>
          <w:t xml:space="preserve">109,</w:t>
        </w:r>
      </w:hyperlink>
      <w:hyperlink r:id="rId117">
        <w:r>
          <w:rPr>
            <w:color w:val="B31822"/>
            <w:vertAlign w:val="superscript"/>
          </w:rPr>
          <w:t xml:space="preserve">107</w:t>
        </w:r>
      </w:hyperlink>
      <w:r>
        <w:t xml:space="preserve"> Other risks include tight public budgets (government spending was 1.48 percent of GDP in 2022-23), workforce shortfalls, uneven state capacity, the integrity problems in medical entrance exams shown by the 2026 NEET cancellation, and a US tariff regime that has changed repeatedly and now includes authority for tariffs of up to 100 percent on buyers of Russian oil, which could affect pharmaceutical supply chains.</w:t>
      </w:r>
      <w:hyperlink r:id="rId88">
        <w:r>
          <w:rPr>
            <w:color w:val="B31822"/>
            <w:vertAlign w:val="superscript"/>
          </w:rPr>
          <w:t xml:space="preserve">78,</w:t>
        </w:r>
      </w:hyperlink>
      <w:hyperlink r:id="rId104">
        <w:r>
          <w:rPr>
            <w:color w:val="B31822"/>
            <w:vertAlign w:val="superscript"/>
          </w:rPr>
          <w:t xml:space="preserve">94,</w:t>
        </w:r>
      </w:hyperlink>
      <w:hyperlink r:id="rId43">
        <w:r>
          <w:rPr>
            <w:color w:val="B31822"/>
            <w:vertAlign w:val="superscript"/>
          </w:rPr>
          <w:t xml:space="preserve">33</w:t>
        </w:r>
      </w:hyperlink>
      <w:r>
        <w:t xml:space="preserve"> Overall, the outlook favours foreign academic centers that bring capability (training, protocols, quality systems and research) to fast-growing Indian partners, rather than those seeking to operate hospitals directly.</w:t>
      </w:r>
    </w:p>
    <w:p>
      <w:pPr>
        <w:pStyle w:val="Heading2"/>
      </w:pPr>
      <w:bookmarkStart w:id="13" w:name="_sec13"/>
      <w:r>
        <w:t>Competitive Landscape</w:t>
      </w:r>
      <w:bookmarkEnd w:id="13"/>
    </w:p>
    <w:p>
      <w:r>
        <w:t>Several leading US systems already work in India, almost always through advisory, network, second-opinion or education models rather than equity ownership, and several of the announced relationships are older or quieter than their headlines suggest.</w:t>
      </w:r>
    </w:p>
    <w:p>
      <w:r>
        <w:t>Mayo Clinic has the broadest footprint. AIG Hospitals in Hyderabad joined the Mayo Clinic Care Network in October 2019 as its first Indian member.</w:t>
      </w:r>
      <w:hyperlink r:id="rId120">
        <w:r>
          <w:rPr>
            <w:color w:val="B31822"/>
            <w:vertAlign w:val="superscript"/>
          </w:rPr>
          <w:t xml:space="preserve">110,</w:t>
        </w:r>
      </w:hyperlink>
      <w:hyperlink r:id="rId121">
        <w:r>
          <w:rPr>
            <w:color w:val="B31822"/>
            <w:vertAlign w:val="superscript"/>
          </w:rPr>
          <w:t xml:space="preserve">111</w:t>
        </w:r>
      </w:hyperlink>
      <w:r>
        <w:t xml:space="preserve"> Mayo's 2023 tax filings, as reported in February 2025, still listed India among the network's member locations, but AIG's own Mayo network page has been taken down and Mayo's current member list could not be checked, so present membership is not confirmed.</w:t>
      </w:r>
      <w:hyperlink r:id="rId122">
        <w:r>
          <w:rPr>
            <w:color w:val="B31822"/>
            <w:vertAlign w:val="superscript"/>
          </w:rPr>
          <w:t xml:space="preserve">112</w:t>
        </w:r>
      </w:hyperlink>
      <w:r>
        <w:t xml:space="preserve"> Mayo opened a patient information office in Mumbai in February 2023 to arrange appointments at its US campuses and in London, and the same filings show a Mumbai subsidiary, MC Healthcare Services India.</w:t>
      </w:r>
      <w:hyperlink r:id="rId123">
        <w:r>
          <w:rPr>
            <w:color w:val="B31822"/>
            <w:vertAlign w:val="superscript"/>
          </w:rPr>
          <w:t xml:space="preserve">113,</w:t>
        </w:r>
      </w:hyperlink>
      <w:hyperlink r:id="rId122">
        <w:r>
          <w:rPr>
            <w:color w:val="B31822"/>
            <w:vertAlign w:val="superscript"/>
          </w:rPr>
          <w:t xml:space="preserve">112</w:t>
        </w:r>
      </w:hyperlink>
      <w:r>
        <w:t xml:space="preserve"> In February 2025 the Adani Group announced that it had engaged Mayo Clinic to give strategic advice on two Adani Health City campuses in Ahmedabad and Mumbai, each with a 1,000-bed hospital and a medical college, funded by an Adani family donation of more than Rs 6,000 crore.</w:t>
      </w:r>
      <w:hyperlink r:id="rId112">
        <w:r>
          <w:rPr>
            <w:color w:val="B31822"/>
            <w:vertAlign w:val="superscript"/>
          </w:rPr>
          <w:t xml:space="preserve">102,</w:t>
        </w:r>
      </w:hyperlink>
      <w:hyperlink r:id="rId122">
        <w:r>
          <w:rPr>
            <w:color w:val="B31822"/>
            <w:vertAlign w:val="superscript"/>
          </w:rPr>
          <w:t xml:space="preserve">112</w:t>
        </w:r>
      </w:hyperlink>
      <w:r>
        <w:t xml:space="preserve"> Adani describes Mayo's role as advisory, and Mayo has not publicly detailed it.</w:t>
      </w:r>
      <w:hyperlink r:id="rId112">
        <w:r>
          <w:rPr>
            <w:color w:val="B31822"/>
            <w:vertAlign w:val="superscript"/>
          </w:rPr>
          <w:t xml:space="preserve">102</w:t>
        </w:r>
      </w:hyperlink>
      <w:r>
        <w:t xml:space="preserve"> In January 2025 Lilavati Hospital, Mumbai, announced a collaboration with Mayo covering a nursing excellence program, a planned 300-bed cancer institute in Bandra and a hospital project in GIFT City, Gujarat.</w:t>
      </w:r>
      <w:hyperlink r:id="rId124">
        <w:r>
          <w:rPr>
            <w:color w:val="B31822"/>
            <w:vertAlign w:val="superscript"/>
          </w:rPr>
          <w:t xml:space="preserve">114</w:t>
        </w:r>
      </w:hyperlink>
      <w:r>
        <w:t xml:space="preserve"> The first cohort of 120 nurses trained from 17 to 26 March 2025 with Mayo nursing advisers present.</w:t>
      </w:r>
      <w:hyperlink r:id="rId125">
        <w:r>
          <w:rPr>
            <w:color w:val="B31822"/>
            <w:vertAlign w:val="superscript"/>
          </w:rPr>
          <w:t xml:space="preserve">115</w:t>
        </w:r>
      </w:hyperlink>
      <w:r>
        <w:t xml:space="preserve"> The cancer institute and GIFT City projects, however, have been described only by Lilavati's trustees, Mayo did not answer press questions about them, and their current status is unknown.</w:t>
      </w:r>
      <w:hyperlink r:id="rId124">
        <w:r>
          <w:rPr>
            <w:color w:val="B31822"/>
            <w:vertAlign w:val="superscript"/>
          </w:rPr>
          <w:t xml:space="preserve">114,</w:t>
        </w:r>
      </w:hyperlink>
      <w:hyperlink r:id="rId122">
        <w:r>
          <w:rPr>
            <w:color w:val="B31822"/>
            <w:vertAlign w:val="superscript"/>
          </w:rPr>
          <w:t xml:space="preserve">112</w:t>
        </w:r>
      </w:hyperlink>
    </w:p>
    <w:p>
      <w:r>
        <w:t>Cleveland Clinic signed an MoU on 10 June 2026 with the Government of Maharashtra, Brookfield Asset Management and Arodhan Health City to anchor the planned US$1.2 billion, 250-acre Navi Mumbai International MediCity.</w:t>
      </w:r>
      <w:hyperlink r:id="rId32">
        <w:r>
          <w:rPr>
            <w:color w:val="B31822"/>
            <w:vertAlign w:val="superscript"/>
          </w:rPr>
          <w:t xml:space="preserve">22,</w:t>
        </w:r>
      </w:hyperlink>
      <w:hyperlink r:id="rId126">
        <w:r>
          <w:rPr>
            <w:color w:val="B31822"/>
            <w:vertAlign w:val="superscript"/>
          </w:rPr>
          <w:t xml:space="preserve">116</w:t>
        </w:r>
      </w:hyperlink>
      <w:r>
        <w:t xml:space="preserve"> The signing took place at Cleveland Clinic's headquarters with CEO Tom Mihaljevic, who is quoted in the state's announcement, although Cleveland Clinic has not posted a release of its own and the project is still at MoU stage.</w:t>
      </w:r>
      <w:hyperlink r:id="rId32">
        <w:r>
          <w:rPr>
            <w:color w:val="B31822"/>
            <w:vertAlign w:val="superscript"/>
          </w:rPr>
          <w:t xml:space="preserve">22,</w:t>
        </w:r>
      </w:hyperlink>
      <w:hyperlink r:id="rId126">
        <w:r>
          <w:rPr>
            <w:color w:val="B31822"/>
            <w:vertAlign w:val="superscript"/>
          </w:rPr>
          <w:t xml:space="preserve">116</w:t>
        </w:r>
      </w:hyperlink>
      <w:r>
        <w:t xml:space="preserve"> Cleveland Clinic also keeps an in-country patient representative for India.</w:t>
      </w:r>
      <w:hyperlink r:id="rId127">
        <w:r>
          <w:rPr>
            <w:color w:val="B31822"/>
            <w:vertAlign w:val="superscript"/>
          </w:rPr>
          <w:t xml:space="preserve">117</w:t>
        </w:r>
      </w:hyperlink>
    </w:p>
    <w:p>
      <w:r>
        <w:t>Johns Hopkins Medicine International's consulting pages describe a 10-year affiliation with HCL Healthcare that began in February 2014 and covered outpatient and specialty care, training and clinical services.</w:t>
      </w:r>
      <w:hyperlink r:id="rId128">
        <w:r>
          <w:rPr>
            <w:color w:val="B31822"/>
            <w:vertAlign w:val="superscript"/>
          </w:rPr>
          <w:t xml:space="preserve">118,</w:t>
        </w:r>
      </w:hyperlink>
      <w:hyperlink r:id="rId129">
        <w:r>
          <w:rPr>
            <w:color w:val="B31822"/>
            <w:vertAlign w:val="superscript"/>
          </w:rPr>
          <w:t xml:space="preserve">119</w:t>
        </w:r>
      </w:hyperlink>
      <w:r>
        <w:t xml:space="preserve"> Its term would have run to 2024, and no renewal or current activity could be confirmed.</w:t>
      </w:r>
      <w:hyperlink r:id="rId128">
        <w:r>
          <w:rPr>
            <w:color w:val="B31822"/>
            <w:vertAlign w:val="superscript"/>
          </w:rPr>
          <w:t xml:space="preserve">118</w:t>
        </w:r>
      </w:hyperlink>
      <w:r>
        <w:t xml:space="preserve"> At university level, Johns Hopkins University and IIT Bombay's Koita Centre for Digital Health announced a digital-health research collaboration on 9 February 2023, which funds joint seed grants through the Gupta-Klinsky India Institute.</w:t>
      </w:r>
      <w:hyperlink r:id="rId130">
        <w:r>
          <w:rPr>
            <w:color w:val="B31822"/>
            <w:vertAlign w:val="superscript"/>
          </w:rPr>
          <w:t xml:space="preserve">120</w:t>
        </w:r>
      </w:hyperlink>
    </w:p>
    <w:p>
      <w:r>
        <w:t>Memorial Sloan Kettering launched MSKCC India on 2 August 2021 with the telemedicine company iCliniq, offering remote opinions coordinated from a hub in Chennai.</w:t>
      </w:r>
      <w:hyperlink r:id="rId131">
        <w:r>
          <w:rPr>
            <w:color w:val="B31822"/>
            <w:vertAlign w:val="superscript"/>
          </w:rPr>
          <w:t xml:space="preserve">121</w:t>
        </w:r>
      </w:hyperlink>
      <w:r>
        <w:t xml:space="preserve"> By September 2026 iCliniq had permanently removed its MSK India pages and no current MSK statement about the service could be found, so the program may have ended and its status is unknown.</w:t>
      </w:r>
      <w:hyperlink r:id="rId132">
        <w:r>
          <w:rPr>
            <w:color w:val="B31822"/>
            <w:vertAlign w:val="superscript"/>
          </w:rPr>
          <w:t xml:space="preserve">122</w:t>
        </w:r>
      </w:hyperlink>
    </w:p>
    <w:p>
      <w:r>
        <w:t>MD Anderson signed a sister-institution agreement with Tata Memorial Hospital, Mumbai, on 6 October 2003.</w:t>
      </w:r>
      <w:hyperlink r:id="rId133">
        <w:r>
          <w:rPr>
            <w:color w:val="B31822"/>
            <w:vertAlign w:val="superscript"/>
          </w:rPr>
          <w:t xml:space="preserve">123</w:t>
        </w:r>
      </w:hyperlink>
      <w:r>
        <w:t xml:space="preserve"> MD Anderson's own site currently lists Tata Memorial Hospital as a partner in its ECHO palliative-care program for Africa and India, which is funded through its Sister Institution Network Fund, so the two still work together, although the terms of the original agreement were not found.</w:t>
      </w:r>
      <w:hyperlink r:id="rId134">
        <w:r>
          <w:rPr>
            <w:color w:val="B31822"/>
            <w:vertAlign w:val="superscript"/>
          </w:rPr>
          <w:t xml:space="preserve">124</w:t>
        </w:r>
      </w:hyperlink>
    </w:p>
    <w:p>
      <w:r>
        <w:t>UCLA's India links are department-level.</w:t>
      </w:r>
      <w:hyperlink r:id="rId135">
        <w:r>
          <w:rPr>
            <w:color w:val="B31822"/>
            <w:vertAlign w:val="superscript"/>
          </w:rPr>
          <w:t xml:space="preserve">125</w:t>
        </w:r>
      </w:hyperlink>
      <w:r>
        <w:t xml:space="preserve"> Its OB/GYN department launched a resident exchange with Narendra Modi Medical College, Ahmedabad, in 2024, began joint academic seminars in summer 2025, and has completed the first phase of a postpartum-haemorrhage quality project with AIIMS New Delhi.</w:t>
      </w:r>
      <w:hyperlink r:id="rId135">
        <w:r>
          <w:rPr>
            <w:color w:val="B31822"/>
            <w:vertAlign w:val="superscript"/>
          </w:rPr>
          <w:t xml:space="preserve">125</w:t>
        </w:r>
      </w:hyperlink>
      <w:r>
        <w:t xml:space="preserve"> These are grant-funded projects, not UCLA Health system affiliations.</w:t>
      </w:r>
      <w:hyperlink r:id="rId135">
        <w:r>
          <w:rPr>
            <w:color w:val="B31822"/>
            <w:vertAlign w:val="superscript"/>
          </w:rPr>
          <w:t xml:space="preserve">125</w:t>
        </w:r>
      </w:hyperlink>
    </w:p>
    <w:p>
      <w:r>
        <w:t>The closest peer model for a CSI affiliation is Mount Sinai Health System's agreement with Ramaiah Memorial Hospital, Bengaluru.</w:t>
      </w:r>
      <w:hyperlink r:id="rId136">
        <w:r>
          <w:rPr>
            <w:color w:val="B31822"/>
            <w:vertAlign w:val="superscript"/>
          </w:rPr>
          <w:t xml:space="preserve">126,</w:t>
        </w:r>
      </w:hyperlink>
      <w:hyperlink r:id="rId137">
        <w:r>
          <w:rPr>
            <w:color w:val="B31822"/>
            <w:vertAlign w:val="superscript"/>
          </w:rPr>
          <w:t xml:space="preserve">127</w:t>
        </w:r>
      </w:hyperlink>
      <w:r>
        <w:t xml:space="preserve"> Mount Sinai announced it on 12 July 2024 as an exclusive long-term collaboration, and Deccan Herald reported a 10-year term that began on 1 July 2024.</w:t>
      </w:r>
      <w:hyperlink r:id="rId136">
        <w:r>
          <w:rPr>
            <w:color w:val="B31822"/>
            <w:vertAlign w:val="superscript"/>
          </w:rPr>
          <w:t xml:space="preserve">126,</w:t>
        </w:r>
      </w:hyperlink>
      <w:hyperlink r:id="rId137">
        <w:r>
          <w:rPr>
            <w:color w:val="B31822"/>
            <w:vertAlign w:val="superscript"/>
          </w:rPr>
          <w:t xml:space="preserve">127,</w:t>
        </w:r>
      </w:hyperlink>
      <w:hyperlink r:id="rId138">
        <w:r>
          <w:rPr>
            <w:color w:val="B31822"/>
            <w:vertAlign w:val="superscript"/>
          </w:rPr>
          <w:t xml:space="preserve">128</w:t>
        </w:r>
      </w:hyperlink>
      <w:r>
        <w:t xml:space="preserve"> It covers support for centres of excellence in oncology, cardiology, neurosciences and urology-nephrology, work on quality and technology, and periodic joint review of Ramaiah's complex cases.</w:t>
      </w:r>
      <w:hyperlink r:id="rId136">
        <w:r>
          <w:rPr>
            <w:color w:val="B31822"/>
            <w:vertAlign w:val="superscript"/>
          </w:rPr>
          <w:t xml:space="preserve">126,</w:t>
        </w:r>
      </w:hyperlink>
      <w:hyperlink r:id="rId138">
        <w:r>
          <w:rPr>
            <w:color w:val="B31822"/>
            <w:vertAlign w:val="superscript"/>
          </w:rPr>
          <w:t xml:space="preserve">128</w:t>
        </w:r>
      </w:hyperlink>
      <w:r>
        <w:t xml:space="preserve"> Ramaiah's website still presents the partnership, though no progress report on specific programs was found.</w:t>
      </w:r>
      <w:hyperlink r:id="rId139">
        <w:r>
          <w:rPr>
            <w:color w:val="B31822"/>
            <w:vertAlign w:val="superscript"/>
          </w:rPr>
          <w:t xml:space="preserve">129</w:t>
        </w:r>
      </w:hyperlink>
    </w:p>
    <w:p>
      <w:r>
        <w:t>Other US links are historical or dormant. NewYork-Presbyterian emergency-medicine volunteers ran disaster-preparedness training and drills in Ahmedabad in November 2007 and in Mumbai in October and November 2008, and no current program was found.</w:t>
      </w:r>
      <w:hyperlink r:id="rId140">
        <w:r>
          <w:rPr>
            <w:color w:val="B31822"/>
            <w:vertAlign w:val="superscript"/>
          </w:rPr>
          <w:t xml:space="preserve">130</w:t>
        </w:r>
      </w:hyperlink>
      <w:r>
        <w:t xml:space="preserve"> UPMC signed a telemedicine second-opinion agreement with Bangalore's TeleChikitsa Ventures in February 2014, its second India agreement after helping Citizens Hospital, Hyderabad, build a clinical pathology laboratory.</w:t>
      </w:r>
      <w:hyperlink r:id="rId141">
        <w:r>
          <w:rPr>
            <w:color w:val="B31822"/>
            <w:vertAlign w:val="superscript"/>
          </w:rPr>
          <w:t xml:space="preserve">131</w:t>
        </w:r>
      </w:hyperlink>
      <w:r>
        <w:t xml:space="preserve"> UPMC International's current pages list only Croatia, Ireland and Italy, and no current India activity was found.</w:t>
      </w:r>
      <w:hyperlink r:id="rId142">
        <w:r>
          <w:rPr>
            <w:color w:val="B31822"/>
            <w:vertAlign w:val="superscript"/>
          </w:rPr>
          <w:t xml:space="preserve">132</w:t>
        </w:r>
      </w:hyperlink>
      <w:r>
        <w:t xml:space="preserve"> Partners Harvard Medical International, part of what is now Mass General Brigham, worked with Wockhardt Hospitals from about 2001 and helped its Mumbai and Bangalore hospitals gain JCI accreditation in 2005 and 2008.</w:t>
      </w:r>
      <w:hyperlink r:id="rId143">
        <w:r>
          <w:rPr>
            <w:color w:val="B31822"/>
            <w:vertAlign w:val="superscript"/>
          </w:rPr>
          <w:t xml:space="preserve">133,</w:t>
        </w:r>
      </w:hyperlink>
      <w:hyperlink r:id="rId144">
        <w:r>
          <w:rPr>
            <w:color w:val="B31822"/>
            <w:vertAlign w:val="superscript"/>
          </w:rPr>
          <w:t xml:space="preserve">134</w:t>
        </w:r>
      </w:hyperlink>
      <w:r>
        <w:t xml:space="preserve"> No India hospital partnership was found on the international pages of Houston Methodist, Northwestern Medicine or Mass General Brigham.</w:t>
      </w:r>
      <w:hyperlink r:id="rId145">
        <w:r>
          <w:rPr>
            <w:color w:val="B31822"/>
            <w:vertAlign w:val="superscript"/>
          </w:rPr>
          <w:t xml:space="preserve">135,</w:t>
        </w:r>
      </w:hyperlink>
      <w:hyperlink r:id="rId146">
        <w:r>
          <w:rPr>
            <w:color w:val="B31822"/>
            <w:vertAlign w:val="superscript"/>
          </w:rPr>
          <w:t xml:space="preserve">136,</w:t>
        </w:r>
      </w:hyperlink>
      <w:hyperlink r:id="rId147">
        <w:r>
          <w:rPr>
            <w:color w:val="B31822"/>
            <w:vertAlign w:val="superscript"/>
          </w:rPr>
          <w:t xml:space="preserve">137</w:t>
        </w:r>
      </w:hyperlink>
    </w:p>
    <w:p>
      <w:r>
        <w:t>Among non-US players, Malaysia's IHH controls Fortis, Blackstone backs Aster DM Quality Care, Sweden's Medicover is selling its Indian hospitals to KKR, and King's College London and Guy's and St Thomas' formed a Health Partners Academy with P. D. Hinduja Hospital in April 2024.</w:t>
      </w:r>
      <w:hyperlink r:id="rId83">
        <w:r>
          <w:rPr>
            <w:color w:val="B31822"/>
            <w:vertAlign w:val="superscript"/>
          </w:rPr>
          <w:t xml:space="preserve">73,</w:t>
        </w:r>
      </w:hyperlink>
      <w:hyperlink r:id="rId78">
        <w:r>
          <w:rPr>
            <w:color w:val="B31822"/>
            <w:vertAlign w:val="superscript"/>
          </w:rPr>
          <w:t xml:space="preserve">68,</w:t>
        </w:r>
      </w:hyperlink>
      <w:hyperlink r:id="rId148">
        <w:r>
          <w:rPr>
            <w:color w:val="B31822"/>
            <w:vertAlign w:val="superscript"/>
          </w:rPr>
          <w:t xml:space="preserve">138,</w:t>
        </w:r>
      </w:hyperlink>
      <w:hyperlink r:id="rId149">
        <w:r>
          <w:rPr>
            <w:color w:val="B31822"/>
            <w:vertAlign w:val="superscript"/>
          </w:rPr>
          <w:t xml:space="preserve">139,</w:t>
        </w:r>
      </w:hyperlink>
      <w:hyperlink r:id="rId150">
        <w:r>
          <w:rPr>
            <w:color w:val="B31822"/>
            <w:vertAlign w:val="superscript"/>
          </w:rPr>
          <w:t xml:space="preserve">140</w:t>
        </w:r>
      </w:hyperlink>
    </w:p>
    <w:p>
      <w:r>
        <w:t>India is also a competitor for patients. Medical-purpose arrivals were 6.44 lakh in 2024, led by Bangladesh (about 4.8 lakh), Iraq, Somalia, Oman and Uzbekistan, and Indian chains market lower-cost complex care to the same Gulf, African and Central Asian patients that US centers pursue.</w:t>
      </w:r>
      <w:hyperlink r:id="rId117">
        <w:r>
          <w:rPr>
            <w:color w:val="B31822"/>
            <w:vertAlign w:val="superscript"/>
          </w:rPr>
          <w:t xml:space="preserve">107,</w:t>
        </w:r>
      </w:hyperlink>
      <w:hyperlink r:id="rId118">
        <w:r>
          <w:rPr>
            <w:color w:val="B31822"/>
            <w:vertAlign w:val="superscript"/>
          </w:rPr>
          <w:t xml:space="preserve">108</w:t>
        </w:r>
      </w:hyperlink>
    </w:p>
    <w:p>
      <w:pPr>
        <w:pStyle w:val="Heading1"/>
      </w:pPr>
      <w:bookmarkStart w:id="14" w:name="_sec14"/>
      <w:r>
        <w:t>Recent Developments</w:t>
      </w:r>
      <w:bookmarkEnd w:id="14"/>
    </w:p>
    <w:p>
      <w:pPr>
        <w:spacing w:before="0" w:after="80"/>
        <w:pBdr>
          <w:bottom w:val="single" w:sz="12" w:space="1" w:color="D91F2C"/>
        </w:pBdr>
      </w:pPr>
    </w:p>
    <w:p>
      <w:pPr>
        <w:spacing w:after="40"/>
      </w:pPr>
      <w:r>
        <w:rPr>
          <w:b/>
          <w:color w:val="B31822"/>
        </w:rPr>
        <w:t xml:space="preserve">2026-02-01  </w:t>
      </w:r>
      <w:r>
        <w:rPr>
          <w:b/>
        </w:rPr>
        <w:t>Union Budget 2026-27 raises health allocation nearly 10% and backs five regional medical hubs</w:t>
      </w:r>
    </w:p>
    <w:p>
      <w:pPr>
        <w:spacing w:after="240"/>
      </w:pPr>
      <w:r>
        <w:t>The Ministry of Health and Family Welfare received Rs 1,06,530.42 crore, nearly 10 percent above the previous year's revised estimate.</w:t>
      </w:r>
      <w:hyperlink r:id="rId45">
        <w:r>
          <w:rPr>
            <w:color w:val="B31822"/>
            <w:vertAlign w:val="superscript"/>
          </w:rPr>
          <w:t xml:space="preserve">35</w:t>
        </w:r>
      </w:hyperlink>
      <w:r>
        <w:t xml:space="preserve"> Allocations included Rs 39,390 crore for the National Health Mission, Rs 9,500 crore for PM-JAY and Rs 4,770 crore for PM-ABHIM.</w:t>
      </w:r>
      <w:hyperlink r:id="rId45">
        <w:r>
          <w:rPr>
            <w:color w:val="B31822"/>
            <w:vertAlign w:val="superscript"/>
          </w:rPr>
          <w:t xml:space="preserve">35</w:t>
        </w:r>
      </w:hyperlink>
      <w:r>
        <w:t xml:space="preserve"> The budget also announced a scheme for five regional medical hubs, developed with states and the private sector, combining care, education and research, along with plans to add 1 lakh allied health professionals and train 1.5 lakh caregivers.</w:t>
      </w:r>
      <w:hyperlink r:id="rId45">
        <w:r>
          <w:rPr>
            <w:color w:val="B31822"/>
            <w:vertAlign w:val="superscript"/>
          </w:rPr>
          <w:t xml:space="preserve">35,</w:t>
        </w:r>
      </w:hyperlink>
      <w:hyperlink r:id="rId46">
        <w:r>
          <w:rPr>
            <w:color w:val="B31822"/>
            <w:vertAlign w:val="superscript"/>
          </w:rPr>
          <w:t xml:space="preserve">36</w:t>
        </w:r>
      </w:hyperlink>
      <w:r>
        <w:t xml:space="preserve"> The hubs are intended to strengthen India's position in medical value travel.</w:t>
      </w:r>
      <w:hyperlink r:id="rId46">
        <w:r>
          <w:rPr>
            <w:color w:val="B31822"/>
            <w:vertAlign w:val="superscript"/>
          </w:rPr>
          <w:t xml:space="preserve">36</w:t>
        </w:r>
      </w:hyperlink>
    </w:p>
    <w:p>
      <w:pPr>
        <w:spacing w:after="40"/>
      </w:pPr>
      <w:r>
        <w:rPr>
          <w:b/>
          <w:color w:val="B31822"/>
        </w:rPr>
        <w:t xml:space="preserve">2026-05-12  </w:t>
      </w:r>
      <w:r>
        <w:rPr>
          <w:b/>
        </w:rPr>
        <w:t>NEET-UG 2026 cancelled over a question-paper leak; re-examination held on 21 June</w:t>
      </w:r>
    </w:p>
    <w:p>
      <w:pPr>
        <w:spacing w:after="240"/>
      </w:pPr>
      <w:r>
        <w:t>The National Testing Agency cancelled the NEET-UG examination held on 3 May 2026 for more than 22 lakh candidates after investigators found that questions had leaked in advance, and the case was handed to the Central Bureau of Investigation.</w:t>
      </w:r>
      <w:hyperlink r:id="rId104">
        <w:r>
          <w:rPr>
            <w:color w:val="B31822"/>
            <w:vertAlign w:val="superscript"/>
          </w:rPr>
          <w:t xml:space="preserve">94</w:t>
        </w:r>
      </w:hyperlink>
      <w:r>
        <w:t xml:space="preserve"> Nearly 20 lakh candidates sat the re-examination on 21 June 2026, and results were declared on 16 July 2026, with 11.21 lakh qualifying.</w:t>
      </w:r>
      <w:hyperlink r:id="rId106">
        <w:r>
          <w:rPr>
            <w:color w:val="B31822"/>
            <w:vertAlign w:val="superscript"/>
          </w:rPr>
          <w:t xml:space="preserve">96,</w:t>
        </w:r>
      </w:hyperlink>
      <w:hyperlink r:id="rId105">
        <w:r>
          <w:rPr>
            <w:color w:val="B31822"/>
            <w:vertAlign w:val="superscript"/>
          </w:rPr>
          <w:t xml:space="preserve">95,</w:t>
        </w:r>
      </w:hyperlink>
      <w:hyperlink r:id="rId104">
        <w:r>
          <w:rPr>
            <w:color w:val="B31822"/>
            <w:vertAlign w:val="superscript"/>
          </w:rPr>
          <w:t xml:space="preserve">94</w:t>
        </w:r>
      </w:hyperlink>
      <w:r>
        <w:t xml:space="preserve"> It was the second NEET integrity crisis in three years, a relevant consideration for any foreign partner relying on India's national admissions and licensing system.</w:t>
      </w:r>
      <w:hyperlink r:id="rId104">
        <w:r>
          <w:rPr>
            <w:color w:val="B31822"/>
            <w:vertAlign w:val="superscript"/>
          </w:rPr>
          <w:t xml:space="preserve">94</w:t>
        </w:r>
      </w:hyperlink>
    </w:p>
    <w:p>
      <w:pPr>
        <w:spacing w:after="40"/>
      </w:pPr>
      <w:r>
        <w:rPr>
          <w:b/>
          <w:color w:val="B31822"/>
        </w:rPr>
        <w:t xml:space="preserve">2026-06-08  </w:t>
      </w:r>
      <w:r>
        <w:rPr>
          <w:b/>
        </w:rPr>
        <w:t>West Bengal joins Ayushman Bharat PM-JAY, completing nationwide rollout</w:t>
      </w:r>
    </w:p>
    <w:p>
      <w:pPr>
        <w:spacing w:after="240"/>
      </w:pPr>
      <w:r>
        <w:t>West Bengal signed an MoU with the National Health Authority at a ceremony presided over by Union Health Minister J P Nadda, in the presence of Chief Minister Suvendu Adhikari.</w:t>
      </w:r>
      <w:hyperlink r:id="rId31">
        <w:r>
          <w:rPr>
            <w:color w:val="B31822"/>
            <w:vertAlign w:val="superscript"/>
          </w:rPr>
          <w:t xml:space="preserve">21,</w:t>
        </w:r>
      </w:hyperlink>
      <w:hyperlink r:id="rId151">
        <w:r>
          <w:rPr>
            <w:color w:val="B31822"/>
            <w:vertAlign w:val="superscript"/>
          </w:rPr>
          <w:t xml:space="preserve">141</w:t>
        </w:r>
      </w:hyperlink>
      <w:r>
        <w:t xml:space="preserve"> It became the 36th state or union territory to implement PM-JAY, the last to do so.</w:t>
      </w:r>
      <w:hyperlink r:id="rId31">
        <w:r>
          <w:rPr>
            <w:color w:val="B31822"/>
            <w:vertAlign w:val="superscript"/>
          </w:rPr>
          <w:t xml:space="preserve">21,</w:t>
        </w:r>
      </w:hyperlink>
      <w:hyperlink r:id="rId152">
        <w:r>
          <w:rPr>
            <w:color w:val="B31822"/>
            <w:vertAlign w:val="superscript"/>
          </w:rPr>
          <w:t xml:space="preserve">142</w:t>
        </w:r>
      </w:hyperlink>
      <w:r>
        <w:t xml:space="preserve"> About 1.24 crore eligible families in the state gain up to Rs 5 lakh a year in hospital cover.</w:t>
      </w:r>
      <w:hyperlink r:id="rId31">
        <w:r>
          <w:rPr>
            <w:color w:val="B31822"/>
            <w:vertAlign w:val="superscript"/>
          </w:rPr>
          <w:t xml:space="preserve">21</w:t>
        </w:r>
      </w:hyperlink>
      <w:r>
        <w:t xml:space="preserve"> Including families of ASHAs, anganwadi workers and helpers, and senior citizens aged 70 and over, the beneficiary base is about 1.43 crore families.</w:t>
      </w:r>
      <w:hyperlink r:id="rId31">
        <w:r>
          <w:rPr>
            <w:color w:val="B31822"/>
            <w:vertAlign w:val="superscript"/>
          </w:rPr>
          <w:t xml:space="preserve">21</w:t>
        </w:r>
      </w:hyperlink>
    </w:p>
    <w:p>
      <w:pPr>
        <w:spacing w:after="40"/>
      </w:pPr>
      <w:r>
        <w:rPr>
          <w:b/>
          <w:color w:val="B31822"/>
        </w:rPr>
        <w:t xml:space="preserve">2026-06-10  </w:t>
      </w:r>
      <w:r>
        <w:rPr>
          <w:b/>
        </w:rPr>
        <w:t>Maharashtra signs MoU with Cleveland Clinic, Brookfield and Arodhan Health City for Navi Mumbai International MediCity</w:t>
      </w:r>
    </w:p>
    <w:p>
      <w:pPr>
        <w:spacing w:after="240"/>
      </w:pPr>
      <w:r>
        <w:t>The Government of Maharashtra signed an MoU at Cleveland Clinic's headquarters in Cleveland with Cleveland Clinic, Brookfield Asset Management and Arodhan Health City to develop Navi Mumbai International MediCity, with Chief Minister Devendra Fadnavis joining by video.</w:t>
      </w:r>
      <w:hyperlink r:id="rId32">
        <w:r>
          <w:rPr>
            <w:color w:val="B31822"/>
            <w:vertAlign w:val="superscript"/>
          </w:rPr>
          <w:t xml:space="preserve">22,</w:t>
        </w:r>
      </w:hyperlink>
      <w:hyperlink r:id="rId126">
        <w:r>
          <w:rPr>
            <w:color w:val="B31822"/>
            <w:vertAlign w:val="superscript"/>
          </w:rPr>
          <w:t xml:space="preserve">116,</w:t>
        </w:r>
      </w:hyperlink>
      <w:hyperlink r:id="rId153">
        <w:r>
          <w:rPr>
            <w:color w:val="B31822"/>
            <w:vertAlign w:val="superscript"/>
          </w:rPr>
          <w:t xml:space="preserve">143,</w:t>
        </w:r>
      </w:hyperlink>
      <w:hyperlink r:id="rId116">
        <w:r>
          <w:rPr>
            <w:color w:val="B31822"/>
            <w:vertAlign w:val="superscript"/>
          </w:rPr>
          <w:t xml:space="preserve">106</w:t>
        </w:r>
      </w:hyperlink>
      <w:r>
        <w:t xml:space="preserve"> The planned 250-acre healthcare, research, medical education and medical tourism hub, next to the new Navi Mumbai airport, has expected investment of about US$1.2 billion and more than 10,000 jobs.</w:t>
      </w:r>
      <w:hyperlink r:id="rId32">
        <w:r>
          <w:rPr>
            <w:color w:val="B31822"/>
            <w:vertAlign w:val="superscript"/>
          </w:rPr>
          <w:t xml:space="preserve">22,</w:t>
        </w:r>
      </w:hyperlink>
      <w:hyperlink r:id="rId153">
        <w:r>
          <w:rPr>
            <w:color w:val="B31822"/>
            <w:vertAlign w:val="superscript"/>
          </w:rPr>
          <w:t xml:space="preserve">143,</w:t>
        </w:r>
      </w:hyperlink>
      <w:hyperlink r:id="rId116">
        <w:r>
          <w:rPr>
            <w:color w:val="B31822"/>
            <w:vertAlign w:val="superscript"/>
          </w:rPr>
          <w:t xml:space="preserve">106</w:t>
        </w:r>
      </w:hyperlink>
      <w:r>
        <w:t xml:space="preserve"> Cleveland Clinic is named as anchor institution, and CEO Tom Mihaljevic said in the state's announcement that it would contribute its expertise to the ecosystem.</w:t>
      </w:r>
      <w:hyperlink r:id="rId32">
        <w:r>
          <w:rPr>
            <w:color w:val="B31822"/>
            <w:vertAlign w:val="superscript"/>
          </w:rPr>
          <w:t xml:space="preserve">22,</w:t>
        </w:r>
      </w:hyperlink>
      <w:hyperlink r:id="rId116">
        <w:r>
          <w:rPr>
            <w:color w:val="B31822"/>
            <w:vertAlign w:val="superscript"/>
          </w:rPr>
          <w:t xml:space="preserve">106</w:t>
        </w:r>
      </w:hyperlink>
      <w:r>
        <w:t xml:space="preserve"> Cleveland Clinic has not issued its own release, and the project is at MoU stage.</w:t>
      </w:r>
    </w:p>
    <w:p>
      <w:pPr>
        <w:spacing w:after="40"/>
      </w:pPr>
      <w:r>
        <w:rPr>
          <w:b/>
          <w:color w:val="B31822"/>
        </w:rPr>
        <w:t xml:space="preserve">2026-08-05  </w:t>
      </w:r>
      <w:r>
        <w:rPr>
          <w:b/>
        </w:rPr>
        <w:t>Manipal Health Enterprises lists after Rs 9,275 crore IPO</w:t>
      </w:r>
    </w:p>
    <w:p>
      <w:pPr>
        <w:spacing w:after="240"/>
      </w:pPr>
      <w:r>
        <w:t>Manipal Health Enterprises, which reports 49 hospitals and 13,037 licensed beds across 14 states and union territories as of 31 March 2026, listed on the NSE and BSE at about an 11 percent premium to its Rs 590 issue price.</w:t>
      </w:r>
      <w:hyperlink r:id="rId75">
        <w:r>
          <w:rPr>
            <w:color w:val="B31822"/>
            <w:vertAlign w:val="superscript"/>
          </w:rPr>
          <w:t xml:space="preserve">65,</w:t>
        </w:r>
      </w:hyperlink>
      <w:hyperlink r:id="rId154">
        <w:r>
          <w:rPr>
            <w:color w:val="B31822"/>
            <w:vertAlign w:val="superscript"/>
          </w:rPr>
          <w:t xml:space="preserve">144,</w:t>
        </w:r>
      </w:hyperlink>
      <w:hyperlink r:id="rId74">
        <w:r>
          <w:rPr>
            <w:color w:val="B31822"/>
            <w:vertAlign w:val="superscript"/>
          </w:rPr>
          <w:t xml:space="preserve">64</w:t>
        </w:r>
      </w:hyperlink>
      <w:r>
        <w:t xml:space="preserve"> The IPO was subscribed nearly five times, led by qualified institutional buyers.</w:t>
      </w:r>
      <w:hyperlink r:id="rId75">
        <w:r>
          <w:rPr>
            <w:color w:val="B31822"/>
            <w:vertAlign w:val="superscript"/>
          </w:rPr>
          <w:t xml:space="preserve">65</w:t>
        </w:r>
      </w:hyperlink>
      <w:r>
        <w:t xml:space="preserve"> Manipal grew from 33 hospitals and 9,520 beds in March 2024, mainly through acquisitions of AMRI, Medica and Sahyadri, and cites a CRISIL report describing it as the largest pan-India multispecialty network by bed capacity.</w:t>
      </w:r>
      <w:hyperlink r:id="rId74">
        <w:r>
          <w:rPr>
            <w:color w:val="B31822"/>
            <w:vertAlign w:val="superscript"/>
          </w:rPr>
          <w:t xml:space="preserve">64</w:t>
        </w:r>
      </w:hyperlink>
    </w:p>
    <w:p>
      <w:pPr>
        <w:spacing w:after="40"/>
      </w:pPr>
      <w:r>
        <w:rPr>
          <w:b/>
          <w:color w:val="B31822"/>
        </w:rPr>
        <w:t xml:space="preserve">2026-08-06  </w:t>
      </w:r>
      <w:r>
        <w:rPr>
          <w:b/>
        </w:rPr>
        <w:t>KKR agrees to acquire Medicover India as Sweden's Medicover exits Indian hospitals</w:t>
      </w:r>
    </w:p>
    <w:p>
      <w:pPr>
        <w:spacing w:after="240"/>
      </w:pPr>
      <w:r>
        <w:t>KKR signed definitive agreements to acquire Medicover India, a network of 24 hospitals with about 4,800 beds across South and West India.</w:t>
      </w:r>
      <w:hyperlink r:id="rId87">
        <w:r>
          <w:rPr>
            <w:color w:val="B31822"/>
            <w:vertAlign w:val="superscript"/>
          </w:rPr>
          <w:t xml:space="preserve">77</w:t>
        </w:r>
      </w:hyperlink>
      <w:r>
        <w:t xml:space="preserve"> Medicover said the transaction values Medicover Hospitals India at EUR 1.2 billion, about US$1.4 billion, and is expected to close in the fourth quarter of 2026, subject to regulatory approvals; KKR did not disclose terms.</w:t>
      </w:r>
      <w:hyperlink r:id="rId148">
        <w:r>
          <w:rPr>
            <w:color w:val="B31822"/>
            <w:vertAlign w:val="superscript"/>
          </w:rPr>
          <w:t xml:space="preserve">138,</w:t>
        </w:r>
      </w:hyperlink>
      <w:hyperlink r:id="rId87">
        <w:r>
          <w:rPr>
            <w:color w:val="B31822"/>
            <w:vertAlign w:val="superscript"/>
          </w:rPr>
          <w:t xml:space="preserve">77</w:t>
        </w:r>
      </w:hyperlink>
      <w:r>
        <w:t xml:space="preserve"> The seller, Swedish healthcare group Medicover, is leaving the Indian hospital market to focus on Poland, Germany and Romania.</w:t>
      </w:r>
      <w:hyperlink r:id="rId148">
        <w:r>
          <w:rPr>
            <w:color w:val="B31822"/>
            <w:vertAlign w:val="superscript"/>
          </w:rPr>
          <w:t xml:space="preserve">138,</w:t>
        </w:r>
      </w:hyperlink>
      <w:hyperlink r:id="rId155">
        <w:r>
          <w:rPr>
            <w:color w:val="B31822"/>
            <w:vertAlign w:val="superscript"/>
          </w:rPr>
          <w:t xml:space="preserve">145</w:t>
        </w:r>
      </w:hyperlink>
      <w:r>
        <w:t xml:space="preserve"> The deal is a further sign of global private equity driving hospital consolidation in India.</w:t>
      </w:r>
    </w:p>
    <w:p>
      <w:pPr>
        <w:spacing w:after="40"/>
      </w:pPr>
      <w:r>
        <w:rPr>
          <w:b/>
          <w:color w:val="B31822"/>
        </w:rPr>
        <w:t xml:space="preserve">2026-09-23  </w:t>
      </w:r>
      <w:r>
        <w:rPr>
          <w:b/>
        </w:rPr>
        <w:t>Ayushman Bharat PM-JAY marks eight years with 13.25 crore funded hospital admissions</w:t>
      </w:r>
    </w:p>
    <w:p>
      <w:pPr>
        <w:spacing w:after="240"/>
      </w:pPr>
      <w:r>
        <w:t>On the scheme's eighth anniversary, Union Health Minister J P Nadda and the National Health Authority reported that PM-JAY had funded 13.25 crore hospital admissions worth Rs 2.03 lakh crore through more than 38,000 empanelled public and private hospitals.</w:t>
      </w:r>
      <w:hyperlink r:id="rId68">
        <w:r>
          <w:rPr>
            <w:color w:val="B31822"/>
            <w:vertAlign w:val="superscript"/>
          </w:rPr>
          <w:t xml:space="preserve">58,</w:t>
        </w:r>
      </w:hyperlink>
      <w:hyperlink r:id="rId69">
        <w:r>
          <w:rPr>
            <w:color w:val="B31822"/>
            <w:vertAlign w:val="superscript"/>
          </w:rPr>
          <w:t xml:space="preserve">59</w:t>
        </w:r>
      </w:hyperlink>
      <w:r>
        <w:t xml:space="preserve"> About 48.5 crore Ayushman cards have been issued, and more than 12 crore families have Rs 5 lakh in annual cover across 1,961 procedures in 27 specialties.</w:t>
      </w:r>
      <w:hyperlink r:id="rId68">
        <w:r>
          <w:rPr>
            <w:color w:val="B31822"/>
            <w:vertAlign w:val="superscript"/>
          </w:rPr>
          <w:t xml:space="preserve">58,</w:t>
        </w:r>
      </w:hyperlink>
      <w:hyperlink r:id="rId69">
        <w:r>
          <w:rPr>
            <w:color w:val="B31822"/>
            <w:vertAlign w:val="superscript"/>
          </w:rPr>
          <w:t xml:space="preserve">59,</w:t>
        </w:r>
      </w:hyperlink>
      <w:hyperlink r:id="rId156">
        <w:r>
          <w:rPr>
            <w:color w:val="B31822"/>
            <w:vertAlign w:val="superscript"/>
          </w:rPr>
          <w:t xml:space="preserve">146</w:t>
        </w:r>
      </w:hyperlink>
    </w:p>
    <w:p>
      <w:r>
        <w:br w:type="page"/>
      </w:r>
    </w:p>
    <w:p>
      <w:pPr>
        <w:pStyle w:val="Heading1"/>
      </w:pPr>
      <w:bookmarkStart w:id="15" w:name="_sec15"/>
      <w:r>
        <w:t>CSI Assessment</w:t>
      </w:r>
      <w:bookmarkEnd w:id="15"/>
    </w:p>
    <w:p>
      <w:pPr>
        <w:spacing w:before="0" w:after="80"/>
        <w:pBdr>
          <w:bottom w:val="single" w:sz="12" w:space="1" w:color="D91F2C"/>
        </w:pBdr>
      </w:pPr>
    </w:p>
    <w:p>
      <w:r>
        <w:rPr>
          <w:i/>
          <w:color w:val="6E6E6E"/>
          <w:sz w:val="20"/>
        </w:rPr>
        <w:t>Everything below comes from Cedars-Sinai's internal data (patient referral records, finance, relationship history) and human judgment, not from the research agents. Fields left blank are marked and must be completed by the analyst before this profile is used.</w:t>
      </w:r>
    </w:p>
    <w:p>
      <w:pPr>
        <w:spacing w:after="200"/>
      </w:pPr>
      <w:r>
        <w:rPr>
          <w:b/>
          <w:color w:val="B31822"/>
        </w:rPr>
        <w:t>Patient Volume &amp; Revenue (most recent FY)</w:t>
        <w:br/>
      </w:r>
      <w:r>
        <w:rPr>
          <w:b/>
          <w:color w:val="996A00"/>
          <w:highlight w:val="yellow"/>
        </w:rPr>
        <w:t>[MANUAL INPUT REQUIRED]</w:t>
      </w:r>
    </w:p>
    <w:p>
      <w:pPr>
        <w:spacing w:after="200"/>
      </w:pPr>
      <w:r>
        <w:rPr>
          <w:b/>
          <w:color w:val="B31822"/>
        </w:rPr>
        <w:t>Referral Sources</w:t>
        <w:br/>
      </w:r>
      <w:r>
        <w:rPr>
          <w:b/>
          <w:color w:val="996A00"/>
          <w:highlight w:val="yellow"/>
        </w:rPr>
        <w:t>[MANUAL INPUT REQUIRED]</w:t>
      </w:r>
    </w:p>
    <w:p>
      <w:pPr>
        <w:spacing w:after="200"/>
      </w:pPr>
      <w:r>
        <w:rPr>
          <w:b/>
          <w:color w:val="B31822"/>
        </w:rPr>
        <w:t>Relationship History</w:t>
        <w:br/>
      </w:r>
      <w:r>
        <w:rPr>
          <w:b/>
          <w:color w:val="996A00"/>
          <w:highlight w:val="yellow"/>
        </w:rPr>
        <w:t>[MANUAL INPUT REQUIRED]</w:t>
      </w:r>
    </w:p>
    <w:p>
      <w:pPr>
        <w:spacing w:after="200"/>
      </w:pPr>
      <w:r>
        <w:rPr>
          <w:b/>
          <w:color w:val="B31822"/>
        </w:rPr>
        <w:t>Complications</w:t>
        <w:br/>
      </w:r>
      <w:r>
        <w:rPr>
          <w:b/>
          <w:color w:val="996A00"/>
          <w:highlight w:val="yellow"/>
        </w:rPr>
        <w:t>[MANUAL INPUT REQUIRED]</w:t>
      </w:r>
    </w:p>
    <w:p>
      <w:pPr>
        <w:spacing w:after="200"/>
      </w:pPr>
      <w:r>
        <w:rPr>
          <w:b/>
          <w:color w:val="B31822"/>
        </w:rPr>
        <w:t>Key Contacts</w:t>
        <w:br/>
      </w:r>
      <w:r>
        <w:rPr>
          <w:b/>
          <w:color w:val="996A00"/>
          <w:highlight w:val="yellow"/>
        </w:rPr>
        <w:t>[MANUAL INPUT REQUIRED]</w:t>
      </w:r>
    </w:p>
    <w:p>
      <w:pPr>
        <w:spacing w:after="200"/>
      </w:pPr>
      <w:r>
        <w:rPr>
          <w:b/>
          <w:color w:val="B31822"/>
        </w:rPr>
        <w:t>Opportunities</w:t>
        <w:br/>
      </w:r>
      <w:r>
        <w:rPr>
          <w:b/>
          <w:color w:val="996A00"/>
          <w:highlight w:val="yellow"/>
        </w:rPr>
        <w:t>[MANUAL INPUT REQUIRED]</w:t>
      </w:r>
    </w:p>
    <w:p>
      <w:pPr>
        <w:spacing w:after="200"/>
      </w:pPr>
      <w:r>
        <w:rPr>
          <w:b/>
          <w:color w:val="B31822"/>
        </w:rPr>
        <w:t>CSI Recommendation</w:t>
        <w:br/>
      </w:r>
      <w:r>
        <w:rPr>
          <w:b/>
          <w:color w:val="996A00"/>
          <w:highlight w:val="yellow"/>
        </w:rPr>
        <w:t>[MANUAL INPUT REQUIRED]</w:t>
      </w:r>
    </w:p>
    <w:sectPr w:rsidR="00FC693F" w:rsidRPr="0006063C" w:rsidSect="00034616">
      <w:footerReference w:type="default" r:id="rId9"/>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E6E6E"/>
        <w:sz w:val="18"/>
      </w:rPr>
      <w:fldChar w:fldCharType="begin"/>
    </w:r>
    <w:r>
      <w:rPr>
        <w:color w:val="6E6E6E"/>
        <w:sz w:val="18"/>
      </w:rPr>
      <w:instrText xml:space="preserve"> PAGE </w:instrText>
    </w:r>
    <w:r>
      <w:rPr>
        <w:color w:val="6E6E6E"/>
        <w:sz w:val="18"/>
      </w:rPr>
      <w:fldChar w:fldCharType="separate"/>
    </w:r>
    <w:r>
      <w:rPr>
        <w:color w:val="6E6E6E"/>
        <w:sz w:val="18"/>
      </w:rPr>
      <w:t/>
    </w:r>
    <w:r>
      <w:rPr>
        <w:color w:val="6E6E6E"/>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color w:val="24242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00"/>
      <w:outlineLvl w:val="0"/>
    </w:pPr>
    <w:rPr>
      <w:rFonts w:asciiTheme="majorHAnsi" w:eastAsiaTheme="majorEastAsia" w:hAnsiTheme="majorHAnsi" w:cstheme="majorBidi" w:ascii="Calibri" w:hAnsi="Calibri"/>
      <w:b/>
      <w:bCs/>
      <w:color w:val="D91F2C"/>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B31822"/>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https://en.wikipedia.org/wiki/India" TargetMode="External"/><Relationship Id="rId12" Type="http://schemas.openxmlformats.org/officeDocument/2006/relationships/hyperlink" Target="https://www.business-standard.com/markets/capital-market-news/india-s-population-estimated-to-hit-1-46-billion-in-2025-says-un-125061001170_1.html" TargetMode="External"/><Relationship Id="rId13" Type="http://schemas.openxmlformats.org/officeDocument/2006/relationships/hyperlink" Target="https://www.unfpa.org/data/world-population/IN" TargetMode="External"/><Relationship Id="rId14" Type="http://schemas.openxmlformats.org/officeDocument/2006/relationships/hyperlink" Target="https://data.worldbank.org/indicator/NY.GDP.MKTP.PP.CD?locations=IN" TargetMode="External"/><Relationship Id="rId15" Type="http://schemas.openxmlformats.org/officeDocument/2006/relationships/hyperlink" Target="https://api.worldbank.org/v2/country/IND/indicator/NY.GDP.MKTP.PP.CD?format=json" TargetMode="External"/><Relationship Id="rId16" Type="http://schemas.openxmlformats.org/officeDocument/2006/relationships/hyperlink" Target="https://data.worldbank.org/indicator/NY.GDP.PCAP.PP.CD?locations=IN" TargetMode="External"/><Relationship Id="rId17" Type="http://schemas.openxmlformats.org/officeDocument/2006/relationships/hyperlink" Target="https://en.wikipedia.org/wiki/Presidency_of_Droupadi_Murmu" TargetMode="External"/><Relationship Id="rId18" Type="http://schemas.openxmlformats.org/officeDocument/2006/relationships/hyperlink" Target="https://data.worldbank.org/indicator/SP.URB.TOTL.IN.ZS?locations=IN" TargetMode="External"/><Relationship Id="rId19" Type="http://schemas.openxmlformats.org/officeDocument/2006/relationships/hyperlink" Target="https://m.thewire.in/article/health/all-the-states-except-six-in-north-india-are-below-replacement-fertility-levels-govt-report-suggests" TargetMode="External"/><Relationship Id="rId20" Type="http://schemas.openxmlformats.org/officeDocument/2006/relationships/hyperlink" Target="https://www.policyedge.in/p/indias-fertility-falls-below-replacement-level-in-srs-2024-demographic-report" TargetMode="External"/><Relationship Id="rId21" Type="http://schemas.openxmlformats.org/officeDocument/2006/relationships/hyperlink" Target="https://www.business-standard.com/india-news/amid-delimitation-row-srs-bulletin-reveals-population-imbalance-in-india-126052400346_1.html" TargetMode="External"/><Relationship Id="rId22" Type="http://schemas.openxmlformats.org/officeDocument/2006/relationships/hyperlink" Target="https://india.unfpa.org/en/news/india-ageing-elderly-make-20-population-2050-unfpa-report" TargetMode="External"/><Relationship Id="rId23" Type="http://schemas.openxmlformats.org/officeDocument/2006/relationships/hyperlink" Target="https://factly.in/data-india-ageing-report-2023-highlights-challenges-of-demographic-shift/" TargetMode="External"/><Relationship Id="rId24" Type="http://schemas.openxmlformats.org/officeDocument/2006/relationships/hyperlink" Target="https://www.pib.gov.in/PressReleasePage.aspx?lang=1&amp;PRID=2246847&amp;reg=3" TargetMode="External"/><Relationship Id="rId25" Type="http://schemas.openxmlformats.org/officeDocument/2006/relationships/hyperlink" Target="https://en.wikipedia.org/wiki/2027_census_of_India" TargetMode="External"/><Relationship Id="rId26" Type="http://schemas.openxmlformats.org/officeDocument/2006/relationships/hyperlink" Target="https://en.wikipedia.org/wiki/Seventh_Schedule_to_the_Constitution_of_India" TargetMode="External"/><Relationship Id="rId27" Type="http://schemas.openxmlformats.org/officeDocument/2006/relationships/hyperlink" Target="https://prepp.in/question/public-health-and-sanitation-hospitals-and-dispen-645ddd980ea67d595b114597" TargetMode="External"/><Relationship Id="rId28" Type="http://schemas.openxmlformats.org/officeDocument/2006/relationships/hyperlink" Target="https://nhsrcindia.org/sites/default/files/2021-09/FCXV%20Technical%20and%20Operational%20GLs%20to%20States%20dated%2031082021.pdf" TargetMode="External"/><Relationship Id="rId29" Type="http://schemas.openxmlformats.org/officeDocument/2006/relationships/hyperlink" Target="https://www.newsonair.gov.in/odisha-becomes-34th-state-ut-to-implement-ayushman-bharat-pm-jay" TargetMode="External"/><Relationship Id="rId30" Type="http://schemas.openxmlformats.org/officeDocument/2006/relationships/hyperlink" Target="https://www.deccanherald.com/amp/story/india%2Fdelhi%2Fdelhi-govt-inks-mou-with-centre-to-roll-out-ayushman-bharat-scheme-3479728" TargetMode="External"/><Relationship Id="rId31" Type="http://schemas.openxmlformats.org/officeDocument/2006/relationships/hyperlink" Target="https://www.pib.gov.in/PressReleasePage.aspx?PRID=2270375&amp;reg=3&amp;lang=2" TargetMode="External"/><Relationship Id="rId32" Type="http://schemas.openxmlformats.org/officeDocument/2006/relationships/hyperlink" Target="https://www.freepressjournal.in/mumbai/maharashtra-signs-mou-with-cleveland-clinic-and-brookfield-for-navi-mumbai-international-medicity-indias-first-global-scale-healthcare-hub" TargetMode="External"/><Relationship Id="rId33" Type="http://schemas.openxmlformats.org/officeDocument/2006/relationships/hyperlink" Target="https://www.mospi.gov.in/uploads/latestReleases/latest_release_1780655857536_5ac01869-ca4a-422d-b7a7-57b81da60932_Press_Note_on_GDP_Estimates_for_Q4_2025-26_and_PE_FY_2025-26_F.pdf" TargetMode="External"/><Relationship Id="rId34" Type="http://schemas.openxmlformats.org/officeDocument/2006/relationships/hyperlink" Target="https://www.mospi.gov.in/uploads/latestReleases/latest_release_1788172583113_d65a77cf-240e-4491-82ee-59f78618fa41_Press_Note_on_GDP_Estimates_for_Q1_2026-27.pdf" TargetMode="External"/><Relationship Id="rId35" Type="http://schemas.openxmlformats.org/officeDocument/2006/relationships/hyperlink" Target="https://www.mospi.gov.in/uploads/latestReleases/latest_release_1772189865181_f040336d-bc57-4aed-b80f-586d9ccb279e_Press_Note_on_New_Series_of_GDP_Estimates_with_Base_Year_2022-23_27022026.pdf" TargetMode="External"/><Relationship Id="rId36" Type="http://schemas.openxmlformats.org/officeDocument/2006/relationships/hyperlink" Target="https://www.aljazeera.com/news/2025/8/27/us-imposes-50-percent-tariff-on-india-over-russian-oil-purchases" TargetMode="External"/><Relationship Id="rId37" Type="http://schemas.openxmlformats.org/officeDocument/2006/relationships/hyperlink" Target="https://www.whitehouse.gov/briefings-statements/2026/02/united-states-india-joint-statement/" TargetMode="External"/><Relationship Id="rId38" Type="http://schemas.openxmlformats.org/officeDocument/2006/relationships/hyperlink" Target="https://www.india-briefing.com/news/india-us-trade-deal-tariff-cuts-timeline-42471.html/" TargetMode="External"/><Relationship Id="rId39" Type="http://schemas.openxmlformats.org/officeDocument/2006/relationships/hyperlink" Target="https://www.newsonair.gov.in/white-house-says-india-to-face-temporary-10-per-cent-tariff-after-new-us-order" TargetMode="External"/><Relationship Id="rId40" Type="http://schemas.openxmlformats.org/officeDocument/2006/relationships/hyperlink" Target="https://www.morganlewis.com/pubs/2026/07/us-administration-rebuilds-global-tariff-program-under-section-301" TargetMode="External"/><Relationship Id="rId41" Type="http://schemas.openxmlformats.org/officeDocument/2006/relationships/hyperlink" Target="https://www.indialaw.in/blog/us-pharma-tariffs-2026-exporters/" TargetMode="External"/><Relationship Id="rId42" Type="http://schemas.openxmlformats.org/officeDocument/2006/relationships/hyperlink" Target="https://www.aljazeera.com/features/2026/9/17/us-tariffs-against-russian-oil-buyers-pass-what-it-means-for-china" TargetMode="External"/><Relationship Id="rId43" Type="http://schemas.openxmlformats.org/officeDocument/2006/relationships/hyperlink" Target="https://sanctionsnews.bakermckenzie.com/us-president-signs-russia-and-iran-sanctions-bill-with-new-tariff-powers/" TargetMode="External"/><Relationship Id="rId44" Type="http://schemas.openxmlformats.org/officeDocument/2006/relationships/hyperlink" Target="https://www.business-standard.com/industry/news/drug-exports-to-us-fall-10-in-fy26-as-eu-and-africa-drive-growth-126050100811_1.html" TargetMode="External"/><Relationship Id="rId45" Type="http://schemas.openxmlformats.org/officeDocument/2006/relationships/hyperlink" Target="https://www.pib.gov.in/PressReleasePage.aspx?PRID=2221616&amp;reg=48&amp;lang=2" TargetMode="External"/><Relationship Id="rId46" Type="http://schemas.openxmlformats.org/officeDocument/2006/relationships/hyperlink" Target="https://www.business-standard.com/budget/news/govt-to-support-five-regional-medical-tourism-hubs-126020100321_1.html" TargetMode="External"/><Relationship Id="rId47" Type="http://schemas.openxmlformats.org/officeDocument/2006/relationships/hyperlink" Target="https://thefederal.com/health/noncommunicable-diseases-caused-66-deaths-in-india-in-2019-who" TargetMode="External"/><Relationship Id="rId48" Type="http://schemas.openxmlformats.org/officeDocument/2006/relationships/hyperlink" Target="https://ghoapi.azureedge.net/api/NCDMORT3070" TargetMode="External"/><Relationship Id="rId49" Type="http://schemas.openxmlformats.org/officeDocument/2006/relationships/hyperlink" Target="https://thesouthfirst.com/tamilnadu/in-2024-1-in-every-3-medically-certified-heart-attack-deaths-occurred-in-tamil-nadu/" TargetMode="External"/><Relationship Id="rId50" Type="http://schemas.openxmlformats.org/officeDocument/2006/relationships/hyperlink" Target="https://www.thelancet.com/journals/landia/article/PIIS2213-8587(23)00119-5/fulltext" TargetMode="External"/><Relationship Id="rId51" Type="http://schemas.openxmlformats.org/officeDocument/2006/relationships/hyperlink" Target="https://www.medrxiv.org/content/10.1101/2025.09.17.25335963v1.full" TargetMode="External"/><Relationship Id="rId52" Type="http://schemas.openxmlformats.org/officeDocument/2006/relationships/hyperlink" Target="https://theprint.in/health/anaemia-obesity-on-the-rise-in-india-as-nfhs-5-reveals-falling-nutritional-indicators/771169/" TargetMode="External"/><Relationship Id="rId53" Type="http://schemas.openxmlformats.org/officeDocument/2006/relationships/hyperlink" Target="https://risingkashmir.com/india-sees-over-15-lakh-new-cancer-cases-in-2024-health-ministry/" TargetMode="External"/><Relationship Id="rId54" Type="http://schemas.openxmlformats.org/officeDocument/2006/relationships/hyperlink" Target="https://ddnews.gov.in/en/india-records-21-decline-in-tb-incidence-nearly-double-global-rate-who-report/" TargetMode="External"/><Relationship Id="rId55" Type="http://schemas.openxmlformats.org/officeDocument/2006/relationships/hyperlink" Target="https://www.business-standard.com/health/india-tops-global-tb-burden-2024-who-report-125111300014_1.html" TargetMode="External"/><Relationship Id="rId56" Type="http://schemas.openxmlformats.org/officeDocument/2006/relationships/hyperlink" Target="https://www.stateofglobalair.org/resources/archived/state-global-air-report-2024" TargetMode="External"/><Relationship Id="rId57" Type="http://schemas.openxmlformats.org/officeDocument/2006/relationships/hyperlink" Target="https://www.cleanairfund.org/news-item/hei-global-air-pollution-report/" TargetMode="External"/><Relationship Id="rId58" Type="http://schemas.openxmlformats.org/officeDocument/2006/relationships/hyperlink" Target="https://www.icmr.gov.in/icmrobject/custom_data/1702896954_indiastate-leveldiseaseburdeninitiative_pressrelease_sldbi_14nov17.pdf" TargetMode="External"/><Relationship Id="rId59" Type="http://schemas.openxmlformats.org/officeDocument/2006/relationships/hyperlink" Target="https://www.healthdata.org/research-analysis/library/india-health-nations-states" TargetMode="External"/><Relationship Id="rId60" Type="http://schemas.openxmlformats.org/officeDocument/2006/relationships/hyperlink" Target="https://www.thinkglobalhealth.org/article/indias-call-action-noncommunicable-diseases" TargetMode="External"/><Relationship Id="rId61" Type="http://schemas.openxmlformats.org/officeDocument/2006/relationships/hyperlink" Target="https://www.thelancet.com/journals/lancet/article/PIIS0140-6736(24)00933-4/fulltext" TargetMode="External"/><Relationship Id="rId62" Type="http://schemas.openxmlformats.org/officeDocument/2006/relationships/hyperlink" Target="https://www.nature.com/articles/s41598-024-72551-4" TargetMode="External"/><Relationship Id="rId63" Type="http://schemas.openxmlformats.org/officeDocument/2006/relationships/hyperlink" Target="https://www.business-standard.com/health/cancer-cases-india-icmr-2024-study-jama-oral-breast-lung-cervical-125082600642_1.html" TargetMode="External"/><Relationship Id="rId64" Type="http://schemas.openxmlformats.org/officeDocument/2006/relationships/hyperlink" Target="https://www.pib.gov.in/PressReleasePage.aspx?PRID=2110390" TargetMode="External"/><Relationship Id="rId65" Type="http://schemas.openxmlformats.org/officeDocument/2006/relationships/hyperlink" Target="https://www.pib.gov.in/PressReleasePage.aspx?PRID=2210432&amp;reg=3&amp;lang=1" TargetMode="External"/><Relationship Id="rId66" Type="http://schemas.openxmlformats.org/officeDocument/2006/relationships/hyperlink" Target="https://www.pib.gov.in/PressReleasePage.aspx?PRID=2151239&amp;reg=48&amp;lang=2" TargetMode="External"/><Relationship Id="rId67" Type="http://schemas.openxmlformats.org/officeDocument/2006/relationships/hyperlink" Target="https://www.pib.gov.in/PressReleasePage.aspx?PRID=2080071&amp;reg=48&amp;lang=2" TargetMode="External"/><Relationship Id="rId68" Type="http://schemas.openxmlformats.org/officeDocument/2006/relationships/hyperlink" Target="https://www.aninews.in/news/national/politics/sankalp-for-seva8217-jp-nadda-marks-8-years-of-ayushman-bharat-pm-jay-highlights-coverage-of-over-60-crore-people20260923095824/" TargetMode="External"/><Relationship Id="rId69" Type="http://schemas.openxmlformats.org/officeDocument/2006/relationships/hyperlink" Target="https://morungexpress.com/indias-ab-pm-jay-marks-8th-anniversary-funds-1325-crore-admissions" TargetMode="External"/><Relationship Id="rId70" Type="http://schemas.openxmlformats.org/officeDocument/2006/relationships/hyperlink" Target="https://thesouthfirst.com/health/india-has-only-0-79-beds-per-1000-population-in-government-hospitals-short-by-2-4-million-hospital-beds/" TargetMode="External"/><Relationship Id="rId71" Type="http://schemas.openxmlformats.org/officeDocument/2006/relationships/hyperlink" Target="https://www.mospi.gov.in/uploads/release_calendar/1776681150721_PRESS_NOTE_HEALTH_REVISED.pdf" TargetMode="External"/><Relationship Id="rId72" Type="http://schemas.openxmlformats.org/officeDocument/2006/relationships/hyperlink" Target="https://vajiramandravi.com/current-affairs/nso-health-survey-findings/" TargetMode="External"/><Relationship Id="rId73" Type="http://schemas.openxmlformats.org/officeDocument/2006/relationships/hyperlink" Target="https://www.downtoearth.org.in/health/private-hospitals-cost-up-to-10-times-more-than-government-facilities-for-same-illnesses-nso-survey-finds" TargetMode="External"/><Relationship Id="rId74" Type="http://schemas.openxmlformats.org/officeDocument/2006/relationships/hyperlink" Target="https://groww.in/ipo/manipal-health-enterprises-ipo" TargetMode="External"/><Relationship Id="rId75" Type="http://schemas.openxmlformats.org/officeDocument/2006/relationships/hyperlink" Target="https://www.business-standard.com/markets/news/manipal-health-share-price-lists-at-11-premium-beats-gmp-expectations-126080500123_1.html" TargetMode="External"/><Relationship Id="rId76" Type="http://schemas.openxmlformats.org/officeDocument/2006/relationships/hyperlink" Target="https://www.apollohospitals.com/sites/default/files/2026-05/ahel-q4fy26-resullts-release.pdf" TargetMode="External"/><Relationship Id="rId77" Type="http://schemas.openxmlformats.org/officeDocument/2006/relationships/hyperlink" Target="https://www.bwhealthcareworld.com/article/apollo-hospitals-q4-fy26-profit-rises-36-to-rs-529-crore-revenue-up-18-607774" TargetMode="External"/><Relationship Id="rId78" Type="http://schemas.openxmlformats.org/officeDocument/2006/relationships/hyperlink" Target="https://www.asterdmhealthcare.in/newsroom/detail/aster-and-blackstone-backed-quality-care-have-merged-establish-one-of-top-3-hospital-chains-india" TargetMode="External"/><Relationship Id="rId79" Type="http://schemas.openxmlformats.org/officeDocument/2006/relationships/hyperlink" Target="https://www.healthcaremea.com/2026/07/03/aster-dm-quality-care-begins-operations-post-merger-with-over-10600-beds/" TargetMode="External"/><Relationship Id="rId80" Type="http://schemas.openxmlformats.org/officeDocument/2006/relationships/hyperlink" Target="https://www.investywise.com/max-healthcare-reports-strong-q4-and-fy26-financial-growth/" TargetMode="External"/><Relationship Id="rId81" Type="http://schemas.openxmlformats.org/officeDocument/2006/relationships/hyperlink" Target="https://www.whalesbook.com/corporate-news/English/healthcarebiotech/Max-Healthcare-FY26-Revenue-at-indian-rupee10538-crore-eyes-10000-beds-by-FY30/6a73792c10bce1fd203ff7d1" TargetMode="External"/><Relationship Id="rId82" Type="http://schemas.openxmlformats.org/officeDocument/2006/relationships/hyperlink" Target="https://www.indianpharmapost.com/hospitals/lite/medanta-delivers-record-fy26-performance-as-revenue-surges-profit-jumps-with-expansion-20233" TargetMode="External"/><Relationship Id="rId83" Type="http://schemas.openxmlformats.org/officeDocument/2006/relationships/hyperlink" Target="https://www.investywise.com/fortis-healthcare-results-of-open-offers/" TargetMode="External"/><Relationship Id="rId84" Type="http://schemas.openxmlformats.org/officeDocument/2006/relationships/hyperlink" Target="https://www.narayanahealth.org/news-media/narayana-health-expands-its-global-footprint-with-acquisition-of-UK-based-practice-plus-group-Hospitals" TargetMode="External"/><Relationship Id="rId85" Type="http://schemas.openxmlformats.org/officeDocument/2006/relationships/hyperlink" Target="https://www.ey.com/en_in/newsroom/2026/07/india-healthcare-sector-records-strong-fy-26-growth-expansion-and-capacity-build-out-drive-momentum" TargetMode="External"/><Relationship Id="rId86" Type="http://schemas.openxmlformats.org/officeDocument/2006/relationships/hyperlink" Target="https://www.business-standard.com/health/india-s-hospital-chains-grow-bigger-even-as-expansion-squeezes-margins-ey-126072300813_1.html" TargetMode="External"/><Relationship Id="rId87" Type="http://schemas.openxmlformats.org/officeDocument/2006/relationships/hyperlink" Target="https://www.nasdaq.com/press-release/kkr-acquire-leading-multi-specialty-healthcare-provider-medicover-india-2026-08-06" TargetMode="External"/><Relationship Id="rId88" Type="http://schemas.openxmlformats.org/officeDocument/2006/relationships/hyperlink" Target="https://nhsrcindia.org/sites/default/files/2026-05/NHA%202022-23%20Report.pdf" TargetMode="External"/><Relationship Id="rId89" Type="http://schemas.openxmlformats.org/officeDocument/2006/relationships/hyperlink" Target="https://theprint.in/health/as-govt-cut-health-spends-post-covid-indians-paid-more-out-of-pocket-in-2022-23-reversing-10-yr-trend/2943692/" TargetMode="External"/><Relationship Id="rId90" Type="http://schemas.openxmlformats.org/officeDocument/2006/relationships/hyperlink" Target="https://www.pib.gov.in/PressReleasePage.aspx?PRID=2265816&amp;lang=1&amp;reg=3" TargetMode="External"/><Relationship Id="rId91" Type="http://schemas.openxmlformats.org/officeDocument/2006/relationships/hyperlink" Target="https://www.socialnews.xyz/2026/05/27/govt-health-expenditure-rises-to-1-43-pc-of-gdp-in-fy23-ministry" TargetMode="External"/><Relationship Id="rId92" Type="http://schemas.openxmlformats.org/officeDocument/2006/relationships/hyperlink" Target="https://vajiramandravi.com/upsc-exam/15th-finance-commission/" TargetMode="External"/><Relationship Id="rId93" Type="http://schemas.openxmlformats.org/officeDocument/2006/relationships/hyperlink" Target="https://www.downtoearth.org.in/health/indias-per-capita-health-expense-jumped-82-in-last-decade-national-health-accounts-estimates" TargetMode="External"/><Relationship Id="rId94" Type="http://schemas.openxmlformats.org/officeDocument/2006/relationships/hyperlink" Target="https://www.deccanherald.com/amp/story/india%2Fdoctor-population-ratio-1811-in-india-union-health-minister-j-p-nadda-3817146" TargetMode="External"/><Relationship Id="rId95" Type="http://schemas.openxmlformats.org/officeDocument/2006/relationships/hyperlink" Target="https://www.digitalhealthnews.com/india-has-only-one-doctor-per-811-people-government-data-shows" TargetMode="External"/><Relationship Id="rId96" Type="http://schemas.openxmlformats.org/officeDocument/2006/relationships/hyperlink" Target="https://ddnews.gov.in/en/13-86-lakh-registered-allopathic-doctors-7-51-lakh-practitioners-in-ayush-system-centre/" TargetMode="External"/><Relationship Id="rId97" Type="http://schemas.openxmlformats.org/officeDocument/2006/relationships/hyperlink" Target="https://thesouthfirst.com/health/south-india-leads-indias-nursing-workforce-as-national-ratio-remains-below-who-benchmark/" TargetMode="External"/><Relationship Id="rId98" Type="http://schemas.openxmlformats.org/officeDocument/2006/relationships/hyperlink" Target="https://www.chennaionline.com/life/nrts-implementation-uneven-across-india/" TargetMode="External"/><Relationship Id="rId99" Type="http://schemas.openxmlformats.org/officeDocument/2006/relationships/hyperlink" Target="https://www.observatoriorh.org/sites/default/files/webfiles/fulltext/2019/global_strategy_workforce2030_who.pdf" TargetMode="External"/><Relationship Id="rId100" Type="http://schemas.openxmlformats.org/officeDocument/2006/relationships/hyperlink" Target="https://www.oecd.org/en/publications/health-at-a-glance-2025_8f9e3f98-en/full-report/doctors-overall-number-and-distribution_beb60151.html" TargetMode="External"/><Relationship Id="rId101" Type="http://schemas.openxmlformats.org/officeDocument/2006/relationships/hyperlink" Target="https://www.oecd.org/en/publications/health-at-a-glance-2025_8f9e3f98-en/full-report/nurses_00c2bcb9.html" TargetMode="External"/><Relationship Id="rId102" Type="http://schemas.openxmlformats.org/officeDocument/2006/relationships/hyperlink" Target="https://www.oecd.org/en/publications/2025/11/health-at-a-glance-2025_a894f72e/full-report/hospital-beds-and-occupancy_152d839e.html" TargetMode="External"/><Relationship Id="rId103" Type="http://schemas.openxmlformats.org/officeDocument/2006/relationships/hyperlink" Target="https://www.newkerala.com/news/a/budget-2026-govt-upgrade-allied-health-institutions-train-103.htm" TargetMode="External"/><Relationship Id="rId104" Type="http://schemas.openxmlformats.org/officeDocument/2006/relationships/hyperlink" Target="https://en.wikipedia.org/wiki/2026_NEET_controversy" TargetMode="External"/><Relationship Id="rId105" Type="http://schemas.openxmlformats.org/officeDocument/2006/relationships/hyperlink" Target="https://www.pw.live/neet/exams/neet-ug-result-date-2026" TargetMode="External"/><Relationship Id="rId106" Type="http://schemas.openxmlformats.org/officeDocument/2006/relationships/hyperlink" Target="https://cdnbbsr.s3waas.gov.in/s37bc1ec1d9c3426357e69acd5bf320061/uploads/2026/07/20260716477215762.pdf" TargetMode="External"/><Relationship Id="rId107" Type="http://schemas.openxmlformats.org/officeDocument/2006/relationships/hyperlink" Target="https://medicaldialogues.in/news/education/140664-mbbs-seats-across-839-medical-colleges-for-2026-27-127028-renewed-13636-increased-nmc-updates-seat-matrix-179737" TargetMode="External"/><Relationship Id="rId108" Type="http://schemas.openxmlformats.org/officeDocument/2006/relationships/hyperlink" Target="https://education.sakshi.com/en/neet/education-news/mbbs-seats-cross-129-lakh-india-check-seat-matrix-186935" TargetMode="External"/><Relationship Id="rId109" Type="http://schemas.openxmlformats.org/officeDocument/2006/relationships/hyperlink" Target="https://news.careers360.com/nmc-approves-neet-ug-pg-10650-new-mbbs-seats-41-new-medical-colleges-for-2024-25-counselling-admission/amp" TargetMode="External"/><Relationship Id="rId110" Type="http://schemas.openxmlformats.org/officeDocument/2006/relationships/hyperlink" Target="https://medicaldialogues.in/news/education/nmc-approved-7619-pg-medical-seats-during-2025-26-check-details-57503-160979" TargetMode="External"/><Relationship Id="rId111" Type="http://schemas.openxmlformats.org/officeDocument/2006/relationships/hyperlink" Target="https://medicaldialogues.in/news/education/no-immediate-plans-for-next-exam-till-nmc-perfects-the-model-157685" TargetMode="External"/><Relationship Id="rId112" Type="http://schemas.openxmlformats.org/officeDocument/2006/relationships/hyperlink" Target="https://www.adani.com/newsroom/media-releases/adani-to-partner-mayo-clinic-to-establish-affordable-world-class-healthcare-facilities" TargetMode="External"/><Relationship Id="rId113" Type="http://schemas.openxmlformats.org/officeDocument/2006/relationships/hyperlink" Target="https://www.ibef.org/news/ayushman-bharat-digital-mission-crosses-93-95-crore-abha-ids-strengthens-india-s-digital-healthcare-ecosystem" TargetMode="External"/><Relationship Id="rId114" Type="http://schemas.openxmlformats.org/officeDocument/2006/relationships/hyperlink" Target="https://www.gktoday.in/ayushman-bharat-digital-mission-crosses-93-95-crore-health-accounts/" TargetMode="External"/><Relationship Id="rId115" Type="http://schemas.openxmlformats.org/officeDocument/2006/relationships/hyperlink" Target="https://www.theweek.in/news/health/2026/02/01/union-budget-2026-from-biopharma-shakti-to-medical-tourism-hubs-key-announcements-for-health-sector.html" TargetMode="External"/><Relationship Id="rId116" Type="http://schemas.openxmlformats.org/officeDocument/2006/relationships/hyperlink" Target="https://www.bwhealthcareworld.com/article/maharashtra-signs-1-2-billion-deal-to-develop-navi-mumbai-medicity-610344" TargetMode="External"/><Relationship Id="rId117" Type="http://schemas.openxmlformats.org/officeDocument/2006/relationships/hyperlink" Target="https://ddnews.gov.in/en/over-6-4-lakh-foreign-tourists-visited-india-for-medical-treatment-in-2024/" TargetMode="External"/><Relationship Id="rId118" Type="http://schemas.openxmlformats.org/officeDocument/2006/relationships/hyperlink" Target="https://www.insightsonindia.com/2025/08/08/medical-tourism-in-india/" TargetMode="External"/><Relationship Id="rId119" Type="http://schemas.openxmlformats.org/officeDocument/2006/relationships/hyperlink" Target="https://www.businesstoday.in/india/story/indias-medical-tourism-takes-a-hit-as-patient-arrivals-from-bangladesh-plunge-amid-visa-restrictions-466418-2025-03-02" TargetMode="External"/><Relationship Id="rId120" Type="http://schemas.openxmlformats.org/officeDocument/2006/relationships/hyperlink" Target="https://www.newswise.com/articles/aig-hospitals-in-india-joins-mayo-clinic-care-network" TargetMode="External"/><Relationship Id="rId121" Type="http://schemas.openxmlformats.org/officeDocument/2006/relationships/hyperlink" Target="https://newsnetwork.mayoclinic.org/discussion/aig-hospitals-in-india-joins-mayo-clinic-care-network/" TargetMode="External"/><Relationship Id="rId122" Type="http://schemas.openxmlformats.org/officeDocument/2006/relationships/hyperlink" Target="https://www.postbulletin.com/business/billionaire-to-partner-with-mayo-clinic-on-india-hospitals" TargetMode="External"/><Relationship Id="rId123" Type="http://schemas.openxmlformats.org/officeDocument/2006/relationships/hyperlink" Target="https://www.newswise.com/articles/mayo-clinic-opens-patient-information-office-in-india" TargetMode="External"/><Relationship Id="rId124" Type="http://schemas.openxmlformats.org/officeDocument/2006/relationships/hyperlink" Target="https://medicalbuyer.co.in/lilavati-hospital-mayo-clinic-to-establish-300-bed-cancer-institute-in-mumbai/" TargetMode="External"/><Relationship Id="rId125" Type="http://schemas.openxmlformats.org/officeDocument/2006/relationships/hyperlink" Target="https://medicaldialogues.in/news/health/hospital-diagnostics/mayo-clinic-lilavati-hospital-complete-indias-first-nursing-excellence-training-program-145698" TargetMode="External"/><Relationship Id="rId126" Type="http://schemas.openxmlformats.org/officeDocument/2006/relationships/hyperlink" Target="https://www.indiatvnews.com/maharashtra/maharashtra-s-mega-medicity-takes-off-cleveland-clinic-joins-rs-10000-crore-healthcare-hub-2026-06-11-1044486" TargetMode="External"/><Relationship Id="rId127" Type="http://schemas.openxmlformats.org/officeDocument/2006/relationships/hyperlink" Target="https://my.clevelandclinic.org/patients/international/locations/india" TargetMode="External"/><Relationship Id="rId128" Type="http://schemas.openxmlformats.org/officeDocument/2006/relationships/hyperlink" Target="https://www.hopkinsmedicine.org/international/health-care-consulting/asia-pacific/hcl-healthcare" TargetMode="External"/><Relationship Id="rId129" Type="http://schemas.openxmlformats.org/officeDocument/2006/relationships/hyperlink" Target="https://www.domain-b.com/companies-organisations/firms-companies/hcl-enters-healthcare-with-hcl-avitas" TargetMode="External"/><Relationship Id="rId130" Type="http://schemas.openxmlformats.org/officeDocument/2006/relationships/hyperlink" Target="https://indiainstitute.jhu.edu/news/news-2025/news-from-gkii/collaboration-agreement-with-iit-bombay-and-roundtable-discussion-shine-a-spotlight-on-digital-health" TargetMode="External"/><Relationship Id="rId131" Type="http://schemas.openxmlformats.org/officeDocument/2006/relationships/hyperlink" Target="https://www.prnewswire.com/news-releases/memorial-sloan-kettering-cancer-center-launches-mskcc-india-to-expand-access-to-world-renowned-oncologists-cancer-care-research-and-education-301345795.html" TargetMode="External"/><Relationship Id="rId132" Type="http://schemas.openxmlformats.org/officeDocument/2006/relationships/hyperlink" Target="https://mskcc.icliniq.com/mskcc-india-services/mskcc-patient-faqs" TargetMode="External"/><Relationship Id="rId133" Type="http://schemas.openxmlformats.org/officeDocument/2006/relationships/hyperlink" Target="https://india-herald.com/md-anderson-cancer-center-signs-sister-institution-accord-with-tata-memoria-p305-19.htm" TargetMode="External"/><Relationship Id="rId134" Type="http://schemas.openxmlformats.org/officeDocument/2006/relationships/hyperlink" Target="https://www.mdanderson.org/education-training/outreach-programs/project-echo/programs/palliative-care-africa.html" TargetMode="External"/><Relationship Id="rId135" Type="http://schemas.openxmlformats.org/officeDocument/2006/relationships/hyperlink" Target="https://www.uclahealth.org/departments/obgyn/about-us/global-reproductive-health-alliance-collaborative-engagement/ucla-india-global-health-exchange-obgyn" TargetMode="External"/><Relationship Id="rId136" Type="http://schemas.openxmlformats.org/officeDocument/2006/relationships/hyperlink" Target="https://finance.yahoo.com/news/ramaiah-memorial-hospital-signs-long-143000744.html" TargetMode="External"/><Relationship Id="rId137" Type="http://schemas.openxmlformats.org/officeDocument/2006/relationships/hyperlink" Target="https://www.mountsinai.org/about/newsroom/2024/ramaiah-memorial-hospital-signs-long-term-collaboration-agreement-with-the-mount-sinai-health-system-in-new-york-for-specialty-care-development-and-quality-and-technological-advancements" TargetMode="External"/><Relationship Id="rId138" Type="http://schemas.openxmlformats.org/officeDocument/2006/relationships/hyperlink" Target="https://www.deccanherald.com/india/karnataka/bengaluru/ramaiah-memorial-inks-10-year-partnership-with-mount-sinai-health-system-of-new-york-3103995" TargetMode="External"/><Relationship Id="rId139" Type="http://schemas.openxmlformats.org/officeDocument/2006/relationships/hyperlink" Target="https://msrmh.com/collaborations/" TargetMode="External"/><Relationship Id="rId140" Type="http://schemas.openxmlformats.org/officeDocument/2006/relationships/hyperlink" Target="https://www.nyp.org/news/nyp-disaster-experts-go-to-india-and-sri-lanka-improve-emergency" TargetMode="External"/><Relationship Id="rId141" Type="http://schemas.openxmlformats.org/officeDocument/2006/relationships/hyperlink" Target="https://www.eurekalert.org/news-releases/679748" TargetMode="External"/><Relationship Id="rId142" Type="http://schemas.openxmlformats.org/officeDocument/2006/relationships/hyperlink" Target="https://www.upmc.com/about/international-services/locations" TargetMode="External"/><Relationship Id="rId143" Type="http://schemas.openxmlformats.org/officeDocument/2006/relationships/hyperlink" Target="https://en.wikipedia.org/wiki/Partners_Harvard_Medical_International" TargetMode="External"/><Relationship Id="rId144" Type="http://schemas.openxmlformats.org/officeDocument/2006/relationships/hyperlink" Target="https://www.wockhardt.com/wp-content/uploads/2022/08/annual-report-2010-11-53a4d.pdf" TargetMode="External"/><Relationship Id="rId145" Type="http://schemas.openxmlformats.org/officeDocument/2006/relationships/hyperlink" Target="https://www.houstonmethodist.org/for-health-professionals/global-health-care-services/affiliations/" TargetMode="External"/><Relationship Id="rId146" Type="http://schemas.openxmlformats.org/officeDocument/2006/relationships/hyperlink" Target="https://www.northwesternglobalservices.com/case-studies.html" TargetMode="External"/><Relationship Id="rId147" Type="http://schemas.openxmlformats.org/officeDocument/2006/relationships/hyperlink" Target="https://www.massgeneralbrigham.org/en/about/members-affiliates/global-partnerships" TargetMode="External"/><Relationship Id="rId148" Type="http://schemas.openxmlformats.org/officeDocument/2006/relationships/hyperlink" Target="https://www.tradingview.com/news/modular_finance:0f6ef34bba47c:0-medicover-divests-its-india-hospital-business-enabling-accelerated-strategy-execution-in-europe/" TargetMode="External"/><Relationship Id="rId149" Type="http://schemas.openxmlformats.org/officeDocument/2006/relationships/hyperlink" Target="https://www.kcl.ac.uk/news/new-partnership-to-improve-healthcare-outcomes-in-india-and-the-uk" TargetMode="External"/><Relationship Id="rId150" Type="http://schemas.openxmlformats.org/officeDocument/2006/relationships/hyperlink" Target="https://www.hindujahospital.com/press-release/kings-college-london-and-guys-and-st-thomas-nhs-foundation-trust-p-d-hinduja-hospital/" TargetMode="External"/><Relationship Id="rId151" Type="http://schemas.openxmlformats.org/officeDocument/2006/relationships/hyperlink" Target="https://www.outlookmoney.com/personal-finance/west-bengal-set-for-ayushman-bharat-rollout-state-to-sign-mou-with-nha-on-june-8" TargetMode="External"/><Relationship Id="rId152" Type="http://schemas.openxmlformats.org/officeDocument/2006/relationships/hyperlink" Target="https://ddnews.gov.in/en/west-bengal-joins-ayushman-bharat-pm-jay-completing-nationwide-rollout-of-worlds-largest-health-assurance-scheme/" TargetMode="External"/><Relationship Id="rId153" Type="http://schemas.openxmlformats.org/officeDocument/2006/relationships/hyperlink" Target="https://www.deccanherald.com/india/maharashtra/maharashtra-signs-mou-with-cleveland-clinic-led-consortium-for-12-billion-navi-mumbai-medicity-4034760" TargetMode="External"/><Relationship Id="rId154" Type="http://schemas.openxmlformats.org/officeDocument/2006/relationships/hyperlink" Target="https://www.businesstoday.in/markets/stocks/story/manipal-health-enterprises-makes-solid-stock-market-debut-shares-list-at-11-premium-547257-2026-08-05" TargetMode="External"/><Relationship Id="rId155" Type="http://schemas.openxmlformats.org/officeDocument/2006/relationships/hyperlink" Target="https://www.business-standard.com/amp/companies/news/kkr-pumps-13-188-cr-into-india-expansion-acquires-medicover-hospitals-126080601947_1.html" TargetMode="External"/><Relationship Id="rId156" Type="http://schemas.openxmlformats.org/officeDocument/2006/relationships/hyperlink" Target="https://www.indiagazette.com/news/279327335/ayushman-bharat-completes-8-years-with-health-cover-of-rs-5-lakh-to-over-12-crore-families-nha-ce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