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Australia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stral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Diliff, CC BY-SA 3.0,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Australia country profile (2026-10-20). Superscript numbers refer to the numbered sources in Australia_Profile_DRAFT_SOURCES.docx.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27.9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31 March 2026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71,930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10.40%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32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15.8%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2023</w:t>
            </w:r>
            <w:hyperlink r:id="rId14">
              <w:r>
                <w:rPr>
                  <w:color w:val="B31822"/>
                  <w:vertAlign w:val="superscript"/>
                </w:rPr>
                <w:t xml:space="preserve">34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4.09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2022</w:t>
            </w:r>
            <w:hyperlink r:id="rId15">
              <w:r>
                <w:rPr>
                  <w:color w:val="B31822"/>
                  <w:vertAlign w:val="superscript"/>
                </w:rPr>
                <w:t xml:space="preserve">37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2.5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Public hospital beds per 1,000 people, 2023-24</w:t>
            </w:r>
            <w:hyperlink r:id="rId16">
              <w:r>
                <w:rPr>
                  <w:color w:val="B31822"/>
                  <w:vertAlign w:val="superscript"/>
                </w:rPr>
                <w:t xml:space="preserve">24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9.4%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Deaths from dementia, the leading cause, 2024</w:t>
            </w:r>
            <w:hyperlink r:id="rId17">
              <w:r>
                <w:rPr>
                  <w:color w:val="B31822"/>
                  <w:vertAlign w:val="superscript"/>
                </w:rPr>
                <w:t xml:space="preserve">20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45.8%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Private hospital cover, share of population, 30 June 2026</w:t>
            </w:r>
            <w:hyperlink r:id="rId18">
              <w:r>
                <w:rPr>
                  <w:color w:val="B31822"/>
                  <w:vertAlign w:val="superscript"/>
                </w:rPr>
                <w:t xml:space="preserve">28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Australia, with about 27.9 million people at 31 March 2026, is a constitutional monarchy whose capital is Canberra.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3</w:t>
        </w:r>
      </w:hyperlink>
      <w:r>
        <w:rPr>
          <w:sz w:val="21"/>
        </w:rPr>
        <w:t xml:space="preserve"> Anthony Albanese continues as Prime Minister after Labor won 94 House seats in 2025, and Mark Butler is Minister for Health and Ageing.</w:t>
      </w:r>
      <w:hyperlink r:id="rId20">
        <w:r>
          <w:rPr>
            <w:color w:val="B31822"/>
            <w:vertAlign w:val="superscript"/>
          </w:rPr>
          <w:t xml:space="preserve">8,</w:t>
        </w:r>
      </w:hyperlink>
      <w:hyperlink r:id="rId21">
        <w:r>
          <w:rPr>
            <w:color w:val="B31822"/>
            <w:vertAlign w:val="superscript"/>
          </w:rPr>
          <w:t xml:space="preserve">15,</w:t>
        </w:r>
      </w:hyperlink>
      <w:hyperlink r:id="rId22">
        <w:r>
          <w:rPr>
            <w:color w:val="B31822"/>
            <w:vertAlign w:val="superscript"/>
          </w:rPr>
          <w:t xml:space="preserve">16</w:t>
        </w:r>
      </w:hyperlink>
      <w:r>
        <w:rPr>
          <w:sz w:val="21"/>
        </w:rPr>
        <w:t xml:space="preserve"> The Commonwealth funds Medicare while the states run public hospitals.</w:t>
      </w:r>
      <w:hyperlink r:id="rId23">
        <w:r>
          <w:rPr>
            <w:color w:val="B31822"/>
            <w:vertAlign w:val="superscript"/>
          </w:rPr>
          <w:t xml:space="preserve">18</w:t>
        </w:r>
      </w:hyperlink>
      <w:r>
        <w:rPr>
          <w:sz w:val="21"/>
        </w:rPr>
        <w:t xml:space="preserve"> Life expectancy at birth was 83.1 years in 2024, 87.7 percent of people lived in urban areas in 2025, and people aged 65 and over made up 18.1 percent.</w:t>
      </w:r>
      <w:hyperlink r:id="rId24">
        <w:r>
          <w:rPr>
            <w:color w:val="B31822"/>
            <w:vertAlign w:val="superscript"/>
          </w:rPr>
          <w:t xml:space="preserve">10,</w:t>
        </w:r>
      </w:hyperlink>
      <w:hyperlink r:id="rId25">
        <w:r>
          <w:rPr>
            <w:color w:val="B31822"/>
            <w:vertAlign w:val="superscript"/>
          </w:rPr>
          <w:t xml:space="preserve">12,</w:t>
        </w:r>
      </w:hyperlink>
      <w:hyperlink r:id="rId26">
        <w:r>
          <w:rPr>
            <w:color w:val="B31822"/>
            <w:vertAlign w:val="superscript"/>
          </w:rPr>
          <w:t xml:space="preserve">13</w:t>
        </w:r>
      </w:hyperlink>
      <w:r>
        <w:rPr>
          <w:sz w:val="21"/>
        </w:rPr>
        <w:t xml:space="preserve"> Dementia became the leading cause of death in 2024.</w:t>
      </w:r>
      <w:hyperlink r:id="rId17">
        <w:r>
          <w:rPr>
            <w:color w:val="B31822"/>
            <w:vertAlign w:val="superscript"/>
          </w:rPr>
          <w:t xml:space="preserve">20</w:t>
        </w:r>
      </w:hyperlink>
      <w:r>
        <w:rPr>
          <w:sz w:val="21"/>
        </w:rPr>
        <w:t xml:space="preserve"> The key risk is cost: health takes 16.4 percent of Commonwealth expenses in 2026-27, and the Budget forecasts slower growth.</w:t>
      </w:r>
      <w:hyperlink r:id="rId27">
        <w:r>
          <w:rPr>
            <w:color w:val="B31822"/>
            <w:vertAlign w:val="superscript"/>
          </w:rPr>
          <w:t xml:space="preserve">17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Medicare covers the full cost of public hospital services for citizens and permanent residents.</w:t>
      </w:r>
      <w:hyperlink r:id="rId28">
        <w:r>
          <w:rPr>
            <w:color w:val="B31822"/>
            <w:vertAlign w:val="superscript"/>
          </w:rPr>
          <w:t xml:space="preserve">23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 spending was 10.40 percent of GDP in 2023, below Canada, the United Kingdom and the United States.</w:t>
      </w:r>
      <w:hyperlink r:id="rId13">
        <w:r>
          <w:rPr>
            <w:color w:val="B31822"/>
            <w:vertAlign w:val="superscript"/>
          </w:rPr>
          <w:t xml:space="preserve">32,</w:t>
        </w:r>
      </w:hyperlink>
      <w:hyperlink r:id="rId29">
        <w:r>
          <w:rPr>
            <w:color w:val="B31822"/>
            <w:vertAlign w:val="superscript"/>
          </w:rPr>
          <w:t xml:space="preserve">36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Dementia became the leading cause of death in 2024, at 9.4 percent of deaths, overtaking ischemic heart diseases.</w:t>
      </w:r>
      <w:hyperlink r:id="rId17">
        <w:r>
          <w:rPr>
            <w:color w:val="B31822"/>
            <w:vertAlign w:val="superscript"/>
          </w:rPr>
          <w:t xml:space="preserve">20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Governments funded 70 percent of the A$290.7 billion in total health spending in 2024-25.</w:t>
      </w:r>
      <w:hyperlink r:id="rId30">
        <w:r>
          <w:rPr>
            <w:color w:val="B31822"/>
            <w:vertAlign w:val="superscript"/>
          </w:rPr>
          <w:t xml:space="preserve">31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The 2026-27 Budget provides A$220.3 billion over five years for state public hospital services.</w:t>
      </w:r>
      <w:hyperlink r:id="rId31">
        <w:r>
          <w:rPr>
            <w:color w:val="B31822"/>
            <w:vertAlign w:val="superscript"/>
          </w:rPr>
          <w:t xml:space="preserve">25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Bulk billing incentives reached all Australians on 1 November 2025, with 9 in 10 GP visits projected by 2030.</w:t>
      </w:r>
      <w:hyperlink r:id="rId32">
        <w:r>
          <w:rPr>
            <w:color w:val="B31822"/>
            <w:vertAlign w:val="superscript"/>
          </w:rPr>
          <w:t xml:space="preserve">26,</w:t>
        </w:r>
      </w:hyperlink>
      <w:hyperlink r:id="rId33">
        <w:r>
          <w:rPr>
            <w:color w:val="B31822"/>
            <w:vertAlign w:val="superscript"/>
          </w:rPr>
          <w:t xml:space="preserve">27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Public hospitals had 67,280 beds in 2023-24, and governments funded 94 percent of their A$103.1 billion recurrent spending.</w:t>
      </w:r>
      <w:hyperlink r:id="rId16">
        <w:r>
          <w:rPr>
            <w:color w:val="B31822"/>
            <w:vertAlign w:val="superscript"/>
          </w:rPr>
          <w:t xml:space="preserve">24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Australia: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13">
        <w:r>
          <w:rPr>
            <w:color w:val="B31822"/>
            <w:vertAlign w:val="superscript"/>
          </w:rPr>
          <w:t xml:space="preserve">32,</w:t>
        </w:r>
      </w:hyperlink>
      <w:hyperlink r:id="rId14">
        <w:r>
          <w:rPr>
            <w:color w:val="B31822"/>
            <w:vertAlign w:val="superscript"/>
          </w:rPr>
          <w:t xml:space="preserve">34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Australia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71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(2022 and 2023). Sources: </w:t>
      </w:r>
      <w:hyperlink r:id="rId36">
        <w:r>
          <w:rPr>
            <w:color w:val="B31822"/>
            <w:vertAlign w:val="superscript"/>
          </w:rPr>
          <w:t xml:space="preserve">73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Ramsay Health Care, listed on the Australian Securities Exchange since 1997, runs hospitals in Australia, Europe and the United Kingdom.</w:t>
      </w:r>
      <w:hyperlink r:id="rId37">
        <w:r>
          <w:rPr>
            <w:color w:val="B31822"/>
            <w:vertAlign w:val="superscript"/>
          </w:rPr>
          <w:t xml:space="preserve">30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Healthscope, the second-largest operator, entered receivership in May 2025 after Brookfield withdrew support.</w:t>
      </w:r>
      <w:hyperlink r:id="rId38">
        <w:r>
          <w:rPr>
            <w:color w:val="B31822"/>
            <w:vertAlign w:val="superscript"/>
          </w:rPr>
          <w:t xml:space="preserve">29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Peter MacCallum Cancer Centre signed with Dana-Farber in 2022 and The Christie in 2024.</w:t>
      </w:r>
      <w:hyperlink r:id="rId39">
        <w:r>
          <w:rPr>
            <w:color w:val="B31822"/>
            <w:vertAlign w:val="superscript"/>
          </w:rPr>
          <w:t xml:space="preserve">48,</w:t>
        </w:r>
      </w:hyperlink>
      <w:hyperlink r:id="rId40">
        <w:r>
          <w:rPr>
            <w:color w:val="B31822"/>
            <w:vertAlign w:val="superscript"/>
          </w:rPr>
          <w:t xml:space="preserve">49</w:t>
        </w:r>
      </w:hyperlink>
      <w:r>
        <w:rPr>
          <w:sz w:val="21"/>
        </w:rPr>
        <w:t xml:space="preserve"> The tracker lists 18 active foreign ties.</w:t>
      </w:r>
    </w:p>
    <w:p>
      <w:pPr>
        <w:keepNext/>
        <w:widowControl/>
        <w:spacing w:before="160" w:after="40"/>
      </w:pPr>
      <w:r>
        <w:rPr>
          <w:b/>
          <w:sz w:val="21"/>
        </w:rPr>
        <w:t>Australia: hospital beds per 1,000 people, 2008 to 2016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as reported to the World Bank; 2016 is the latest year in the series. Sources: </w:t>
      </w:r>
      <w:hyperlink r:id="rId42">
        <w:r>
          <w:rPr>
            <w:color w:val="B31822"/>
            <w:vertAlign w:val="superscript"/>
          </w:rPr>
          <w:t xml:space="preserve">39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Australia</w:t>
      </w:r>
    </w:p>
    <w:p>
      <w:pPr>
        <w:widowControl/>
      </w:pPr>
      <w:r>
        <w:rPr>
          <w:sz w:val="20"/>
        </w:rPr>
        <w:t>18 foreign institutions with confirmed active partnerships (18 in all): 13 research collaboration, 5 training and education.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2793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stralia_partnerships_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9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Australia. Source: CSI partnerships tracker, verified 2026-10-20.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Boston Children's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Cleveland Clinic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Emory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Memorial Sloan Kettering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Ochsner Health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Weill Cornell Medicine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Apollo Hospitals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Great Ormond Street Hospital and UCL Great Ormond Street Institute of Child Health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Ho Chi Minh City Eye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Hokkaido University (Faculty of Health Sciences)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Manipal Academy of Higher Education (MAHE)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Max Healthcare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Sichuan Provincial People's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Chinese Medicine Hospital of Hong Kong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Christie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Hospital for Sick Children (SickKids)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Galway (BioInnovate Ireland)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West China Hospital, Sichuan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Australia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The Budget forecasts growth slowing to 1.75 percent in 2026-27 because the Middle East conflict raised global oil prices.</w:t>
      </w:r>
      <w:hyperlink r:id="rId27">
        <w:r>
          <w:rPr>
            <w:color w:val="B31822"/>
            <w:vertAlign w:val="superscript"/>
          </w:rPr>
          <w:t xml:space="preserve">17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Four in five specialists registered in the pathway's first six months work in major cities, Medical Republic reported.</w:t>
      </w:r>
      <w:hyperlink r:id="rId44">
        <w:r>
          <w:rPr>
            <w:color w:val="B31822"/>
            <w:vertAlign w:val="superscript"/>
          </w:rPr>
          <w:t xml:space="preserve">41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Dementia deaths rose 39 percent over a decade, and 49.9 percent of people had a chronic condition in 2022.</w:t>
      </w:r>
      <w:hyperlink r:id="rId17">
        <w:r>
          <w:rPr>
            <w:color w:val="B31822"/>
            <w:vertAlign w:val="superscript"/>
          </w:rPr>
          <w:t xml:space="preserve">20,</w:t>
        </w:r>
      </w:hyperlink>
      <w:hyperlink r:id="rId45">
        <w:r>
          <w:rPr>
            <w:color w:val="B31822"/>
            <w:vertAlign w:val="superscript"/>
          </w:rPr>
          <w:t xml:space="preserve">22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2026-01-30   </w:t>
      </w:r>
      <w:r>
        <w:rPr>
          <w:sz w:val="20"/>
        </w:rPr>
        <w:t>National Cabinet agreed a new public hospital funding deal with A$25 billion in additional Commonwealth public hospital funding.</w:t>
      </w:r>
      <w:hyperlink r:id="rId20">
        <w:r>
          <w:rPr>
            <w:color w:val="B31822"/>
            <w:vertAlign w:val="superscript"/>
          </w:rPr>
          <w:t xml:space="preserve">8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2026-05-12   </w:t>
      </w:r>
      <w:r>
        <w:rPr>
          <w:sz w:val="20"/>
        </w:rPr>
        <w:t>The Budget removes the age-based uplift of the private health insurance rebate from 1 April 2027.</w:t>
      </w:r>
      <w:hyperlink r:id="rId31">
        <w:r>
          <w:rPr>
            <w:color w:val="B31822"/>
            <w:vertAlign w:val="superscript"/>
          </w:rPr>
          <w:t xml:space="preserve">25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2026-09-14   </w:t>
      </w:r>
      <w:r>
        <w:rPr>
          <w:sz w:val="20"/>
        </w:rPr>
        <w:t>Healthscope's 25 hospitals will be divided among four operators, with Calvary Health Care taking 14.</w:t>
      </w:r>
      <w:hyperlink r:id="rId38">
        <w:r>
          <w:rPr>
            <w:color w:val="B31822"/>
            <w:vertAlign w:val="superscript"/>
          </w:rPr>
          <w:t xml:space="preserve">29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abs.gov.au/media-centre/media-releases/australias-population-grows-14-march-2026" TargetMode="External"/><Relationship Id="rId12" Type="http://schemas.openxmlformats.org/officeDocument/2006/relationships/hyperlink" Target="https://api.worldbank.org/v2/country/AUS/indicator/NY.GDP.PCAP.PP.CD?format=json&amp;per_page=80&amp;date=2008:2025" TargetMode="External"/><Relationship Id="rId13" Type="http://schemas.openxmlformats.org/officeDocument/2006/relationships/hyperlink" Target="https://api.worldbank.org/v2/country/AUS/indicator/SH.XPD.CHEX.GD.ZS?format=json&amp;per_page=80&amp;date=2008:2025" TargetMode="External"/><Relationship Id="rId14" Type="http://schemas.openxmlformats.org/officeDocument/2006/relationships/hyperlink" Target="https://api.worldbank.org/v2/country/AUS/indicator/SH.XPD.OOPC.CH.ZS?format=json&amp;per_page=80&amp;date=2008:2025" TargetMode="External"/><Relationship Id="rId15" Type="http://schemas.openxmlformats.org/officeDocument/2006/relationships/hyperlink" Target="https://api.worldbank.org/v2/country/AUS/indicator/SH.MED.PHYS.ZS?format=json&amp;per_page=80&amp;date=2008:2025" TargetMode="External"/><Relationship Id="rId16" Type="http://schemas.openxmlformats.org/officeDocument/2006/relationships/hyperlink" Target="https://www.pc.gov.au/ongoing/report-on-government-services/health/public-hospitals" TargetMode="External"/><Relationship Id="rId17" Type="http://schemas.openxmlformats.org/officeDocument/2006/relationships/hyperlink" Target="https://www.abs.gov.au/media-centre/media-releases/dementia-australias-leading-cause-death" TargetMode="External"/><Relationship Id="rId18" Type="http://schemas.openxmlformats.org/officeDocument/2006/relationships/hyperlink" Target="https://www.apra.gov.au/node/62468" TargetMode="External"/><Relationship Id="rId19" Type="http://schemas.openxmlformats.org/officeDocument/2006/relationships/hyperlink" Target="https://peo.gov.au/understand-our-parliament/parliament-house/australias-parliament-house" TargetMode="External"/><Relationship Id="rId20" Type="http://schemas.openxmlformats.org/officeDocument/2006/relationships/hyperlink" Target="https://www.pm.gov.au/media/record-funding-public-hospitals-and-disability-reform" TargetMode="External"/><Relationship Id="rId21" Type="http://schemas.openxmlformats.org/officeDocument/2006/relationships/hyperlink" Target="https://results.aec.gov.au/31496/Website/HouseDefault-31496.htm" TargetMode="External"/><Relationship Id="rId22" Type="http://schemas.openxmlformats.org/officeDocument/2006/relationships/hyperlink" Target="https://www.markbutler.net.au/news/media-releases/more-university-places-for-future-australian-doctors" TargetMode="External"/><Relationship Id="rId23" Type="http://schemas.openxmlformats.org/officeDocument/2006/relationships/hyperlink" Target="https://CommonwealthFund.org/sites/default/files/2020-12/International_Profiles_of_Health_Care_Systems_Dec2020.pdf" TargetMode="External"/><Relationship Id="rId24" Type="http://schemas.openxmlformats.org/officeDocument/2006/relationships/hyperlink" Target="https://api.worldbank.org/v2/country/AUS/indicator/SP.URB.TOTL.IN.ZS?format=json&amp;per_page=80&amp;date=2008:2025" TargetMode="External"/><Relationship Id="rId25" Type="http://schemas.openxmlformats.org/officeDocument/2006/relationships/hyperlink" Target="https://api.worldbank.org/v2/country/AUS/indicator/SP.POP.65UP.TO.ZS?format=json&amp;per_page=80&amp;date=2008:2025" TargetMode="External"/><Relationship Id="rId26" Type="http://schemas.openxmlformats.org/officeDocument/2006/relationships/hyperlink" Target="https://api.worldbank.org/v2/country/AUS/indicator/SP.DYN.LE00.IN?format=json&amp;per_page=80&amp;date=2008:2025" TargetMode="External"/><Relationship Id="rId27" Type="http://schemas.openxmlformats.org/officeDocument/2006/relationships/hyperlink" Target="https://budget.gov.au/content/bp1/download/bp1_2026-27.pdf" TargetMode="External"/><Relationship Id="rId28" Type="http://schemas.openxmlformats.org/officeDocument/2006/relationships/hyperlink" Target="https://www.commonwealthfund.org/sites/default/files/2026-05/2026_Country-Profiles_Australia.pdf" TargetMode="External"/><Relationship Id="rId29" Type="http://schemas.openxmlformats.org/officeDocument/2006/relationships/hyperlink" Target="https://api.worldbank.org/v2/country/AUS;NZL;CAN;GBR;USA;SGP;OED/indicator/SH.XPD.CHEX.GD.ZS?format=json&amp;per_page=500&amp;date=2023:2023" TargetMode="External"/><Relationship Id="rId30" Type="http://schemas.openxmlformats.org/officeDocument/2006/relationships/hyperlink" Target="https://www.aihw.gov.au/news-media/media-releases/2026/2026-october/hospital-spending-tops-123b-as-growth-outpaces-spending-on-primary-health-care-and-prevention" TargetMode="External"/><Relationship Id="rId31" Type="http://schemas.openxmlformats.org/officeDocument/2006/relationships/hyperlink" Target="https://budget.gov.au/content/bp2/download/bp2_2026-27.pdf" TargetMode="External"/><Relationship Id="rId32" Type="http://schemas.openxmlformats.org/officeDocument/2006/relationships/hyperlink" Target="https://www.markbutler.net.au/news/media-releases/delivering-the-bulk-billing-incentive-program" TargetMode="External"/><Relationship Id="rId33" Type="http://schemas.openxmlformats.org/officeDocument/2006/relationships/hyperlink" Target="https://nwmphn.org.au/for-primary-care/primary-care-reform/bulk-billing-practice-incentive-program/" TargetMode="External"/><Relationship Id="rId34" Type="http://schemas.openxmlformats.org/officeDocument/2006/relationships/image" Target="media/image2.png"/><Relationship Id="rId35" Type="http://schemas.openxmlformats.org/officeDocument/2006/relationships/image" Target="media/image3.png"/><Relationship Id="rId36" Type="http://schemas.openxmlformats.org/officeDocument/2006/relationships/hyperlink" Target="https://api.worldbank.org/v2/country/AUS;NZL;CAN;GBR;USA;SGP;OED;WLD/indicator/SH.MED.PHYS.ZS?format=json&amp;per_page=500&amp;date=2019:2025" TargetMode="External"/><Relationship Id="rId37" Type="http://schemas.openxmlformats.org/officeDocument/2006/relationships/hyperlink" Target="https://www.ramsayhealth.com" TargetMode="External"/><Relationship Id="rId38" Type="http://schemas.openxmlformats.org/officeDocument/2006/relationships/hyperlink" Target="https://www.abc.net.au/news/2026-09-14/healthscope-split-receivers-calvary-healthe-consortium/107151964" TargetMode="External"/><Relationship Id="rId39" Type="http://schemas.openxmlformats.org/officeDocument/2006/relationships/hyperlink" Target="https://physicianresources.dana-farber.org/news/new-international-partnership-to-accelerate-search-for-cancer-cures" TargetMode="External"/><Relationship Id="rId40" Type="http://schemas.openxmlformats.org/officeDocument/2006/relationships/hyperlink" Target="https://www.christie.nhs.uk/about-us/news-at-the-christie/latest-news-stories/partnership-agreement-celebrates-collaboration-between-leading-australian-and-uk-cancer-centres" TargetMode="External"/><Relationship Id="rId41" Type="http://schemas.openxmlformats.org/officeDocument/2006/relationships/image" Target="media/image4.png"/><Relationship Id="rId42" Type="http://schemas.openxmlformats.org/officeDocument/2006/relationships/hyperlink" Target="https://api.worldbank.org/v2/country/AUS/indicator/SH.MED.BEDS.ZS?format=json&amp;per_page=80&amp;date=2008:2025" TargetMode="External"/><Relationship Id="rId43" Type="http://schemas.openxmlformats.org/officeDocument/2006/relationships/image" Target="media/image5.png"/><Relationship Id="rId44" Type="http://schemas.openxmlformats.org/officeDocument/2006/relationships/hyperlink" Target="https://www.medicalrepublic.com.au/80-of-ahpras-fast-track-doctors-working-in-cities/119365" TargetMode="External"/><Relationship Id="rId45" Type="http://schemas.openxmlformats.org/officeDocument/2006/relationships/hyperlink" Target="https://www.abs.gov.au/statistics/health/health-conditions-and-risks/national-health-survey/latest-rel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