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CC0000"/>
          <w:sz w:val="40"/>
        </w:rPr>
        <w:t xml:space="preserve">Country Summary: </w:t>
      </w:r>
      <w:r>
        <w:rPr>
          <w:b w:val="0"/>
          <w:color w:val="CC0000"/>
          <w:sz w:val="40"/>
        </w:rPr>
        <w:t>Egypt</w:t>
      </w:r>
    </w:p>
    <w:p>
      <w:r>
        <w:drawing>
          <wp:inline xmlns:a="http://schemas.openxmlformats.org/drawingml/2006/main" xmlns:pic="http://schemas.openxmlformats.org/drawingml/2006/picture">
            <wp:extent cx="6188710" cy="3481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yp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color w:val="6E6E6E"/>
          <w:sz w:val="14"/>
        </w:rPr>
        <w:t>Photo: Ricardo Liberato, CC BY-SA 2.0, via Wikimedia Commons</w:t>
      </w:r>
    </w:p>
    <w:p>
      <w:pPr>
        <w:spacing w:before="360"/>
      </w:pPr>
      <w:r>
        <w:rPr>
          <w:i/>
          <w:color w:val="6E6E6E"/>
          <w:sz w:val="20"/>
        </w:rPr>
        <w:t>Executive summary of the Egypt country profile (2026-10-05). Superscript numbers refer to the numbered sources in Egypt_Profile_DRAFT_SOURCES.docx.</w:t>
      </w:r>
    </w:p>
    <w:p>
      <w:r>
        <w:br w:type="page"/>
      </w:r>
    </w:p>
    <w:p>
      <w:pPr>
        <w:pStyle w:val="Heading1"/>
        <w:spacing w:before="0" w:after="80"/>
      </w:pPr>
      <w:r>
        <w:t>At a Glance</w:t>
      </w:r>
    </w:p>
    <w:p>
      <w:pPr>
        <w:spacing w:before="0" w:after="80"/>
        <w:pBdr>
          <w:bottom w:val="single" w:sz="12" w:space="1" w:color="D91F2C"/>
        </w:pBdr>
      </w:pPr>
    </w:p>
    <w:tbl>
      <w:tblPr>
        <w:tblW w:type="auto" w:w="0"/>
        <w:jc w:val="center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18" w:color="FFFFFF"/>
          <w:insideV w:val="single" w:sz="18" w:color="FFFFFF"/>
        </w:tblBorders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108.6 m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Population, start of 2026 (national count)</w:t>
            </w:r>
            <w:hyperlink r:id="rId11">
              <w:r>
                <w:rPr>
                  <w:color w:val="B31822"/>
                  <w:vertAlign w:val="superscript"/>
                </w:rPr>
                <w:t xml:space="preserve">2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$20,200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GDP per capita (PPP), about, 2025</w:t>
            </w:r>
            <w:hyperlink r:id="rId12">
              <w:r>
                <w:rPr>
                  <w:color w:val="B31822"/>
                  <w:vertAlign w:val="superscript"/>
                </w:rPr>
                <w:t xml:space="preserve">5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4.9%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Health spending, share of GDP, 2023</w:t>
            </w:r>
            <w:hyperlink r:id="rId13">
              <w:r>
                <w:rPr>
                  <w:color w:val="B31822"/>
                  <w:vertAlign w:val="superscript"/>
                </w:rPr>
                <w:t xml:space="preserve">38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57.2%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Out-of-pocket share of spending, 2023</w:t>
            </w:r>
            <w:hyperlink r:id="rId14">
              <w:r>
                <w:rPr>
                  <w:color w:val="B31822"/>
                  <w:vertAlign w:val="superscript"/>
                </w:rPr>
                <w:t xml:space="preserve">30</w:t>
              </w:r>
            </w:hyperlink>
          </w:p>
        </w:tc>
      </w:tr>
      <w:t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0.67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Physicians per 1,000, 2020</w:t>
            </w:r>
            <w:hyperlink r:id="rId15">
              <w:r>
                <w:rPr>
                  <w:color w:val="B31822"/>
                  <w:vertAlign w:val="superscript"/>
                </w:rPr>
                <w:t xml:space="preserve">41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1.06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Hospital beds per 1,000, 2021</w:t>
            </w:r>
            <w:hyperlink r:id="rId16">
              <w:r>
                <w:rPr>
                  <w:color w:val="B31822"/>
                  <w:vertAlign w:val="superscript"/>
                </w:rPr>
                <w:t xml:space="preserve">43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80%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NCD share of all deaths, about, 2025</w:t>
            </w:r>
            <w:hyperlink r:id="rId17">
              <w:r>
                <w:rPr>
                  <w:color w:val="B31822"/>
                  <w:vertAlign w:val="superscript"/>
                </w:rPr>
                <w:t xml:space="preserve">22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$8 m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International patient revenue, Egypt Healthcare Authority, 2025</w:t>
            </w:r>
            <w:hyperlink r:id="rId18">
              <w:r>
                <w:rPr>
                  <w:color w:val="B31822"/>
                  <w:vertAlign w:val="superscript"/>
                </w:rPr>
                <w:t xml:space="preserve">13</w:t>
              </w:r>
            </w:hyperlink>
          </w:p>
        </w:tc>
      </w:tr>
    </w:tbl>
    <w:p>
      <w:pPr>
        <w:spacing w:before="160" w:after="60"/>
      </w:pPr>
      <w:r>
        <w:rPr>
          <w:b/>
          <w:color w:val="B31822"/>
          <w:sz w:val="24"/>
        </w:rPr>
        <w:t>Country background</w:t>
      </w:r>
    </w:p>
    <w:p>
      <w:r>
        <w:rPr>
          <w:sz w:val="21"/>
        </w:rPr>
        <w:t>Egypt, with about 108.6 million people at the start of 2026, is a republic with a directly elected president and a bicameral parliament, and its capital is Cairo.</w:t>
      </w:r>
      <w:hyperlink r:id="rId19">
        <w:r>
          <w:rPr>
            <w:color w:val="B31822"/>
            <w:vertAlign w:val="superscript"/>
          </w:rPr>
          <w:t xml:space="preserve">1,</w:t>
        </w:r>
      </w:hyperlink>
      <w:hyperlink r:id="rId11">
        <w:r>
          <w:rPr>
            <w:color w:val="B31822"/>
            <w:vertAlign w:val="superscript"/>
          </w:rPr>
          <w:t xml:space="preserve">2</w:t>
        </w:r>
      </w:hyperlink>
      <w:r>
        <w:rPr>
          <w:sz w:val="21"/>
        </w:rPr>
        <w:t xml:space="preserve"> President Abdel Fattah el-Sisi was sworn in for a third six-year term in April 2024, and Prime Minister Mostafa Madbouly leads the cabinet.</w:t>
      </w:r>
      <w:hyperlink r:id="rId20">
        <w:r>
          <w:rPr>
            <w:color w:val="B31822"/>
            <w:vertAlign w:val="superscript"/>
          </w:rPr>
          <w:t xml:space="preserve">6,</w:t>
        </w:r>
      </w:hyperlink>
      <w:hyperlink r:id="rId21">
        <w:r>
          <w:rPr>
            <w:color w:val="B31822"/>
            <w:vertAlign w:val="superscript"/>
          </w:rPr>
          <w:t xml:space="preserve">7</w:t>
        </w:r>
      </w:hyperlink>
      <w:r>
        <w:rPr>
          <w:sz w:val="21"/>
        </w:rPr>
        <w:t xml:space="preserve"> Egypt is one of the largest Arab economies, with GDP of about $2.39 trillion on a purchasing power parity basis in 2025.</w:t>
      </w:r>
      <w:hyperlink r:id="rId22">
        <w:r>
          <w:rPr>
            <w:color w:val="B31822"/>
            <w:vertAlign w:val="superscript"/>
          </w:rPr>
          <w:t xml:space="preserve">4</w:t>
        </w:r>
      </w:hyperlink>
      <w:r>
        <w:rPr>
          <w:sz w:val="21"/>
        </w:rPr>
        <w:t xml:space="preserve"> Consumer price inflation was 14.1 percent in 2025 after 28.3 percent in 2024.</w:t>
      </w:r>
      <w:hyperlink r:id="rId23">
        <w:r>
          <w:rPr>
            <w:color w:val="B31822"/>
            <w:vertAlign w:val="superscript"/>
          </w:rPr>
          <w:t xml:space="preserve">17</w:t>
        </w:r>
      </w:hyperlink>
      <w:r>
        <w:rPr>
          <w:sz w:val="21"/>
        </w:rPr>
        <w:t xml:space="preserve"> The total fertility rate fell to 2.41 in 2024, and only about 43 percent of people live in urban areas.</w:t>
      </w:r>
      <w:hyperlink r:id="rId24">
        <w:r>
          <w:rPr>
            <w:color w:val="B31822"/>
            <w:vertAlign w:val="superscript"/>
          </w:rPr>
          <w:t xml:space="preserve">9,</w:t>
        </w:r>
      </w:hyperlink>
      <w:hyperlink r:id="rId25">
        <w:r>
          <w:rPr>
            <w:color w:val="B31822"/>
            <w:vertAlign w:val="superscript"/>
          </w:rPr>
          <w:t xml:space="preserve">10</w:t>
        </w:r>
      </w:hyperlink>
      <w:r>
        <w:rPr>
          <w:sz w:val="21"/>
        </w:rPr>
        <w:t xml:space="preserve"> Deputy Health Minister Amr Kandil said in September 2025 that noncommunicable diseases account for about 80 percent of deaths.</w:t>
      </w:r>
      <w:hyperlink r:id="rId17">
        <w:r>
          <w:rPr>
            <w:color w:val="B31822"/>
            <w:vertAlign w:val="superscript"/>
          </w:rPr>
          <w:t xml:space="preserve">22</w:t>
        </w:r>
      </w:hyperlink>
      <w:r>
        <w:rPr>
          <w:sz w:val="21"/>
        </w:rPr>
        <w:t xml:space="preserve"> The key risk is inflation: the IMF expects it to rise to about 16.7 percent in the second half of 2026, delaying its return to the central bank's target range by about a year.</w:t>
      </w:r>
      <w:hyperlink r:id="rId26">
        <w:r>
          <w:rPr>
            <w:color w:val="B31822"/>
            <w:vertAlign w:val="superscript"/>
          </w:rPr>
          <w:t xml:space="preserve">18,</w:t>
        </w:r>
      </w:hyperlink>
      <w:hyperlink r:id="rId27">
        <w:r>
          <w:rPr>
            <w:color w:val="B31822"/>
            <w:vertAlign w:val="superscript"/>
          </w:rPr>
          <w:t xml:space="preserve">19</w:t>
        </w:r>
      </w:hyperlink>
    </w:p>
    <w:p>
      <w:pPr>
        <w:spacing w:before="160" w:after="60"/>
      </w:pPr>
      <w:r>
        <w:rPr>
          <w:b/>
          <w:color w:val="B31822"/>
          <w:sz w:val="24"/>
        </w:rPr>
        <w:t>Key takeaways for CSI</w:t>
      </w:r>
    </w:p>
    <w:p>
      <w:pPr>
        <w:pStyle w:val="ListBullet"/>
        <w:spacing w:after="60"/>
      </w:pPr>
      <w:r>
        <w:rPr>
          <w:sz w:val="21"/>
        </w:rPr>
        <w:t>Out-of-pocket payments covered 57 percent of current health spending in 2023, sustaining private demand among those who can pay.</w:t>
      </w:r>
      <w:hyperlink r:id="rId14">
        <w:r>
          <w:rPr>
            <w:color w:val="B31822"/>
            <w:vertAlign w:val="superscript"/>
          </w:rPr>
          <w:t xml:space="preserve">30</w:t>
        </w:r>
      </w:hyperlink>
    </w:p>
    <w:p>
      <w:pPr>
        <w:pStyle w:val="ListBullet"/>
        <w:spacing w:after="60"/>
      </w:pPr>
      <w:r>
        <w:rPr>
          <w:sz w:val="21"/>
        </w:rPr>
        <w:t>Second-phase Universal Health Insurance is planned to reach about 13 million people, with investment of more than EGP 115 billion.</w:t>
      </w:r>
      <w:hyperlink r:id="rId28">
        <w:r>
          <w:rPr>
            <w:color w:val="B31822"/>
            <w:vertAlign w:val="superscript"/>
          </w:rPr>
          <w:t xml:space="preserve">28,</w:t>
        </w:r>
      </w:hyperlink>
      <w:hyperlink r:id="rId29">
        <w:r>
          <w:rPr>
            <w:color w:val="B31822"/>
            <w:vertAlign w:val="superscript"/>
          </w:rPr>
          <w:t xml:space="preserve">49</w:t>
        </w:r>
      </w:hyperlink>
    </w:p>
    <w:p>
      <w:pPr>
        <w:pStyle w:val="ListBullet"/>
        <w:spacing w:after="60"/>
      </w:pPr>
      <w:r>
        <w:rPr>
          <w:sz w:val="21"/>
        </w:rPr>
        <w:t>Only 38 percent of doctors licensed in Egypt work in the country, according to the Egyptian Medical Syndicate.</w:t>
      </w:r>
      <w:hyperlink r:id="rId30">
        <w:r>
          <w:rPr>
            <w:color w:val="B31822"/>
            <w:vertAlign w:val="superscript"/>
          </w:rPr>
          <w:t xml:space="preserve">44</w:t>
        </w:r>
      </w:hyperlink>
    </w:p>
    <w:p>
      <w:pPr>
        <w:pStyle w:val="ListBullet"/>
        <w:spacing w:after="60"/>
      </w:pPr>
      <w:r>
        <w:rPr>
          <w:sz w:val="21"/>
        </w:rPr>
        <w:t>Egypt is seeking a foreign operator for a planned Cairo medical city with 4,000 beds.</w:t>
      </w:r>
      <w:hyperlink r:id="rId31">
        <w:r>
          <w:rPr>
            <w:color w:val="B31822"/>
            <w:vertAlign w:val="superscript"/>
          </w:rPr>
          <w:t xml:space="preserve">21</w:t>
        </w:r>
      </w:hyperlink>
    </w:p>
    <w:p>
      <w:r>
        <w:br w:type="page"/>
      </w:r>
    </w:p>
    <w:p>
      <w:pPr>
        <w:pStyle w:val="Heading1"/>
        <w:spacing w:before="0" w:after="80"/>
      </w:pPr>
      <w:r>
        <w:t>Health System</w:t>
      </w:r>
    </w:p>
    <w:p>
      <w:pPr>
        <w:spacing w:before="0" w:after="80"/>
        <w:pBdr>
          <w:bottom w:val="single" w:sz="12" w:space="1" w:color="D91F2C"/>
        </w:pBdr>
      </w:pPr>
    </w:p>
    <w:p>
      <w:pPr>
        <w:pStyle w:val="ListBullet"/>
        <w:spacing w:after="60"/>
      </w:pPr>
      <w:r>
        <w:rPr>
          <w:sz w:val="21"/>
        </w:rPr>
        <w:t>University hospitals grew from 88 in 2013 to 147 in 2026.</w:t>
      </w:r>
      <w:hyperlink r:id="rId32">
        <w:r>
          <w:rPr>
            <w:color w:val="B31822"/>
            <w:vertAlign w:val="superscript"/>
          </w:rPr>
          <w:t xml:space="preserve">27</w:t>
        </w:r>
      </w:hyperlink>
    </w:p>
    <w:p>
      <w:pPr>
        <w:pStyle w:val="ListBullet"/>
        <w:spacing w:after="60"/>
      </w:pPr>
      <w:r>
        <w:rPr>
          <w:sz w:val="21"/>
        </w:rPr>
        <w:t>Phase one of Universal Health Insurance is complete in six governorates; Minya starts phase two with a one-year trial.</w:t>
      </w:r>
      <w:hyperlink r:id="rId33">
        <w:r>
          <w:rPr>
            <w:color w:val="B31822"/>
            <w:vertAlign w:val="superscript"/>
          </w:rPr>
          <w:t xml:space="preserve">16,</w:t>
        </w:r>
      </w:hyperlink>
      <w:hyperlink r:id="rId34">
        <w:r>
          <w:rPr>
            <w:color w:val="B31822"/>
            <w:vertAlign w:val="superscript"/>
          </w:rPr>
          <w:t xml:space="preserve">26,</w:t>
        </w:r>
      </w:hyperlink>
      <w:hyperlink r:id="rId35">
        <w:r>
          <w:rPr>
            <w:color w:val="B31822"/>
            <w:vertAlign w:val="superscript"/>
          </w:rPr>
          <w:t xml:space="preserve">29</w:t>
        </w:r>
      </w:hyperlink>
    </w:p>
    <w:p>
      <w:pPr>
        <w:pStyle w:val="ListBullet"/>
        <w:spacing w:after="60"/>
      </w:pPr>
      <w:r>
        <w:rPr>
          <w:sz w:val="21"/>
        </w:rPr>
        <w:t>Government health spending was 1.6 percent of GDP in 2023, below the Constitution's commitment of at least 3 percent.</w:t>
      </w:r>
      <w:hyperlink r:id="rId19">
        <w:r>
          <w:rPr>
            <w:color w:val="B31822"/>
            <w:vertAlign w:val="superscript"/>
          </w:rPr>
          <w:t xml:space="preserve">1,</w:t>
        </w:r>
      </w:hyperlink>
      <w:hyperlink r:id="rId36">
        <w:r>
          <w:rPr>
            <w:color w:val="B31822"/>
            <w:vertAlign w:val="superscript"/>
          </w:rPr>
          <w:t xml:space="preserve">40</w:t>
        </w:r>
      </w:hyperlink>
    </w:p>
    <w:p>
      <w:pPr>
        <w:spacing w:before="160" w:after="40"/>
      </w:pPr>
      <w:r>
        <w:rPr>
          <w:b/>
          <w:sz w:val="21"/>
        </w:rPr>
        <w:t>Egypt: health spending and out-of-pocket share, 2012 to 2023</w:t>
      </w:r>
    </w:p>
    <w:p>
      <w:r>
        <w:drawing>
          <wp:inline xmlns:a="http://schemas.openxmlformats.org/drawingml/2006/main" xmlns:pic="http://schemas.openxmlformats.org/drawingml/2006/picture">
            <wp:extent cx="5580000" cy="331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E6E6E"/>
          <w:sz w:val="16"/>
        </w:rPr>
        <w:t xml:space="preserve">Current health expenditure as a share of GDP, and out-of-pocket spending as a share of current health expenditure. Sources: </w:t>
      </w:r>
      <w:hyperlink r:id="rId14">
        <w:r>
          <w:rPr>
            <w:color w:val="B31822"/>
            <w:vertAlign w:val="superscript"/>
          </w:rPr>
          <w:t xml:space="preserve">30,</w:t>
        </w:r>
      </w:hyperlink>
      <w:hyperlink r:id="rId13">
        <w:r>
          <w:rPr>
            <w:color w:val="B31822"/>
            <w:vertAlign w:val="superscript"/>
          </w:rPr>
          <w:t xml:space="preserve">38</w:t>
        </w:r>
      </w:hyperlink>
    </w:p>
    <w:p>
      <w:pPr>
        <w:spacing w:before="160" w:after="40"/>
      </w:pPr>
      <w:r>
        <w:rPr>
          <w:b/>
          <w:sz w:val="21"/>
        </w:rPr>
        <w:t>Physicians per 1,000 people, Egypt and comparators (latest year available)</w:t>
      </w:r>
    </w:p>
    <w:p>
      <w:r>
        <w:drawing>
          <wp:inline xmlns:a="http://schemas.openxmlformats.org/drawingml/2006/main" xmlns:pic="http://schemas.openxmlformats.org/drawingml/2006/picture">
            <wp:extent cx="5580000" cy="3713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E6E6E"/>
          <w:sz w:val="16"/>
        </w:rPr>
        <w:t xml:space="preserve">Latest year available for each country in the World Bank series, shown in brackets; comparison years differ (2020 to 2023). Sources: </w:t>
      </w:r>
      <w:hyperlink r:id="rId15">
        <w:r>
          <w:rPr>
            <w:color w:val="B31822"/>
            <w:vertAlign w:val="superscript"/>
          </w:rPr>
          <w:t xml:space="preserve">41</w:t>
        </w:r>
      </w:hyperlink>
    </w:p>
    <w:p>
      <w:r>
        <w:br w:type="page"/>
      </w:r>
    </w:p>
    <w:p>
      <w:pPr>
        <w:pStyle w:val="Heading1"/>
        <w:spacing w:before="0" w:after="80"/>
      </w:pPr>
      <w:r>
        <w:t>Market and Competition</w:t>
      </w:r>
    </w:p>
    <w:p>
      <w:pPr>
        <w:spacing w:before="0" w:after="80"/>
        <w:pBdr>
          <w:bottom w:val="single" w:sz="12" w:space="1" w:color="D91F2C"/>
        </w:pBdr>
      </w:pPr>
    </w:p>
    <w:p>
      <w:pPr>
        <w:pStyle w:val="ListBullet"/>
        <w:spacing w:after="60"/>
      </w:pPr>
      <w:r>
        <w:rPr>
          <w:sz w:val="21"/>
        </w:rPr>
        <w:t>Cleopatra Hospitals Group had about 1,000 operating beds at the end of 2025 across 17 facilities.</w:t>
      </w:r>
      <w:hyperlink r:id="rId39">
        <w:r>
          <w:rPr>
            <w:color w:val="B31822"/>
            <w:vertAlign w:val="superscript"/>
          </w:rPr>
          <w:t xml:space="preserve">31</w:t>
        </w:r>
      </w:hyperlink>
    </w:p>
    <w:p>
      <w:pPr>
        <w:pStyle w:val="ListBullet"/>
        <w:spacing w:after="60"/>
      </w:pPr>
      <w:r>
        <w:rPr>
          <w:sz w:val="21"/>
        </w:rPr>
        <w:t>Saudi German Hospital Cairo joined the Mayo Clinic Care Network in 2019; the group expanded the relationship in October 2025.</w:t>
      </w:r>
      <w:hyperlink r:id="rId40">
        <w:r>
          <w:rPr>
            <w:color w:val="B31822"/>
            <w:vertAlign w:val="superscript"/>
          </w:rPr>
          <w:t xml:space="preserve">33,</w:t>
        </w:r>
      </w:hyperlink>
      <w:hyperlink r:id="rId41">
        <w:r>
          <w:rPr>
            <w:color w:val="B31822"/>
            <w:vertAlign w:val="superscript"/>
          </w:rPr>
          <w:t xml:space="preserve">34,</w:t>
        </w:r>
      </w:hyperlink>
      <w:hyperlink r:id="rId42">
        <w:r>
          <w:rPr>
            <w:color w:val="B31822"/>
            <w:vertAlign w:val="superscript"/>
          </w:rPr>
          <w:t xml:space="preserve">35</w:t>
        </w:r>
      </w:hyperlink>
    </w:p>
    <w:p>
      <w:pPr>
        <w:pStyle w:val="ListBullet"/>
        <w:spacing w:after="60"/>
      </w:pPr>
      <w:r>
        <w:rPr>
          <w:sz w:val="21"/>
        </w:rPr>
        <w:t>Private providers make up 35 percent of contracted providers under Universal Health Insurance.</w:t>
      </w:r>
      <w:hyperlink r:id="rId33">
        <w:r>
          <w:rPr>
            <w:color w:val="B31822"/>
            <w:vertAlign w:val="superscript"/>
          </w:rPr>
          <w:t xml:space="preserve">16</w:t>
        </w:r>
      </w:hyperlink>
    </w:p>
    <w:p>
      <w:pPr>
        <w:spacing w:before="160" w:after="40"/>
      </w:pPr>
      <w:r>
        <w:rPr>
          <w:b/>
          <w:sz w:val="21"/>
        </w:rPr>
        <w:t>Egypt: hospital beds per 1,000 people, 2012 to 2021</w:t>
      </w:r>
    </w:p>
    <w:p>
      <w:r>
        <w:drawing>
          <wp:inline xmlns:a="http://schemas.openxmlformats.org/drawingml/2006/main" xmlns:pic="http://schemas.openxmlformats.org/drawingml/2006/picture">
            <wp:extent cx="5220000" cy="2365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E6E6E"/>
          <w:sz w:val="16"/>
        </w:rPr>
        <w:t xml:space="preserve">Hospital beds include public and private facilities, as reported to the World Bank. Sources: </w:t>
      </w:r>
      <w:hyperlink r:id="rId16">
        <w:r>
          <w:rPr>
            <w:color w:val="B31822"/>
            <w:vertAlign w:val="superscript"/>
          </w:rPr>
          <w:t xml:space="preserve">43</w:t>
        </w:r>
      </w:hyperlink>
    </w:p>
    <w:p>
      <w:pPr>
        <w:spacing w:before="160" w:after="60"/>
      </w:pPr>
      <w:r>
        <w:rPr>
          <w:b/>
          <w:color w:val="B31822"/>
          <w:sz w:val="24"/>
        </w:rPr>
        <w:t>Foreign health systems active in Egypt</w:t>
      </w:r>
    </w:p>
    <w:p>
      <w:r>
        <w:rPr>
          <w:sz w:val="20"/>
        </w:rPr>
        <w:t>10 foreign institutions with confirmed active partnerships (10 in all): 5 clinical affiliation, 2 training and education, 2 research collaboration, 1 ownership or management. Sources in the profile and the partnerships tracker.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295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ypt_partnerships_ma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95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E6E6E"/>
          <w:sz w:val="16"/>
        </w:rPr>
        <w:t>Active foreign health-system partnerships by city of the partner in Egypt. Source: CSI partnerships tracker, verified 2026-10-05. Boundaries: Natural Earth; not an official depiction.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5953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Nature of collaboration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Mayo Clinic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University of Texas Medical Branch (UTMB Health)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AP-HP Beaujon Hospital (with Université Paris Cité)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Alder Hey Children's Hospital (Alder Hey Global)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Barraquer Ophthalmology Centre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Burjeel Holdings (Burjeel Medical City, Burjeel Cancer Institute)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Freiburg University Cancer Center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Gruppo San Donato (with GKSD Group)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Gustave Roussy (Gustave Roussy International)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sz w:val="18"/>
              </w:rPr>
              <w:t>University of Oxford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</w:tbl>
    <w:p>
      <w:r>
        <w:br w:type="page"/>
      </w:r>
    </w:p>
    <w:p>
      <w:pPr>
        <w:pStyle w:val="Heading1"/>
        <w:spacing w:before="0" w:after="80"/>
      </w:pPr>
      <w:r>
        <w:t>CSI Position, Risks and Recent News</w:t>
      </w:r>
    </w:p>
    <w:p>
      <w:pPr>
        <w:spacing w:before="0" w:after="80"/>
        <w:pBdr>
          <w:bottom w:val="single" w:sz="12" w:space="1" w:color="D91F2C"/>
        </w:pBdr>
      </w:pPr>
    </w:p>
    <w:p>
      <w:pPr>
        <w:spacing w:before="160" w:after="60"/>
      </w:pPr>
      <w:r>
        <w:rPr>
          <w:b/>
          <w:color w:val="B31822"/>
          <w:sz w:val="24"/>
        </w:rPr>
        <w:t>CSI partnerships in Egypt</w:t>
      </w:r>
    </w:p>
    <w:p>
      <w:r>
        <w:rPr>
          <w:b/>
          <w:color w:val="996A00"/>
          <w:sz w:val="20"/>
          <w:highlight w:val="yellow"/>
        </w:rPr>
        <w:t>[MANUAL INPUT REQUIRED]</w:t>
      </w:r>
    </w:p>
    <w:p>
      <w:r>
        <w:rPr>
          <w:i/>
          <w:color w:val="6E6E6E"/>
          <w:sz w:val="17"/>
        </w:rPr>
        <w:t>To be completed by CSI from internal data; not researched.</w:t>
      </w:r>
    </w:p>
    <w:p>
      <w:pPr>
        <w:spacing w:before="160" w:after="60"/>
      </w:pPr>
      <w:r>
        <w:rPr>
          <w:b/>
          <w:color w:val="B31822"/>
          <w:sz w:val="24"/>
        </w:rPr>
        <w:t>Opportunities for CSI</w:t>
      </w:r>
    </w:p>
    <w:p>
      <w:r>
        <w:rPr>
          <w:b/>
          <w:color w:val="996A00"/>
          <w:sz w:val="20"/>
          <w:highlight w:val="yellow"/>
        </w:rPr>
        <w:t>[MANUAL INPUT REQUIRED]</w:t>
      </w:r>
    </w:p>
    <w:p>
      <w:r>
        <w:rPr>
          <w:i/>
          <w:color w:val="6E6E6E"/>
          <w:sz w:val="17"/>
        </w:rPr>
        <w:t>To be completed by CSI from internal data; not researched.</w:t>
      </w:r>
    </w:p>
    <w:p>
      <w:pPr>
        <w:spacing w:before="160" w:after="60"/>
      </w:pPr>
      <w:r>
        <w:rPr>
          <w:b/>
          <w:color w:val="B31822"/>
          <w:sz w:val="24"/>
        </w:rPr>
        <w:t>Risks and watch items</w:t>
      </w:r>
    </w:p>
    <w:p>
      <w:pPr>
        <w:pStyle w:val="ListBullet"/>
        <w:spacing w:after="60"/>
      </w:pPr>
      <w:r>
        <w:rPr>
          <w:sz w:val="21"/>
        </w:rPr>
        <w:t>The IMF expects inflation to rise to about 16.7 percent in the second half of 2026.</w:t>
      </w:r>
      <w:hyperlink r:id="rId26">
        <w:r>
          <w:rPr>
            <w:color w:val="B31822"/>
            <w:vertAlign w:val="superscript"/>
          </w:rPr>
          <w:t xml:space="preserve">18,</w:t>
        </w:r>
      </w:hyperlink>
      <w:hyperlink r:id="rId27">
        <w:r>
          <w:rPr>
            <w:color w:val="B31822"/>
            <w:vertAlign w:val="superscript"/>
          </w:rPr>
          <w:t xml:space="preserve">19</w:t>
        </w:r>
      </w:hyperlink>
    </w:p>
    <w:p>
      <w:pPr>
        <w:pStyle w:val="ListBullet"/>
        <w:spacing w:after="60"/>
      </w:pPr>
      <w:r>
        <w:rPr>
          <w:sz w:val="21"/>
        </w:rPr>
        <w:t>Bed density fell from 1.4 per 1,000 in 2011 to 1.06 in 2021 as the population grew faster than capacity.</w:t>
      </w:r>
      <w:hyperlink r:id="rId16">
        <w:r>
          <w:rPr>
            <w:color w:val="B31822"/>
            <w:vertAlign w:val="superscript"/>
          </w:rPr>
          <w:t xml:space="preserve">43</w:t>
        </w:r>
      </w:hyperlink>
    </w:p>
    <w:p>
      <w:pPr>
        <w:pStyle w:val="ListBullet"/>
        <w:spacing w:after="60"/>
      </w:pPr>
      <w:r>
        <w:rPr>
          <w:sz w:val="21"/>
        </w:rPr>
        <w:t>Universal Health Insurance phase two depends on financing, and the law is being amended so the authority stays solvent.</w:t>
      </w:r>
      <w:hyperlink r:id="rId33">
        <w:r>
          <w:rPr>
            <w:color w:val="B31822"/>
            <w:vertAlign w:val="superscript"/>
          </w:rPr>
          <w:t xml:space="preserve">16</w:t>
        </w:r>
      </w:hyperlink>
    </w:p>
    <w:p>
      <w:pPr>
        <w:spacing w:before="160" w:after="60"/>
      </w:pPr>
      <w:r>
        <w:rPr>
          <w:b/>
          <w:color w:val="B31822"/>
          <w:sz w:val="24"/>
        </w:rPr>
        <w:t>Recent developments</w:t>
      </w:r>
    </w:p>
    <w:p>
      <w:pPr>
        <w:spacing w:after="60"/>
      </w:pPr>
      <w:r>
        <w:rPr>
          <w:b/>
          <w:color w:val="B31822"/>
          <w:sz w:val="20"/>
        </w:rPr>
        <w:t xml:space="preserve">2026-03-28   </w:t>
      </w:r>
      <w:r>
        <w:rPr>
          <w:sz w:val="20"/>
        </w:rPr>
        <w:t>The Healthcare Authority reported treating about 35,000 patients from 124 countries in 2025, with revenue of about $8 million.</w:t>
      </w:r>
      <w:hyperlink r:id="rId18">
        <w:r>
          <w:rPr>
            <w:color w:val="B31822"/>
            <w:vertAlign w:val="superscript"/>
          </w:rPr>
          <w:t xml:space="preserve">13</w:t>
        </w:r>
      </w:hyperlink>
    </w:p>
    <w:p>
      <w:pPr>
        <w:spacing w:after="60"/>
      </w:pPr>
      <w:r>
        <w:rPr>
          <w:b/>
          <w:color w:val="B31822"/>
          <w:sz w:val="20"/>
        </w:rPr>
        <w:t xml:space="preserve">2026-06-13   </w:t>
      </w:r>
      <w:r>
        <w:rPr>
          <w:sz w:val="20"/>
        </w:rPr>
        <w:t>The health minister said Minya, home to about seven million people, will lead phase two on a one-year trial.</w:t>
      </w:r>
      <w:hyperlink r:id="rId35">
        <w:r>
          <w:rPr>
            <w:color w:val="B31822"/>
            <w:vertAlign w:val="superscript"/>
          </w:rPr>
          <w:t xml:space="preserve">29</w:t>
        </w:r>
      </w:hyperlink>
    </w:p>
    <w:p>
      <w:pPr>
        <w:spacing w:after="60"/>
      </w:pPr>
      <w:r>
        <w:rPr>
          <w:b/>
          <w:color w:val="B31822"/>
          <w:sz w:val="20"/>
        </w:rPr>
        <w:t xml:space="preserve">2026-07-30   </w:t>
      </w:r>
      <w:r>
        <w:rPr>
          <w:sz w:val="20"/>
        </w:rPr>
        <w:t>The IMF Executive Board completed the seventh Extended Fund Facility review, releasing about $1.77 billion.</w:t>
      </w:r>
      <w:hyperlink r:id="rId26">
        <w:r>
          <w:rPr>
            <w:color w:val="B31822"/>
            <w:vertAlign w:val="superscript"/>
          </w:rPr>
          <w:t xml:space="preserve">18,</w:t>
        </w:r>
      </w:hyperlink>
      <w:hyperlink r:id="rId27">
        <w:r>
          <w:rPr>
            <w:color w:val="B31822"/>
            <w:vertAlign w:val="superscript"/>
          </w:rPr>
          <w:t xml:space="preserve">19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english.ahram.org.eg/News/572647.aspx" TargetMode="External"/><Relationship Id="rId12" Type="http://schemas.openxmlformats.org/officeDocument/2006/relationships/hyperlink" Target="https://data.worldbank.org/indicator/NY.GDP.PCAP.PP.CD?locations=EG" TargetMode="External"/><Relationship Id="rId13" Type="http://schemas.openxmlformats.org/officeDocument/2006/relationships/hyperlink" Target="https://data.worldbank.org/indicator/SH.XPD.CHEX.GD.ZS?locations=EG" TargetMode="External"/><Relationship Id="rId14" Type="http://schemas.openxmlformats.org/officeDocument/2006/relationships/hyperlink" Target="https://data.worldbank.org/indicator/SH.XPD.OOPC.CH.ZS?locations=EG" TargetMode="External"/><Relationship Id="rId15" Type="http://schemas.openxmlformats.org/officeDocument/2006/relationships/hyperlink" Target="https://data.worldbank.org/indicator/SH.MED.PHYS.ZS?locations=EG" TargetMode="External"/><Relationship Id="rId16" Type="http://schemas.openxmlformats.org/officeDocument/2006/relationships/hyperlink" Target="https://data.worldbank.org/indicator/SH.MED.BEDS.ZS?locations=EG" TargetMode="External"/><Relationship Id="rId17" Type="http://schemas.openxmlformats.org/officeDocument/2006/relationships/hyperlink" Target="https://www.dailynewsegypt.com/2025/09/30/egypt-hosts-second-annual-cardiac-excellence-conference-amid-rising-burden-of-noncommunicable-diseases/" TargetMode="External"/><Relationship Id="rId18" Type="http://schemas.openxmlformats.org/officeDocument/2006/relationships/hyperlink" Target="https://egyptianstreets.com/2026/03/29/egypts-medical-tourism-revenues-hit-8-million-in-2025/" TargetMode="External"/><Relationship Id="rId19" Type="http://schemas.openxmlformats.org/officeDocument/2006/relationships/hyperlink" Target="https://www.constituteproject.org/constitution/Egypt_2019" TargetMode="External"/><Relationship Id="rId20" Type="http://schemas.openxmlformats.org/officeDocument/2006/relationships/hyperlink" Target="https://www.al-monitor.com/originals/2024/04/egyptian-president-sisi-sworn-third-term" TargetMode="External"/><Relationship Id="rId21" Type="http://schemas.openxmlformats.org/officeDocument/2006/relationships/hyperlink" Target="https://en.amwalalghad.com/?p=225102" TargetMode="External"/><Relationship Id="rId22" Type="http://schemas.openxmlformats.org/officeDocument/2006/relationships/hyperlink" Target="https://data.worldbank.org/indicator/NY.GDP.MKTP.PP.CD?locations=EG" TargetMode="External"/><Relationship Id="rId23" Type="http://schemas.openxmlformats.org/officeDocument/2006/relationships/hyperlink" Target="https://data.worldbank.org/indicator/FP.CPI.TOTL.ZG?locations=EG" TargetMode="External"/><Relationship Id="rId24" Type="http://schemas.openxmlformats.org/officeDocument/2006/relationships/hyperlink" Target="https://data.worldbank.org/indicator/SP.URB.TOTL.IN.ZS?locations=EG" TargetMode="External"/><Relationship Id="rId25" Type="http://schemas.openxmlformats.org/officeDocument/2006/relationships/hyperlink" Target="https://gulfnews.com/world/mena/annual-births-in-egypt-fall-below-two-million-for-the-first-time-in-nearly-two-decades-1.500027040" TargetMode="External"/><Relationship Id="rId26" Type="http://schemas.openxmlformats.org/officeDocument/2006/relationships/hyperlink" Target="https://www.imf.org/en/news/articles/2026/07/30/pr26271-egypt-imf-completes-the-7th-review-under-eff-and-2nd-review-under-the-rsf" TargetMode="External"/><Relationship Id="rId27" Type="http://schemas.openxmlformats.org/officeDocument/2006/relationships/hyperlink" Target="https://www.dailynewsegypt.com/2026/07/31/imf-board-approves-1-8bn-disbursement-for-egypt-following-seventh-review/" TargetMode="External"/><Relationship Id="rId28" Type="http://schemas.openxmlformats.org/officeDocument/2006/relationships/hyperlink" Target="https://en.amwalalghad.com/?p=223893" TargetMode="External"/><Relationship Id="rId29" Type="http://schemas.openxmlformats.org/officeDocument/2006/relationships/hyperlink" Target="https://en.amwalalghad.com/?p=222888" TargetMode="External"/><Relationship Id="rId30" Type="http://schemas.openxmlformats.org/officeDocument/2006/relationships/hyperlink" Target="https://egyptianstreets.com/2025/05/14/doctors-overworked-and-underpaid-continue-to-leave-egypt/" TargetMode="External"/><Relationship Id="rId31" Type="http://schemas.openxmlformats.org/officeDocument/2006/relationships/hyperlink" Target="https://www.agbi.com/health/2026/01/egypt-announces-project-to-build-medical-city-in-cairo/" TargetMode="External"/><Relationship Id="rId32" Type="http://schemas.openxmlformats.org/officeDocument/2006/relationships/hyperlink" Target="https://dportal.mohesr.gov.eg/en/all-news/on-the-anniversary-of-the-june-30-revolution-egypt&#8217;s-higher-education-and-scientific-research-system-achieves-unprecedented-progress-over-13-years-2013&#8211;2026" TargetMode="External"/><Relationship Id="rId33" Type="http://schemas.openxmlformats.org/officeDocument/2006/relationships/hyperlink" Target="https://www.zawya.com/en/economy/north-africa/egypt-madbouly-reviews-amendments-to-universal-health-insurance-law-ahead-of-second-phase-expansion-nymrg2si" TargetMode="External"/><Relationship Id="rId34" Type="http://schemas.openxmlformats.org/officeDocument/2006/relationships/hyperlink" Target="https://www.zawya.com/en/business/healthcare/egypt-prepares-to-extend-universal-health-insurance-to-minya-in-second-phase-pvumdu10" TargetMode="External"/><Relationship Id="rId35" Type="http://schemas.openxmlformats.org/officeDocument/2006/relationships/hyperlink" Target="https://www.dailynewsegypt.com/2026/06/13/egypt-gears-up-to-launch-universal-health-insurance-in-minya/" TargetMode="External"/><Relationship Id="rId36" Type="http://schemas.openxmlformats.org/officeDocument/2006/relationships/hyperlink" Target="https://data.worldbank.org/indicator/SH.XPD.GHED.GD.ZS?locations=EG" TargetMode="External"/><Relationship Id="rId37" Type="http://schemas.openxmlformats.org/officeDocument/2006/relationships/image" Target="media/image2.png"/><Relationship Id="rId38" Type="http://schemas.openxmlformats.org/officeDocument/2006/relationships/image" Target="media/image3.png"/><Relationship Id="rId39" Type="http://schemas.openxmlformats.org/officeDocument/2006/relationships/hyperlink" Target="https://www.cleopatrahospitals.com/media/qcxjlaq4/chg-irp-fy2025.pdf" TargetMode="External"/><Relationship Id="rId40" Type="http://schemas.openxmlformats.org/officeDocument/2006/relationships/hyperlink" Target="https://newsnetwork.mayoclinic.org/discussion/saudi-german-hospital-cairo-joins-mayo-clinic-care-network/" TargetMode="External"/><Relationship Id="rId41" Type="http://schemas.openxmlformats.org/officeDocument/2006/relationships/hyperlink" Target="https://krocnews.com/egyptian-hospital-joins-mayo-clinic-care-network/" TargetMode="External"/><Relationship Id="rId42" Type="http://schemas.openxmlformats.org/officeDocument/2006/relationships/hyperlink" Target="https://tradearabia.com/News/328805/Saudi-German-Health-boosts-relationship-with-Mayo-Clinic" TargetMode="External"/><Relationship Id="rId43" Type="http://schemas.openxmlformats.org/officeDocument/2006/relationships/image" Target="media/image4.png"/><Relationship Id="rId4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