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200"/>
      </w:pPr>
      <w:r>
        <w:rPr>
          <w:b/>
          <w:color w:val="CC0000"/>
          <w:sz w:val="40"/>
        </w:rPr>
        <w:t xml:space="preserve">Country Summary: </w:t>
      </w:r>
      <w:r>
        <w:rPr>
          <w:b w:val="0"/>
          <w:color w:val="CC0000"/>
          <w:sz w:val="40"/>
        </w:rPr>
        <w:t>Nigeria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6188710" cy="3481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geri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80"/>
        <w:jc w:val="right"/>
      </w:pPr>
      <w:r>
        <w:rPr>
          <w:color w:val="6E6E6E"/>
          <w:sz w:val="14"/>
        </w:rPr>
        <w:t>Photo: Anass Sedrati, CC BY-SA 4.0, via Wikimedia Commons</w:t>
      </w:r>
    </w:p>
    <w:p>
      <w:pPr>
        <w:widowControl/>
        <w:spacing w:before="360"/>
      </w:pPr>
      <w:r>
        <w:rPr>
          <w:i/>
          <w:color w:val="6E6E6E"/>
          <w:sz w:val="20"/>
        </w:rPr>
        <w:t>Executive summary of the Nigeria country profile (2026-10-21). Superscript numbers refer to the numbered sources in Nigeria_Profile_DRAFT_SOURCES.docx.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80" w:after="80"/>
      </w:pPr>
      <w:r>
        <w:t>At a Glance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tbl>
      <w:tblPr>
        <w:tblW w:type="auto" w:w="0"/>
        <w:jc w:val="center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18" w:color="FFFFFF"/>
          <w:insideV w:val="single" w:sz="18" w:color="FFFFFF"/>
        </w:tblBorders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237.5 m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Population, 2025 estimate</w:t>
            </w:r>
            <w:hyperlink r:id="rId11">
              <w:r>
                <w:rPr>
                  <w:color w:val="B31822"/>
                  <w:vertAlign w:val="superscript"/>
                </w:rPr>
                <w:t xml:space="preserve">2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9,530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GDP per capita, PPP (international dollars), about, 2025</w:t>
            </w:r>
            <w:hyperlink r:id="rId12">
              <w:r>
                <w:rPr>
                  <w:color w:val="B31822"/>
                  <w:vertAlign w:val="superscript"/>
                </w:rPr>
                <w:t xml:space="preserve">5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4.19%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Current health expenditure, share of GDP, 2023</w:t>
            </w:r>
            <w:hyperlink r:id="rId13">
              <w:r>
                <w:rPr>
                  <w:color w:val="B31822"/>
                  <w:vertAlign w:val="superscript"/>
                </w:rPr>
                <w:t xml:space="preserve">47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71.9%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Out-of-pocket share of current health expenditure, 2023</w:t>
            </w:r>
            <w:hyperlink r:id="rId14">
              <w:r>
                <w:rPr>
                  <w:color w:val="B31822"/>
                  <w:vertAlign w:val="superscript"/>
                </w:rPr>
                <w:t xml:space="preserve">43</w:t>
              </w:r>
            </w:hyperlink>
          </w:p>
        </w:tc>
      </w:tr>
      <w:tr>
        <w:trPr>
          <w:cantSplit/>
        </w:trPr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0.38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Physicians per 1,000 people, 2023</w:t>
            </w:r>
            <w:hyperlink r:id="rId15">
              <w:r>
                <w:rPr>
                  <w:color w:val="B31822"/>
                  <w:vertAlign w:val="superscript"/>
                </w:rPr>
                <w:t xml:space="preserve">59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54.6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Life expectancy at birth, years, 2024</w:t>
            </w:r>
            <w:hyperlink r:id="rId16">
              <w:r>
                <w:rPr>
                  <w:color w:val="B31822"/>
                  <w:vertAlign w:val="superscript"/>
                </w:rPr>
                <w:t xml:space="preserve">10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115.6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Under-five deaths per 1,000 live births, 2024</w:t>
            </w:r>
            <w:hyperlink r:id="rId17">
              <w:r>
                <w:rPr>
                  <w:color w:val="B31822"/>
                  <w:vertAlign w:val="superscript"/>
                </w:rPr>
                <w:t xml:space="preserve">33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23 m+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Health insurance enrollment, September 2026</w:t>
            </w:r>
            <w:hyperlink r:id="rId18">
              <w:r>
                <w:rPr>
                  <w:color w:val="B31822"/>
                  <w:vertAlign w:val="superscript"/>
                </w:rPr>
                <w:t xml:space="preserve">39</w:t>
              </w:r>
            </w:hyperlink>
          </w:p>
        </w:tc>
      </w:tr>
    </w:tbl>
    <w:p>
      <w:pPr>
        <w:keepNext/>
        <w:widowControl/>
        <w:spacing w:before="160" w:after="60"/>
      </w:pPr>
      <w:r>
        <w:rPr>
          <w:b/>
          <w:color w:val="B31822"/>
          <w:sz w:val="24"/>
        </w:rPr>
        <w:t>Country background</w:t>
      </w:r>
    </w:p>
    <w:p>
      <w:pPr>
        <w:widowControl/>
      </w:pPr>
      <w:r>
        <w:rPr>
          <w:sz w:val="21"/>
        </w:rPr>
        <w:t>Nigeria, a federal presidential republic of 36 states and the Federal Capital Territory, Abuja, had about 237.5 million people in 2025.</w:t>
      </w:r>
      <w:hyperlink r:id="rId19">
        <w:r>
          <w:rPr>
            <w:color w:val="B31822"/>
            <w:vertAlign w:val="superscript"/>
          </w:rPr>
          <w:t xml:space="preserve">1,</w:t>
        </w:r>
      </w:hyperlink>
      <w:hyperlink r:id="rId11">
        <w:r>
          <w:rPr>
            <w:color w:val="B31822"/>
            <w:vertAlign w:val="superscript"/>
          </w:rPr>
          <w:t xml:space="preserve">2,</w:t>
        </w:r>
      </w:hyperlink>
      <w:hyperlink r:id="rId20">
        <w:r>
          <w:rPr>
            <w:color w:val="B31822"/>
            <w:vertAlign w:val="superscript"/>
          </w:rPr>
          <w:t xml:space="preserve">6</w:t>
        </w:r>
      </w:hyperlink>
      <w:r>
        <w:rPr>
          <w:sz w:val="21"/>
        </w:rPr>
        <w:t xml:space="preserve"> Bola Tinubu has been president since 29 May 2023, and Muhammad Ali Pate is Coordinating Minister of Health and Social Welfare.</w:t>
      </w:r>
      <w:hyperlink r:id="rId20">
        <w:r>
          <w:rPr>
            <w:color w:val="B31822"/>
            <w:vertAlign w:val="superscript"/>
          </w:rPr>
          <w:t xml:space="preserve">6,</w:t>
        </w:r>
      </w:hyperlink>
      <w:hyperlink r:id="rId21">
        <w:r>
          <w:rPr>
            <w:color w:val="B31822"/>
            <w:vertAlign w:val="superscript"/>
          </w:rPr>
          <w:t xml:space="preserve">15,</w:t>
        </w:r>
      </w:hyperlink>
      <w:hyperlink r:id="rId22">
        <w:r>
          <w:rPr>
            <w:color w:val="B31822"/>
            <w:vertAlign w:val="superscript"/>
          </w:rPr>
          <w:t xml:space="preserve">17,</w:t>
        </w:r>
      </w:hyperlink>
      <w:hyperlink r:id="rId23">
        <w:r>
          <w:rPr>
            <w:color w:val="B31822"/>
            <w:vertAlign w:val="superscript"/>
          </w:rPr>
          <w:t xml:space="preserve">18</w:t>
        </w:r>
      </w:hyperlink>
      <w:r>
        <w:rPr>
          <w:sz w:val="21"/>
        </w:rPr>
        <w:t xml:space="preserve"> The federal government sets regulation, while states and local governments run general hospitals and primary health care centers.</w:t>
      </w:r>
      <w:hyperlink r:id="rId24">
        <w:r>
          <w:rPr>
            <w:color w:val="B31822"/>
            <w:vertAlign w:val="superscript"/>
          </w:rPr>
          <w:t xml:space="preserve">19</w:t>
        </w:r>
      </w:hyperlink>
      <w:r>
        <w:rPr>
          <w:sz w:val="21"/>
        </w:rPr>
        <w:t xml:space="preserve"> Real GDP grew 4.2 percent in the first half of 2026, and inflation eased to 14.63 percent in September 2026.</w:t>
      </w:r>
      <w:hyperlink r:id="rId20">
        <w:r>
          <w:rPr>
            <w:color w:val="B31822"/>
            <w:vertAlign w:val="superscript"/>
          </w:rPr>
          <w:t xml:space="preserve">6,</w:t>
        </w:r>
      </w:hyperlink>
      <w:hyperlink r:id="rId25">
        <w:r>
          <w:rPr>
            <w:color w:val="B31822"/>
            <w:vertAlign w:val="superscript"/>
          </w:rPr>
          <w:t xml:space="preserve">20</w:t>
        </w:r>
      </w:hyperlink>
      <w:r>
        <w:rPr>
          <w:sz w:val="21"/>
        </w:rPr>
        <w:t xml:space="preserve"> The population is young, with 40.5 percent under 15, and life expectancy at birth was 54.6 years in 2024.</w:t>
      </w:r>
      <w:hyperlink r:id="rId16">
        <w:r>
          <w:rPr>
            <w:color w:val="B31822"/>
            <w:vertAlign w:val="superscript"/>
          </w:rPr>
          <w:t xml:space="preserve">10,</w:t>
        </w:r>
      </w:hyperlink>
      <w:hyperlink r:id="rId26">
        <w:r>
          <w:rPr>
            <w:color w:val="B31822"/>
            <w:vertAlign w:val="superscript"/>
          </w:rPr>
          <w:t xml:space="preserve">13</w:t>
        </w:r>
      </w:hyperlink>
      <w:r>
        <w:rPr>
          <w:sz w:val="21"/>
        </w:rPr>
        <w:t xml:space="preserve"> The key risk is affordability: an estimated 69.6 percent of Nigerians lived below $4.20 a day in 2025, and households paid most health costs.</w:t>
      </w:r>
      <w:hyperlink r:id="rId20">
        <w:r>
          <w:rPr>
            <w:color w:val="B31822"/>
            <w:vertAlign w:val="superscript"/>
          </w:rPr>
          <w:t xml:space="preserve">6,</w:t>
        </w:r>
      </w:hyperlink>
      <w:hyperlink r:id="rId14">
        <w:r>
          <w:rPr>
            <w:color w:val="B31822"/>
            <w:vertAlign w:val="superscript"/>
          </w:rPr>
          <w:t xml:space="preserve">43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Key takeaways for CSI</w:t>
      </w:r>
    </w:p>
    <w:p>
      <w:pPr>
        <w:pStyle w:val="ListBullet"/>
        <w:widowControl/>
        <w:spacing w:after="60"/>
      </w:pPr>
      <w:r>
        <w:rPr>
          <w:sz w:val="21"/>
        </w:rPr>
        <w:t>Out-of-pocket payments made up 71.9 percent of current health spending in 2023.</w:t>
      </w:r>
      <w:hyperlink r:id="rId14">
        <w:r>
          <w:rPr>
            <w:color w:val="B31822"/>
            <w:vertAlign w:val="superscript"/>
          </w:rPr>
          <w:t xml:space="preserve">43</w:t>
        </w:r>
      </w:hyperlink>
    </w:p>
    <w:p>
      <w:pPr>
        <w:pStyle w:val="ListBullet"/>
        <w:widowControl/>
        <w:spacing w:after="60"/>
      </w:pPr>
      <w:r>
        <w:rPr>
          <w:sz w:val="21"/>
        </w:rPr>
        <w:t>Practicing doctors fell 16.9 percent to about 55,000 in 2025, largely because of emigration.</w:t>
      </w:r>
      <w:hyperlink r:id="rId27">
        <w:r>
          <w:rPr>
            <w:color w:val="B31822"/>
            <w:vertAlign w:val="superscript"/>
          </w:rPr>
          <w:t xml:space="preserve">60</w:t>
        </w:r>
      </w:hyperlink>
    </w:p>
    <w:p>
      <w:pPr>
        <w:pStyle w:val="ListBullet"/>
        <w:widowControl/>
        <w:spacing w:after="60"/>
      </w:pPr>
      <w:r>
        <w:rPr>
          <w:sz w:val="21"/>
        </w:rPr>
        <w:t>Communicable, maternal, prenatal and nutritional conditions caused 63.7 percent of deaths in 2021, and noncommunicable diseases 27.7 percent.</w:t>
      </w:r>
      <w:hyperlink r:id="rId28">
        <w:r>
          <w:rPr>
            <w:color w:val="B31822"/>
            <w:vertAlign w:val="superscript"/>
          </w:rPr>
          <w:t xml:space="preserve">26,</w:t>
        </w:r>
      </w:hyperlink>
      <w:hyperlink r:id="rId29">
        <w:r>
          <w:rPr>
            <w:color w:val="B31822"/>
            <w:vertAlign w:val="superscript"/>
          </w:rPr>
          <w:t xml:space="preserve">27</w:t>
        </w:r>
      </w:hyperlink>
    </w:p>
    <w:p>
      <w:pPr>
        <w:pStyle w:val="ListBullet"/>
        <w:widowControl/>
        <w:spacing w:after="60"/>
      </w:pPr>
      <w:r>
        <w:rPr>
          <w:sz w:val="21"/>
        </w:rPr>
        <w:t>Health insurance enrollment passed 23 million in September 2026, roughly 10 percent of the 2025 population.</w:t>
      </w:r>
      <w:hyperlink r:id="rId11">
        <w:r>
          <w:rPr>
            <w:color w:val="B31822"/>
            <w:vertAlign w:val="superscript"/>
          </w:rPr>
          <w:t xml:space="preserve">2,</w:t>
        </w:r>
      </w:hyperlink>
      <w:hyperlink r:id="rId18">
        <w:r>
          <w:rPr>
            <w:color w:val="B31822"/>
            <w:vertAlign w:val="superscript"/>
          </w:rPr>
          <w:t xml:space="preserve">39</w:t>
        </w:r>
      </w:hyperlink>
    </w:p>
    <w:p>
      <w:pPr>
        <w:pStyle w:val="Heading1"/>
        <w:keepNext/>
        <w:widowControl/>
        <w:spacing w:before="280" w:after="80"/>
      </w:pPr>
      <w:r>
        <w:t>Health System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pStyle w:val="ListBullet"/>
        <w:widowControl/>
        <w:spacing w:after="60"/>
      </w:pPr>
      <w:r>
        <w:rPr>
          <w:sz w:val="21"/>
        </w:rPr>
        <w:t>Health spending was 4.19 percent of GDP in 2023, below Kenya, Egypt and South Africa.</w:t>
      </w:r>
      <w:hyperlink r:id="rId13">
        <w:r>
          <w:rPr>
            <w:color w:val="B31822"/>
            <w:vertAlign w:val="superscript"/>
          </w:rPr>
          <w:t xml:space="preserve">47,</w:t>
        </w:r>
      </w:hyperlink>
      <w:hyperlink r:id="rId30">
        <w:r>
          <w:rPr>
            <w:color w:val="B31822"/>
            <w:vertAlign w:val="superscript"/>
          </w:rPr>
          <w:t xml:space="preserve">52</w:t>
        </w:r>
      </w:hyperlink>
    </w:p>
    <w:p>
      <w:pPr>
        <w:pStyle w:val="ListBullet"/>
        <w:widowControl/>
        <w:spacing w:after="60"/>
      </w:pPr>
      <w:r>
        <w:rPr>
          <w:sz w:val="21"/>
        </w:rPr>
        <w:t>Of 40,368 hospitals and clinics counted in mid-2021, 85.2 percent were primary and only 0.4 percent tertiary.</w:t>
      </w:r>
      <w:hyperlink r:id="rId24">
        <w:r>
          <w:rPr>
            <w:color w:val="B31822"/>
            <w:vertAlign w:val="superscript"/>
          </w:rPr>
          <w:t xml:space="preserve">19</w:t>
        </w:r>
      </w:hyperlink>
    </w:p>
    <w:p>
      <w:pPr>
        <w:pStyle w:val="ListBullet"/>
        <w:widowControl/>
        <w:spacing w:after="60"/>
      </w:pPr>
      <w:r>
        <w:rPr>
          <w:sz w:val="21"/>
        </w:rPr>
        <w:t>The United States intends to provide $2.1 billion over five years under a December 2025 health memorandum.</w:t>
      </w:r>
      <w:hyperlink r:id="rId31">
        <w:r>
          <w:rPr>
            <w:color w:val="B31822"/>
            <w:vertAlign w:val="superscript"/>
          </w:rPr>
          <w:t xml:space="preserve">58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Nigeria: health spending and out-of-pocket share, 2012 to 2023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nd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Current health expenditure as a share of GDP, and out-of-pocket spending as a share of current health expenditure. Sources: </w:t>
      </w:r>
      <w:hyperlink r:id="rId33">
        <w:r>
          <w:rPr>
            <w:color w:val="B31822"/>
            <w:vertAlign w:val="superscript"/>
          </w:rPr>
          <w:t xml:space="preserve">93,</w:t>
        </w:r>
      </w:hyperlink>
      <w:hyperlink r:id="rId34">
        <w:r>
          <w:rPr>
            <w:color w:val="B31822"/>
            <w:vertAlign w:val="superscript"/>
          </w:rPr>
          <w:t xml:space="preserve">94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Physicians per 1,000 people, Nigeria and comparators (latest year available)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580000" cy="40779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orc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77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Latest year available for each country or group in the World Bank series, shown in brackets; comparison years differ (2020 to 2023). Sources: </w:t>
      </w:r>
      <w:hyperlink r:id="rId36">
        <w:r>
          <w:rPr>
            <w:color w:val="B31822"/>
            <w:vertAlign w:val="superscript"/>
          </w:rPr>
          <w:t xml:space="preserve">62</w:t>
        </w:r>
      </w:hyperlink>
    </w:p>
    <w:p>
      <w:pPr>
        <w:pStyle w:val="Heading1"/>
        <w:keepNext/>
        <w:widowControl/>
        <w:spacing w:before="280" w:after="80"/>
      </w:pPr>
      <w:r>
        <w:t>Market and Competition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pStyle w:val="ListBullet"/>
        <w:widowControl/>
        <w:spacing w:after="60"/>
      </w:pPr>
      <w:r>
        <w:rPr>
          <w:sz w:val="21"/>
        </w:rPr>
        <w:t>Evercare built the 165-bed Evercare Hospital Lekki in Lagos, and Padiyath Healthcare is building a 300-bed hospital in Abuja.</w:t>
      </w:r>
      <w:hyperlink r:id="rId37">
        <w:r>
          <w:rPr>
            <w:color w:val="B31822"/>
            <w:vertAlign w:val="superscript"/>
          </w:rPr>
          <w:t xml:space="preserve">44,</w:t>
        </w:r>
      </w:hyperlink>
      <w:hyperlink r:id="rId38">
        <w:r>
          <w:rPr>
            <w:color w:val="B31822"/>
            <w:vertAlign w:val="superscript"/>
          </w:rPr>
          <w:t xml:space="preserve">45</w:t>
        </w:r>
      </w:hyperlink>
    </w:p>
    <w:p>
      <w:pPr>
        <w:pStyle w:val="ListBullet"/>
        <w:widowControl/>
        <w:spacing w:after="60"/>
      </w:pPr>
      <w:r>
        <w:rPr>
          <w:sz w:val="21"/>
        </w:rPr>
        <w:t>UVA Health supports the kidney transplant program at Federal Medical Centre Umuahia, one of several active U.S. academic ties.</w:t>
      </w:r>
      <w:hyperlink r:id="rId39">
        <w:r>
          <w:rPr>
            <w:color w:val="B31822"/>
            <w:vertAlign w:val="superscript"/>
          </w:rPr>
          <w:t xml:space="preserve">68</w:t>
        </w:r>
      </w:hyperlink>
    </w:p>
    <w:p>
      <w:pPr>
        <w:pStyle w:val="ListBullet"/>
        <w:widowControl/>
        <w:spacing w:after="60"/>
      </w:pPr>
      <w:r>
        <w:rPr>
          <w:sz w:val="21"/>
        </w:rPr>
        <w:t>Central Bank data show $549 million of health travel spending in the first nine months of 2025, up 18 percent.</w:t>
      </w:r>
      <w:hyperlink r:id="rId40">
        <w:r>
          <w:rPr>
            <w:color w:val="B31822"/>
            <w:vertAlign w:val="superscript"/>
          </w:rPr>
          <w:t xml:space="preserve">88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Nigeria: private health spending per person, 2012 to 2023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220000" cy="2365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6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Domestic private health expenditure per capita in current US dollars (mostly household out-of-pocket payments); values move with the naira exchange rate. Sources: </w:t>
      </w:r>
      <w:hyperlink r:id="rId42">
        <w:r>
          <w:rPr>
            <w:color w:val="B31822"/>
            <w:vertAlign w:val="superscript"/>
          </w:rPr>
          <w:t xml:space="preserve">95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Foreign health systems active in Nigeria</w:t>
      </w:r>
    </w:p>
    <w:p>
      <w:pPr>
        <w:widowControl/>
      </w:pPr>
      <w:r>
        <w:rPr>
          <w:sz w:val="20"/>
        </w:rPr>
        <w:t>19 foreign institutions with confirmed active partnerships (21 in all): 7 training and education, 7 research collaboration, 3 advisory and consulting, 3 clinical affiliation, 1 ownership or management. Sources in the profile and the partnerships tracker.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3060000" cy="26308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geria_partnerships_ma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630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i/>
          <w:color w:val="6E6E6E"/>
          <w:sz w:val="16"/>
        </w:rPr>
        <w:t>Active foreign health-system partnerships by city of the partner in Nigeria. Source: CSI partnerships tracker, verified 2026-10-21. Boundaries: Natural Earth; not an official depiction.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3685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Institution</w:t>
            </w:r>
          </w:p>
        </w:tc>
        <w:tc>
          <w:tcPr>
            <w:tcW w:type="dxa" w:w="5953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Nature of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Johns Hopkins University (Johns Hopkins Hospital)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Mayo Clinic (Mayo Clinic Global Consulting)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Advisory and consulting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Memorial Sloan Kettering Cancer Center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St. Jude Children's Research Hospital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Illinois Chicago (UIC School of Public Health)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Maryland School of Medicine (Institute of Human Virology)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Miami (Sylvester Comprehensive Cancer Center)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Virginia Health System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Vanderbilt University Medical Center (Vanderbilt Institute for Global Health)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Virginia Commonwealth University (VCU Massey Comprehensive Cancer Center)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Evercare Group (owned at its 2021 launch by the TPG-managed Evercare Health Fund)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Ownership or management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King's College Hospital NHS Foundation Trust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Advisory and consulting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King's College London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Liverpool School of Tropical Medicine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Manipal Hospitals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The Christie NHS Foundation Trust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Advisory and consulting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The Royal Marsden NHS Foundation Trust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Birmingham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Glasgow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</w:tbl>
    <w:p>
      <w:pPr>
        <w:pStyle w:val="Heading1"/>
        <w:keepNext/>
        <w:widowControl/>
        <w:spacing w:before="280" w:after="80"/>
      </w:pPr>
      <w:r>
        <w:t>CSI Position, Risks and Recent News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CSI partnerships in Nigeria</w:t>
      </w:r>
    </w:p>
    <w:p>
      <w:pPr>
        <w:keepNext/>
        <w:widowControl/>
      </w:pPr>
      <w:r>
        <w:rPr>
          <w:b/>
          <w:color w:val="996A00"/>
          <w:sz w:val="20"/>
          <w:highlight w:val="yellow"/>
        </w:rPr>
        <w:t>[MANUAL INPUT REQUIRED]</w:t>
      </w:r>
    </w:p>
    <w:p>
      <w:pPr>
        <w:widowControl/>
      </w:pPr>
      <w:r>
        <w:rPr>
          <w:i/>
          <w:color w:val="6E6E6E"/>
          <w:sz w:val="17"/>
        </w:rPr>
        <w:t>To be completed by CSI from internal data; not researched.</w:t>
      </w: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Opportunities for CSI</w:t>
      </w:r>
    </w:p>
    <w:p>
      <w:pPr>
        <w:keepNext/>
        <w:widowControl/>
      </w:pPr>
      <w:r>
        <w:rPr>
          <w:b/>
          <w:color w:val="996A00"/>
          <w:sz w:val="20"/>
          <w:highlight w:val="yellow"/>
        </w:rPr>
        <w:t>[MANUAL INPUT REQUIRED]</w:t>
      </w:r>
    </w:p>
    <w:p>
      <w:pPr>
        <w:widowControl/>
      </w:pPr>
      <w:r>
        <w:rPr>
          <w:i/>
          <w:color w:val="6E6E6E"/>
          <w:sz w:val="17"/>
        </w:rPr>
        <w:t>To be completed by CSI from internal data; not researched.</w:t>
      </w: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Risks and watch items</w:t>
      </w:r>
    </w:p>
    <w:p>
      <w:pPr>
        <w:pStyle w:val="ListBullet"/>
        <w:widowControl/>
        <w:spacing w:after="60"/>
      </w:pPr>
      <w:r>
        <w:rPr>
          <w:sz w:val="21"/>
        </w:rPr>
        <w:t>Presidential and National Assembly elections on 16 January 2027 could change federal priorities.</w:t>
      </w:r>
      <w:hyperlink r:id="rId44">
        <w:r>
          <w:rPr>
            <w:color w:val="B31822"/>
            <w:vertAlign w:val="superscript"/>
          </w:rPr>
          <w:t xml:space="preserve">16</w:t>
        </w:r>
      </w:hyperlink>
    </w:p>
    <w:p>
      <w:pPr>
        <w:pStyle w:val="ListBullet"/>
        <w:widowControl/>
        <w:spacing w:after="60"/>
      </w:pPr>
      <w:r>
        <w:rPr>
          <w:sz w:val="21"/>
        </w:rPr>
        <w:t>In 2024, 4,193 doctors and dentists emigrated, and 72.9 percent of surveyed medical and nursing students intended to practice abroad.</w:t>
      </w:r>
      <w:hyperlink r:id="rId27">
        <w:r>
          <w:rPr>
            <w:color w:val="B31822"/>
            <w:vertAlign w:val="superscript"/>
          </w:rPr>
          <w:t xml:space="preserve">60,</w:t>
        </w:r>
      </w:hyperlink>
      <w:hyperlink r:id="rId45">
        <w:r>
          <w:rPr>
            <w:color w:val="B31822"/>
            <w:vertAlign w:val="superscript"/>
          </w:rPr>
          <w:t xml:space="preserve">64</w:t>
        </w:r>
      </w:hyperlink>
    </w:p>
    <w:p>
      <w:pPr>
        <w:pStyle w:val="ListBullet"/>
        <w:widowControl/>
        <w:spacing w:after="60"/>
      </w:pPr>
      <w:r>
        <w:rPr>
          <w:sz w:val="21"/>
        </w:rPr>
        <w:t>The 2026 budget proposal gave health N2.48 trillion, about 4.2 percent, below the Abuja Declaration's 15 percent target.</w:t>
      </w:r>
      <w:hyperlink r:id="rId46">
        <w:r>
          <w:rPr>
            <w:color w:val="B31822"/>
            <w:vertAlign w:val="superscript"/>
          </w:rPr>
          <w:t xml:space="preserve">53,</w:t>
        </w:r>
      </w:hyperlink>
      <w:hyperlink r:id="rId47">
        <w:r>
          <w:rPr>
            <w:color w:val="B31822"/>
            <w:vertAlign w:val="superscript"/>
          </w:rPr>
          <w:t xml:space="preserve">54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Recent developments</w:t>
      </w:r>
    </w:p>
    <w:p>
      <w:pPr>
        <w:widowControl/>
        <w:spacing w:after="60"/>
      </w:pPr>
      <w:r>
        <w:rPr>
          <w:b/>
          <w:color w:val="B31822"/>
          <w:sz w:val="20"/>
        </w:rPr>
        <w:t xml:space="preserve">2026-02-03   </w:t>
      </w:r>
      <w:r>
        <w:rPr>
          <w:sz w:val="20"/>
        </w:rPr>
        <w:t>The IFC and NSIA financed MedServe's $154.1 million project for diagnostic, radiotherapy and cardiac catheterization centers.</w:t>
      </w:r>
      <w:hyperlink r:id="rId48">
        <w:r>
          <w:rPr>
            <w:color w:val="B31822"/>
            <w:vertAlign w:val="superscript"/>
          </w:rPr>
          <w:t xml:space="preserve">46</w:t>
        </w:r>
      </w:hyperlink>
    </w:p>
    <w:p>
      <w:pPr>
        <w:widowControl/>
        <w:spacing w:after="60"/>
      </w:pPr>
      <w:r>
        <w:rPr>
          <w:b/>
          <w:color w:val="B31822"/>
          <w:sz w:val="20"/>
        </w:rPr>
        <w:t xml:space="preserve">2026-07-09   </w:t>
      </w:r>
      <w:r>
        <w:rPr>
          <w:sz w:val="20"/>
        </w:rPr>
        <w:t>Health insurance enrollment reached 22.03 million, up 35 percent in a year, as mandatory provisions are phased in.</w:t>
      </w:r>
      <w:hyperlink r:id="rId49">
        <w:r>
          <w:rPr>
            <w:color w:val="B31822"/>
            <w:vertAlign w:val="superscript"/>
          </w:rPr>
          <w:t xml:space="preserve">38</w:t>
        </w:r>
      </w:hyperlink>
    </w:p>
    <w:p>
      <w:pPr>
        <w:spacing w:after="60"/>
      </w:pPr>
      <w:r>
        <w:rPr>
          <w:b/>
          <w:color w:val="B31822"/>
          <w:sz w:val="20"/>
        </w:rPr>
        <w:t xml:space="preserve">2026-10-20   </w:t>
      </w:r>
      <w:r>
        <w:rPr>
          <w:sz w:val="20"/>
        </w:rPr>
        <w:t>Nigeria confirmed an imported Ebola Bundibugyo case in Abuja, and 44 contacts are being monitored.</w:t>
      </w:r>
      <w:hyperlink r:id="rId50">
        <w:r>
          <w:rPr>
            <w:color w:val="B31822"/>
            <w:vertAlign w:val="superscript"/>
          </w:rPr>
          <w:t xml:space="preserve">91,</w:t>
        </w:r>
      </w:hyperlink>
      <w:hyperlink r:id="rId51">
        <w:r>
          <w:rPr>
            <w:color w:val="B31822"/>
            <w:vertAlign w:val="superscript"/>
          </w:rPr>
          <w:t xml:space="preserve">92</w:t>
        </w:r>
      </w:hyperlink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Cedars-Sinai International   </w:t>
    </w:r>
    <w:r>
      <w:rPr>
        <w:color w:val="6E6E6E"/>
        <w:sz w:val="18"/>
      </w:rPr>
      <w:fldChar w:fldCharType="begin"/>
    </w:r>
    <w:r>
      <w:rPr>
        <w:color w:val="6E6E6E"/>
        <w:sz w:val="18"/>
      </w:rPr>
      <w:instrText xml:space="preserve"> PAGE </w:instrText>
    </w:r>
    <w:r>
      <w:rPr>
        <w:color w:val="6E6E6E"/>
        <w:sz w:val="18"/>
      </w:rPr>
      <w:fldChar w:fldCharType="separate"/>
    </w:r>
    <w:r>
      <w:rPr>
        <w:color w:val="6E6E6E"/>
        <w:sz w:val="18"/>
      </w:rPr>
      <w:t/>
    </w:r>
    <w:r>
      <w:rPr>
        <w:color w:val="6E6E6E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91F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318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https://api.worldbank.org/v2/country/NGA/indicator/SP.POP.TOTL?format=json&amp;per_page=1000&amp;date=2010:2025" TargetMode="External"/><Relationship Id="rId12" Type="http://schemas.openxmlformats.org/officeDocument/2006/relationships/hyperlink" Target="https://api.worldbank.org/v2/country/NGA/indicator/NY.GDP.PCAP.PP.CD?format=json&amp;per_page=1000&amp;date=2010:2025" TargetMode="External"/><Relationship Id="rId13" Type="http://schemas.openxmlformats.org/officeDocument/2006/relationships/hyperlink" Target="https://api.worldbank.org/v2/country/NGA/indicator/SH.XPD.CHEX.GD.ZS?format=json&amp;per_page=1000&amp;date=2010:2025" TargetMode="External"/><Relationship Id="rId14" Type="http://schemas.openxmlformats.org/officeDocument/2006/relationships/hyperlink" Target="https://api.worldbank.org/v2/country/NGA/indicator/SH.XPD.OOPC.CH.ZS?format=json&amp;per_page=1000&amp;date=2010:2025" TargetMode="External"/><Relationship Id="rId15" Type="http://schemas.openxmlformats.org/officeDocument/2006/relationships/hyperlink" Target="https://api.worldbank.org/v2/country/NGA/indicator/SH.MED.PHYS.ZS?format=json&amp;per_page=1000&amp;date=2010:2025" TargetMode="External"/><Relationship Id="rId16" Type="http://schemas.openxmlformats.org/officeDocument/2006/relationships/hyperlink" Target="https://api.worldbank.org/v2/country/NGA/indicator/SP.DYN.LE00.IN?format=json&amp;per_page=1000&amp;date=2010:2025" TargetMode="External"/><Relationship Id="rId17" Type="http://schemas.openxmlformats.org/officeDocument/2006/relationships/hyperlink" Target="https://api.worldbank.org/v2/country/NGA/indicator/SH.DYN.MORT?format=json&amp;per_page=1000&amp;date=2010:2025" TargetMode="External"/><Relationship Id="rId18" Type="http://schemas.openxmlformats.org/officeDocument/2006/relationships/hyperlink" Target="https://www.thisdaylive.com/2026/09/21/nhia-enrolment-hits-23m-expands-disease-cover/" TargetMode="External"/><Relationship Id="rId19" Type="http://schemas.openxmlformats.org/officeDocument/2006/relationships/hyperlink" Target="https://www.constituteproject.org/constitution/Nigeria_2011" TargetMode="External"/><Relationship Id="rId20" Type="http://schemas.openxmlformats.org/officeDocument/2006/relationships/hyperlink" Target="https://www.worldbank.org/en/country/nigeria/overview" TargetMode="External"/><Relationship Id="rId21" Type="http://schemas.openxmlformats.org/officeDocument/2006/relationships/hyperlink" Target="https://www.aljazeera.com/news/2023/5/29/tinubu-sworn-in-as-nigerias-president-succeeds-buhari" TargetMode="External"/><Relationship Id="rId22" Type="http://schemas.openxmlformats.org/officeDocument/2006/relationships/hyperlink" Target="https://fmino.gov.ng/?p=43744" TargetMode="External"/><Relationship Id="rId23" Type="http://schemas.openxmlformats.org/officeDocument/2006/relationships/hyperlink" Target="https://www.thisdaylive.com/2026/09/06/tinubu-eulogises-health-minister-ali-pate-at-58/" TargetMode="External"/><Relationship Id="rId24" Type="http://schemas.openxmlformats.org/officeDocument/2006/relationships/hyperlink" Target="https://oxfordbusinessgroup.com/report-article/nigeria-health-care-overview/" TargetMode="External"/><Relationship Id="rId25" Type="http://schemas.openxmlformats.org/officeDocument/2006/relationships/hyperlink" Target="https://nairametrics.com/2026/10/15/nigerias-inflation-drops-to-14-63-in-september-2026-nbs/" TargetMode="External"/><Relationship Id="rId26" Type="http://schemas.openxmlformats.org/officeDocument/2006/relationships/hyperlink" Target="https://api.worldbank.org/v2/country/NGA/indicator/SP.POP.0014.TO.ZS?format=json&amp;per_page=1000&amp;date=2010:2025" TargetMode="External"/><Relationship Id="rId27" Type="http://schemas.openxmlformats.org/officeDocument/2006/relationships/hyperlink" Target="https://businessday.ng/?p=1077860" TargetMode="External"/><Relationship Id="rId28" Type="http://schemas.openxmlformats.org/officeDocument/2006/relationships/hyperlink" Target="https://api.worldbank.org/v2/country/NGA/indicator/SH.DTH.COMM.ZS?format=json&amp;per_page=1000&amp;date=2010:2025" TargetMode="External"/><Relationship Id="rId29" Type="http://schemas.openxmlformats.org/officeDocument/2006/relationships/hyperlink" Target="https://api.worldbank.org/v2/country/NGA/indicator/SH.DTH.NCOM.ZS?format=json&amp;per_page=1000&amp;date=2010:2025" TargetMode="External"/><Relationship Id="rId30" Type="http://schemas.openxmlformats.org/officeDocument/2006/relationships/hyperlink" Target="https://api.worldbank.org/v2/country/GHA;KEN;EGY;ETH;ZAF/indicator/SH.XPD.CHEX.GD.ZS?format=json&amp;per_page=1000&amp;date=2023:2023" TargetMode="External"/><Relationship Id="rId31" Type="http://schemas.openxmlformats.org/officeDocument/2006/relationships/hyperlink" Target="https://nannews.ng/u-s-signs-5-1bn-bilateral-healthcare-cooperation-with-nigeria/" TargetMode="External"/><Relationship Id="rId32" Type="http://schemas.openxmlformats.org/officeDocument/2006/relationships/image" Target="media/image2.png"/><Relationship Id="rId33" Type="http://schemas.openxmlformats.org/officeDocument/2006/relationships/hyperlink" Target="https://api.worldbank.org/v2/country/NGA/indicator/SH.XPD.CHEX.GD.ZS?format=json&amp;per_page=1000&amp;date=2012:2023" TargetMode="External"/><Relationship Id="rId34" Type="http://schemas.openxmlformats.org/officeDocument/2006/relationships/hyperlink" Target="https://api.worldbank.org/v2/country/NGA/indicator/SH.XPD.OOPC.CH.ZS?format=json&amp;per_page=1000&amp;date=2012:2023" TargetMode="External"/><Relationship Id="rId35" Type="http://schemas.openxmlformats.org/officeDocument/2006/relationships/image" Target="media/image3.png"/><Relationship Id="rId36" Type="http://schemas.openxmlformats.org/officeDocument/2006/relationships/hyperlink" Target="https://api.worldbank.org/v2/country/NGA;GHA;KEN;ZAF;EGY;ETH;SSF;WLD;GBR/indicator/SH.MED.PHYS.ZS?format=json&amp;per_page=1000&amp;date=2015:2026" TargetMode="External"/><Relationship Id="rId37" Type="http://schemas.openxmlformats.org/officeDocument/2006/relationships/hyperlink" Target="https://www.investmentmonitor.ai/real-estate/can-fdi-fix-nigerias-broken-healthcare-infrastructure" TargetMode="External"/><Relationship Id="rId38" Type="http://schemas.openxmlformats.org/officeDocument/2006/relationships/hyperlink" Target="https://www.thisdaylive.com/2024/11/25/india-firm-to-boost-nigerias-healthcare-with-100m-investment/" TargetMode="External"/><Relationship Id="rId39" Type="http://schemas.openxmlformats.org/officeDocument/2006/relationships/hyperlink" Target="https://news.med.virginia.edu/community/uva-nigeria-elevating-global-kidney-care/" TargetMode="External"/><Relationship Id="rId40" Type="http://schemas.openxmlformats.org/officeDocument/2006/relationships/hyperlink" Target="https://thesun.ng/checking-rising-medical-tourism/" TargetMode="External"/><Relationship Id="rId41" Type="http://schemas.openxmlformats.org/officeDocument/2006/relationships/image" Target="media/image4.png"/><Relationship Id="rId42" Type="http://schemas.openxmlformats.org/officeDocument/2006/relationships/hyperlink" Target="https://api.worldbank.org/v2/country/NGA/indicator/SH.XPD.PVTD.PC.CD?format=json&amp;per_page=1000&amp;date=2012:2023" TargetMode="External"/><Relationship Id="rId43" Type="http://schemas.openxmlformats.org/officeDocument/2006/relationships/image" Target="media/image5.png"/><Relationship Id="rId44" Type="http://schemas.openxmlformats.org/officeDocument/2006/relationships/hyperlink" Target="https://www.channelstv.com/2026/02/26/inec-releases-revised-election-timetable-presidential-poll-to-hold-jan-16/" TargetMode="External"/><Relationship Id="rId45" Type="http://schemas.openxmlformats.org/officeDocument/2006/relationships/hyperlink" Target="https://pmc.ncbi.nlm.nih.gov/articles/PMC12070749/" TargetMode="External"/><Relationship Id="rId46" Type="http://schemas.openxmlformats.org/officeDocument/2006/relationships/hyperlink" Target="https://businessday.ng/?p=1070527" TargetMode="External"/><Relationship Id="rId47" Type="http://schemas.openxmlformats.org/officeDocument/2006/relationships/hyperlink" Target="https://niser.gov.ng/v2/strengthening-human-capital-financing-for-productivity-and-inclusive-growth-policy-implications-of-nigerias-2026-federal-budget/" TargetMode="External"/><Relationship Id="rId48" Type="http://schemas.openxmlformats.org/officeDocument/2006/relationships/hyperlink" Target="https://www.ifc.org/en/pressroom/2026/ifc-and-nsia-to-scale-oncology-and-diagnostic-services-for-underserved-communities" TargetMode="External"/><Relationship Id="rId49" Type="http://schemas.openxmlformats.org/officeDocument/2006/relationships/hyperlink" Target="https://nannews.ng/nigerians-on-health-insurance-hit-22m-nhia/" TargetMode="External"/><Relationship Id="rId50" Type="http://schemas.openxmlformats.org/officeDocument/2006/relationships/hyperlink" Target="https://afro.who.int/countries/nigeria/news/nigeria-confirms-imported-case-ebola-bundibugyo-virus-disease" TargetMode="External"/><Relationship Id="rId51" Type="http://schemas.openxmlformats.org/officeDocument/2006/relationships/hyperlink" Target="https://www.premiumtimesng.com/health/health-news/918701-ebola-44-identified-contacts-to-stay-isolated-for-three-weeks-minist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