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India</w:t>
      </w:r>
    </w:p>
    <w:p>
      <w:r>
        <w:drawing>
          <wp:inline xmlns:a="http://schemas.openxmlformats.org/drawingml/2006/main" xmlns:pic="http://schemas.openxmlformats.org/drawingml/2006/picture">
            <wp:extent cx="6188710" cy="2784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_cover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i/>
          <w:color w:val="6E6E6E"/>
          <w:sz w:val="20"/>
        </w:rPr>
        <w:t>Executive summary of the India country profile (2026-09-24). Superscript numbers refer to the numbered sources in India_Profile_DRAFT_SOURCES.docx.</w:t>
      </w:r>
    </w:p>
    <w:p>
      <w:r>
        <w:br w:type="page"/>
      </w:r>
    </w:p>
    <w:p>
      <w:pPr>
        <w:pStyle w:val="Heading1"/>
        <w:spacing w:before="0" w:after="80"/>
      </w:pPr>
      <w:r>
        <w:t>At a Glance</w:t>
      </w:r>
    </w:p>
    <w:p>
      <w:pPr>
        <w:spacing w:before="0" w:after="80"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1.46 bn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$11,748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GDP per capita (PPP),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3.37%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spending, share of GDP, 2022-23</w:t>
            </w:r>
            <w:hyperlink r:id="rId13">
              <w:r>
                <w:rPr>
                  <w:color w:val="B31822"/>
                  <w:vertAlign w:val="superscript"/>
                </w:rPr>
                <w:t xml:space="preserve">23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43.4%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Out-of-pocket share of spending, 2022-23</w:t>
            </w:r>
            <w:hyperlink r:id="rId14">
              <w:r>
                <w:rPr>
                  <w:color w:val="B31822"/>
                  <w:vertAlign w:val="superscript"/>
                </w:rPr>
                <w:t xml:space="preserve">76</w:t>
              </w:r>
            </w:hyperlink>
          </w:p>
        </w:tc>
      </w:tr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0.95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Registered doctors per 1,000, about, 2025</w:t>
            </w:r>
            <w:hyperlink r:id="rId15">
              <w:r>
                <w:rPr>
                  <w:color w:val="B31822"/>
                  <w:vertAlign w:val="superscript"/>
                </w:rPr>
                <w:t xml:space="preserve">80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132.5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PM-JAY admissions funded, 8 years to 2026</w:t>
            </w:r>
            <w:hyperlink r:id="rId16">
              <w:r>
                <w:rPr>
                  <w:color w:val="B31822"/>
                  <w:vertAlign w:val="superscript"/>
                </w:rPr>
                <w:t xml:space="preserve">56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64.6%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Private share of urban admissions, 2025</w:t>
            </w:r>
            <w:hyperlink r:id="rId17">
              <w:r>
                <w:rPr>
                  <w:color w:val="B31822"/>
                  <w:vertAlign w:val="superscript"/>
                </w:rPr>
                <w:t xml:space="preserve">61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644,000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Medical-purpose arrivals, 2024</w:t>
            </w:r>
            <w:hyperlink r:id="rId18">
              <w:r>
                <w:rPr>
                  <w:color w:val="B31822"/>
                  <w:vertAlign w:val="superscript"/>
                </w:rPr>
                <w:t xml:space="preserve">104</w:t>
              </w:r>
            </w:hyperlink>
          </w:p>
        </w:tc>
      </w:tr>
    </w:tbl>
    <w:p>
      <w:pPr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spacing w:after="60"/>
      </w:pPr>
      <w:r>
        <w:rPr>
          <w:sz w:val="21"/>
        </w:rPr>
        <w:t>Two-tier market: PM-JAY rates anchor mass care; a smaller paying and international segment sustains premium care.</w:t>
      </w:r>
      <w:hyperlink r:id="rId19">
        <w:r>
          <w:rPr>
            <w:color w:val="B31822"/>
            <w:vertAlign w:val="superscript"/>
          </w:rPr>
          <w:t xml:space="preserve">59</w:t>
        </w:r>
      </w:hyperlink>
      <w:hyperlink r:id="rId16">
        <w:r>
          <w:rPr>
            <w:color w:val="B31822"/>
            <w:vertAlign w:val="superscript"/>
          </w:rPr>
          <w:t xml:space="preserve">56</w:t>
        </w:r>
      </w:hyperlink>
    </w:p>
    <w:p>
      <w:pPr>
        <w:pStyle w:val="ListBullet"/>
        <w:spacing w:after="60"/>
      </w:pPr>
      <w:r>
        <w:rPr>
          <w:sz w:val="21"/>
        </w:rPr>
        <w:t>Mount Sinai's exclusive Ramaiah collaboration, reportedly 10 years, is CSI's closest peer model.</w:t>
      </w:r>
      <w:hyperlink r:id="rId20">
        <w:r>
          <w:rPr>
            <w:color w:val="B31822"/>
            <w:vertAlign w:val="superscript"/>
          </w:rPr>
          <w:t xml:space="preserve">122</w:t>
        </w:r>
      </w:hyperlink>
      <w:hyperlink r:id="rId21">
        <w:r>
          <w:rPr>
            <w:color w:val="B31822"/>
            <w:vertAlign w:val="superscript"/>
          </w:rPr>
          <w:t xml:space="preserve">124</w:t>
        </w:r>
      </w:hyperlink>
    </w:p>
    <w:p>
      <w:pPr>
        <w:pStyle w:val="ListBullet"/>
        <w:spacing w:after="60"/>
      </w:pPr>
      <w:r>
        <w:rPr>
          <w:sz w:val="21"/>
        </w:rPr>
        <w:t>Private chains are the likeliest commercial partners; state governments are often the counterparty.</w:t>
      </w:r>
      <w:hyperlink r:id="rId22">
        <w:r>
          <w:rPr>
            <w:color w:val="B31822"/>
            <w:vertAlign w:val="superscript"/>
          </w:rPr>
          <w:t xml:space="preserve">72</w:t>
        </w:r>
      </w:hyperlink>
      <w:hyperlink r:id="rId23">
        <w:r>
          <w:rPr>
            <w:color w:val="B31822"/>
            <w:vertAlign w:val="superscript"/>
          </w:rPr>
          <w:t xml:space="preserve">24</w:t>
        </w:r>
      </w:hyperlink>
    </w:p>
    <w:p>
      <w:pPr>
        <w:pStyle w:val="ListBullet"/>
        <w:spacing w:after="60"/>
      </w:pPr>
      <w:r>
        <w:rPr>
          <w:sz w:val="21"/>
        </w:rPr>
        <w:t>Workforce training, from nursing to leadership, is one of the clearest openings.</w:t>
      </w:r>
      <w:hyperlink r:id="rId15">
        <w:r>
          <w:rPr>
            <w:color w:val="B31822"/>
            <w:vertAlign w:val="superscript"/>
          </w:rPr>
          <w:t xml:space="preserve">80</w:t>
        </w:r>
      </w:hyperlink>
      <w:hyperlink r:id="rId24">
        <w:r>
          <w:rPr>
            <w:color w:val="B31822"/>
            <w:vertAlign w:val="superscript"/>
          </w:rPr>
          <w:t xml:space="preserve">83</w:t>
        </w:r>
      </w:hyperlink>
    </w:p>
    <w:p>
      <w:r>
        <w:br w:type="page"/>
      </w:r>
    </w:p>
    <w:p>
      <w:pPr>
        <w:pStyle w:val="Heading1"/>
        <w:spacing w:before="0" w:after="80"/>
      </w:pPr>
      <w:r>
        <w:t>Health System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States run delivery, from 1,81,873 Ayushman Arogya Mandirs to AIIMS and Tata Memorial Centre.</w:t>
      </w:r>
      <w:hyperlink r:id="rId25">
        <w:r>
          <w:rPr>
            <w:color w:val="B31822"/>
            <w:vertAlign w:val="superscript"/>
          </w:rPr>
          <w:t xml:space="preserve">2</w:t>
        </w:r>
      </w:hyperlink>
      <w:hyperlink r:id="rId26">
        <w:r>
          <w:rPr>
            <w:color w:val="B31822"/>
            <w:vertAlign w:val="superscript"/>
          </w:rPr>
          <w:t xml:space="preserve">53</w:t>
        </w:r>
      </w:hyperlink>
    </w:p>
    <w:p>
      <w:pPr>
        <w:pStyle w:val="ListBullet"/>
        <w:spacing w:after="60"/>
      </w:pPr>
      <w:r>
        <w:rPr>
          <w:sz w:val="21"/>
        </w:rPr>
        <w:t>Government health spending was 1.48% of GDP in 2022-23, short of the 2.5% target.</w:t>
      </w:r>
      <w:hyperlink r:id="rId13">
        <w:r>
          <w:rPr>
            <w:color w:val="B31822"/>
            <w:vertAlign w:val="superscript"/>
          </w:rPr>
          <w:t xml:space="preserve">23</w:t>
        </w:r>
      </w:hyperlink>
      <w:hyperlink r:id="rId27">
        <w:r>
          <w:rPr>
            <w:color w:val="B31822"/>
            <w:vertAlign w:val="superscript"/>
          </w:rPr>
          <w:t xml:space="preserve">78</w:t>
        </w:r>
      </w:hyperlink>
    </w:p>
    <w:p>
      <w:pPr>
        <w:pStyle w:val="ListBullet"/>
        <w:spacing w:after="60"/>
      </w:pPr>
      <w:r>
        <w:rPr>
          <w:sz w:val="21"/>
        </w:rPr>
        <w:t>Under one registered doctor and 0.6 public beds per 1,000; rural centers lacked 79.9% of specialists in 2023.</w:t>
      </w:r>
      <w:hyperlink r:id="rId15">
        <w:r>
          <w:rPr>
            <w:color w:val="B31822"/>
            <w:vertAlign w:val="superscript"/>
          </w:rPr>
          <w:t xml:space="preserve">80</w:t>
        </w:r>
      </w:hyperlink>
      <w:hyperlink r:id="rId28">
        <w:r>
          <w:rPr>
            <w:color w:val="B31822"/>
            <w:vertAlign w:val="superscript"/>
          </w:rPr>
          <w:t xml:space="preserve">55</w:t>
        </w:r>
      </w:hyperlink>
      <w:hyperlink r:id="rId29">
        <w:r>
          <w:rPr>
            <w:color w:val="B31822"/>
            <w:vertAlign w:val="superscript"/>
          </w:rPr>
          <w:t xml:space="preserve">89</w:t>
        </w:r>
      </w:hyperlink>
    </w:p>
    <w:p>
      <w:pPr>
        <w:spacing w:before="160" w:after="40"/>
      </w:pPr>
      <w:r>
        <w:rPr>
          <w:b/>
          <w:sz w:val="21"/>
        </w:rPr>
        <w:t>Who pays for health care: share of total health spending</w:t>
      </w:r>
    </w:p>
    <w:p>
      <w:r>
        <w:drawing>
          <wp:inline xmlns:a="http://schemas.openxmlformats.org/drawingml/2006/main" xmlns:pic="http://schemas.openxmlformats.org/drawingml/2006/picture">
            <wp:extent cx="5580000" cy="24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National Health Accounts. In between, the out-of-pocket share dipped to 39.4% in COVID-affected 2021-22 before rising again once emergency government spending ended. Sources: </w:t>
      </w:r>
      <w:hyperlink r:id="rId14">
        <w:r>
          <w:rPr>
            <w:color w:val="B31822"/>
            <w:vertAlign w:val="superscript"/>
          </w:rPr>
          <w:t xml:space="preserve">76,</w:t>
        </w:r>
      </w:hyperlink>
      <w:hyperlink r:id="rId31">
        <w:r>
          <w:rPr>
            <w:color w:val="B31822"/>
            <w:vertAlign w:val="superscript"/>
          </w:rPr>
          <w:t xml:space="preserve">75</w:t>
        </w:r>
      </w:hyperlink>
    </w:p>
    <w:p>
      <w:pPr>
        <w:spacing w:before="160" w:after="40"/>
      </w:pPr>
      <w:r>
        <w:rPr>
          <w:b/>
          <w:sz w:val="21"/>
        </w:rPr>
        <w:t>Health workforce and beds per 1,000 people: India vs OECD average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India: registered allopathic doctors (fewer are active) and registered nursing personnel, 2025; beds counts public facilities only, March 2023. OECD: averages from Health at a Glance 2025. Sources: </w:t>
      </w:r>
      <w:hyperlink r:id="rId15">
        <w:r>
          <w:rPr>
            <w:color w:val="B31822"/>
            <w:vertAlign w:val="superscript"/>
          </w:rPr>
          <w:t xml:space="preserve">80,</w:t>
        </w:r>
      </w:hyperlink>
      <w:hyperlink r:id="rId11">
        <w:r>
          <w:rPr>
            <w:color w:val="B31822"/>
            <w:vertAlign w:val="superscript"/>
          </w:rPr>
          <w:t xml:space="preserve">3,</w:t>
        </w:r>
      </w:hyperlink>
      <w:hyperlink r:id="rId24">
        <w:r>
          <w:rPr>
            <w:color w:val="B31822"/>
            <w:vertAlign w:val="superscript"/>
          </w:rPr>
          <w:t xml:space="preserve">83,</w:t>
        </w:r>
      </w:hyperlink>
      <w:hyperlink r:id="rId33">
        <w:r>
          <w:rPr>
            <w:color w:val="B31822"/>
            <w:vertAlign w:val="superscript"/>
          </w:rPr>
          <w:t xml:space="preserve">84,</w:t>
        </w:r>
      </w:hyperlink>
      <w:hyperlink r:id="rId28">
        <w:r>
          <w:rPr>
            <w:color w:val="B31822"/>
            <w:vertAlign w:val="superscript"/>
          </w:rPr>
          <w:t xml:space="preserve">55,</w:t>
        </w:r>
      </w:hyperlink>
      <w:hyperlink r:id="rId34">
        <w:r>
          <w:rPr>
            <w:color w:val="B31822"/>
            <w:vertAlign w:val="superscript"/>
          </w:rPr>
          <w:t xml:space="preserve">86,</w:t>
        </w:r>
      </w:hyperlink>
      <w:hyperlink r:id="rId35">
        <w:r>
          <w:rPr>
            <w:color w:val="B31822"/>
            <w:vertAlign w:val="superscript"/>
          </w:rPr>
          <w:t xml:space="preserve">87,</w:t>
        </w:r>
      </w:hyperlink>
      <w:hyperlink r:id="rId36">
        <w:r>
          <w:rPr>
            <w:color w:val="B31822"/>
            <w:vertAlign w:val="superscript"/>
          </w:rPr>
          <w:t xml:space="preserve">88</w:t>
        </w:r>
      </w:hyperlink>
    </w:p>
    <w:p>
      <w:r>
        <w:br w:type="page"/>
      </w:r>
    </w:p>
    <w:p>
      <w:pPr>
        <w:pStyle w:val="Heading1"/>
        <w:spacing w:before="0" w:after="80"/>
      </w:pPr>
      <w:r>
        <w:t>Market and Competition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Manipal (13,037 licensed beds), Apollo (10,970, including overseas) and Aster DM Quality Care (over 10,600) lead.</w:t>
      </w:r>
      <w:hyperlink r:id="rId37">
        <w:r>
          <w:rPr>
            <w:color w:val="B31822"/>
            <w:vertAlign w:val="superscript"/>
          </w:rPr>
          <w:t xml:space="preserve">62</w:t>
        </w:r>
      </w:hyperlink>
      <w:hyperlink r:id="rId38">
        <w:r>
          <w:rPr>
            <w:color w:val="B31822"/>
            <w:vertAlign w:val="superscript"/>
          </w:rPr>
          <w:t xml:space="preserve">64</w:t>
        </w:r>
      </w:hyperlink>
      <w:hyperlink r:id="rId39">
        <w:r>
          <w:rPr>
            <w:color w:val="B31822"/>
            <w:vertAlign w:val="superscript"/>
          </w:rPr>
          <w:t xml:space="preserve">67</w:t>
        </w:r>
      </w:hyperlink>
    </w:p>
    <w:p>
      <w:pPr>
        <w:pStyle w:val="ListBullet"/>
        <w:spacing w:after="60"/>
      </w:pPr>
      <w:r>
        <w:rPr>
          <w:sz w:val="21"/>
        </w:rPr>
        <w:t>Capital: Manipal's Rs 9,275 crore IPO, Blackstone in Aster, KKR's pending Medicover deal, IHH controlling Fortis.</w:t>
      </w:r>
      <w:hyperlink r:id="rId40">
        <w:r>
          <w:rPr>
            <w:color w:val="B31822"/>
            <w:vertAlign w:val="superscript"/>
          </w:rPr>
          <w:t xml:space="preserve">63</w:t>
        </w:r>
      </w:hyperlink>
      <w:hyperlink r:id="rId41">
        <w:r>
          <w:rPr>
            <w:color w:val="B31822"/>
            <w:vertAlign w:val="superscript"/>
          </w:rPr>
          <w:t xml:space="preserve">66</w:t>
        </w:r>
      </w:hyperlink>
      <w:hyperlink r:id="rId42">
        <w:r>
          <w:rPr>
            <w:color w:val="B31822"/>
            <w:vertAlign w:val="superscript"/>
          </w:rPr>
          <w:t xml:space="preserve">74</w:t>
        </w:r>
      </w:hyperlink>
      <w:hyperlink r:id="rId43">
        <w:r>
          <w:rPr>
            <w:color w:val="B31822"/>
            <w:vertAlign w:val="superscript"/>
          </w:rPr>
          <w:t xml:space="preserve">71</w:t>
        </w:r>
      </w:hyperlink>
    </w:p>
    <w:p>
      <w:pPr>
        <w:pStyle w:val="ListBullet"/>
        <w:spacing w:after="60"/>
      </w:pPr>
      <w:r>
        <w:rPr>
          <w:sz w:val="21"/>
        </w:rPr>
        <w:t>Cleveland Clinic anchors Navi Mumbai MediCity under an MoU; Mayo advises Adani's two Health Cities.</w:t>
      </w:r>
      <w:hyperlink r:id="rId44">
        <w:r>
          <w:rPr>
            <w:color w:val="B31822"/>
            <w:vertAlign w:val="superscript"/>
          </w:rPr>
          <w:t xml:space="preserve">103</w:t>
        </w:r>
      </w:hyperlink>
      <w:hyperlink r:id="rId45">
        <w:r>
          <w:rPr>
            <w:color w:val="B31822"/>
            <w:vertAlign w:val="superscript"/>
          </w:rPr>
          <w:t xml:space="preserve">100</w:t>
        </w:r>
      </w:hyperlink>
    </w:p>
    <w:p>
      <w:pPr>
        <w:spacing w:before="160" w:after="40"/>
      </w:pPr>
      <w:r>
        <w:rPr>
          <w:b/>
          <w:sz w:val="21"/>
        </w:rPr>
        <w:t>Largest private hospital groups by beds, 2026</w:t>
      </w:r>
    </w:p>
    <w:p>
      <w:r>
        <w:drawing>
          <wp:inline xmlns:a="http://schemas.openxmlformats.org/drawingml/2006/main" xmlns:pic="http://schemas.openxmlformats.org/drawingml/2006/picture">
            <wp:extent cx="5580000" cy="226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Definitions differ: Manipal licensed beds and Max operational beds (31 March 2026); *Apollo includes managed and overseas hospitals and day-surgery units (March 2026); Aster DM Quality Care after its July 2026 merger; Medicover India is being acquired by KKR. Sources: </w:t>
      </w:r>
      <w:hyperlink r:id="rId37">
        <w:r>
          <w:rPr>
            <w:color w:val="B31822"/>
            <w:vertAlign w:val="superscript"/>
          </w:rPr>
          <w:t xml:space="preserve">62,</w:t>
        </w:r>
      </w:hyperlink>
      <w:hyperlink r:id="rId40">
        <w:r>
          <w:rPr>
            <w:color w:val="B31822"/>
            <w:vertAlign w:val="superscript"/>
          </w:rPr>
          <w:t xml:space="preserve">63,</w:t>
        </w:r>
      </w:hyperlink>
      <w:hyperlink r:id="rId38">
        <w:r>
          <w:rPr>
            <w:color w:val="B31822"/>
            <w:vertAlign w:val="superscript"/>
          </w:rPr>
          <w:t xml:space="preserve">64,</w:t>
        </w:r>
      </w:hyperlink>
      <w:hyperlink r:id="rId47">
        <w:r>
          <w:rPr>
            <w:color w:val="B31822"/>
            <w:vertAlign w:val="superscript"/>
          </w:rPr>
          <w:t xml:space="preserve">65,</w:t>
        </w:r>
      </w:hyperlink>
      <w:hyperlink r:id="rId41">
        <w:r>
          <w:rPr>
            <w:color w:val="B31822"/>
            <w:vertAlign w:val="superscript"/>
          </w:rPr>
          <w:t xml:space="preserve">66,</w:t>
        </w:r>
      </w:hyperlink>
      <w:hyperlink r:id="rId39">
        <w:r>
          <w:rPr>
            <w:color w:val="B31822"/>
            <w:vertAlign w:val="superscript"/>
          </w:rPr>
          <w:t xml:space="preserve">67,</w:t>
        </w:r>
      </w:hyperlink>
      <w:hyperlink r:id="rId48">
        <w:r>
          <w:rPr>
            <w:color w:val="B31822"/>
            <w:vertAlign w:val="superscript"/>
          </w:rPr>
          <w:t xml:space="preserve">68,</w:t>
        </w:r>
      </w:hyperlink>
      <w:hyperlink r:id="rId49">
        <w:r>
          <w:rPr>
            <w:color w:val="B31822"/>
            <w:vertAlign w:val="superscript"/>
          </w:rPr>
          <w:t xml:space="preserve">69,</w:t>
        </w:r>
      </w:hyperlink>
      <w:hyperlink r:id="rId50">
        <w:r>
          <w:rPr>
            <w:color w:val="B31822"/>
            <w:vertAlign w:val="superscript"/>
          </w:rPr>
          <w:t xml:space="preserve">70,</w:t>
        </w:r>
      </w:hyperlink>
      <w:hyperlink r:id="rId42">
        <w:r>
          <w:rPr>
            <w:color w:val="B31822"/>
            <w:vertAlign w:val="superscript"/>
          </w:rPr>
          <w:t xml:space="preserve">74,</w:t>
        </w:r>
      </w:hyperlink>
      <w:hyperlink r:id="rId51">
        <w:r>
          <w:rPr>
            <w:color w:val="B31822"/>
            <w:vertAlign w:val="superscript"/>
          </w:rPr>
          <w:t xml:space="preserve">137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US academic medical centers in India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US institution</w:t>
            </w:r>
          </w:p>
        </w:tc>
        <w:tc>
          <w:tcPr>
            <w:tcW w:type="dxa" w:w="3402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Partner in India</w:t>
            </w:r>
          </w:p>
        </w:tc>
        <w:tc>
          <w:tcPr>
            <w:tcW w:type="dxa" w:w="3969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Mayo Clinic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AIG, Lilavati, Adani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2019, 2025; not 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Cleveland Clinic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Maharashtra, Brookfield, Arodhan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MoU signed June 2026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Johns Hopkins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HCL; IIT Bombay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2014, 2023; not 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Memorial Sloan Kettering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iCliniq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2021; not 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MD Anderson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Tata Memorial Hospital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Sister agreement 2003; ECHO partner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Mount Sinai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Ramaiah Memorial Hospital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July 2024; 10-year term reported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UCLA Health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Narendra Modi Medical College; AIIMS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2024; department level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NewYork-Presbyterian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Emergency services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2007, 2008; none currently listed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UPMC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TeleChikitsa; Citizens Hospital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2014; not 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Mass General Brigham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Wockhardt Hospitals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About 2001; not confirmed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sz w:val="18"/>
              </w:rPr>
              <w:t>Houston Methodist; Northwestern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  <w:t>None identified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None listed</w:t>
            </w:r>
          </w:p>
        </w:tc>
      </w:tr>
    </w:tbl>
    <w:p>
      <w:pPr>
        <w:spacing w:before="120"/>
      </w:pPr>
      <w:r>
        <w:rPr>
          <w:sz w:val="20"/>
        </w:rPr>
        <w:t>US ties are mostly advisory, network or education deals, not ownership; several are less visible than headlines suggest.</w:t>
      </w:r>
    </w:p>
    <w:p>
      <w:r>
        <w:br w:type="page"/>
      </w:r>
    </w:p>
    <w:p>
      <w:pPr>
        <w:pStyle w:val="Heading1"/>
        <w:spacing w:before="0" w:after="80"/>
      </w:pPr>
      <w:r>
        <w:t>Opportunities and Risks for CSI</w:t>
      </w:r>
    </w:p>
    <w:p>
      <w:pPr>
        <w:spacing w:before="0" w:after="80"/>
        <w:pBdr>
          <w:bottom w:val="single" w:sz="12" w:space="1" w:color="D91F2C"/>
        </w:pBdr>
      </w:pPr>
    </w:p>
    <w:p>
      <w:pPr>
        <w:spacing w:before="160" w:after="60"/>
      </w:pPr>
      <w:r>
        <w:rPr>
          <w:b/>
          <w:color w:val="B31822"/>
          <w:sz w:val="24"/>
        </w:rPr>
        <w:t>Opportunities</w:t>
      </w:r>
    </w:p>
    <w:p>
      <w:pPr>
        <w:pStyle w:val="ListBullet"/>
        <w:spacing w:after="60"/>
      </w:pPr>
      <w:r>
        <w:rPr>
          <w:sz w:val="21"/>
        </w:rPr>
        <w:t>Nursing, fellowship and allied-health training, backing budget plans for 1 lakh more allied health professionals.</w:t>
      </w:r>
      <w:hyperlink r:id="rId24">
        <w:r>
          <w:rPr>
            <w:color w:val="B31822"/>
            <w:vertAlign w:val="superscript"/>
          </w:rPr>
          <w:t xml:space="preserve">83</w:t>
        </w:r>
      </w:hyperlink>
      <w:hyperlink r:id="rId52">
        <w:r>
          <w:rPr>
            <w:color w:val="B31822"/>
            <w:vertAlign w:val="superscript"/>
          </w:rPr>
          <w:t xml:space="preserve">36</w:t>
        </w:r>
      </w:hyperlink>
    </w:p>
    <w:p>
      <w:pPr>
        <w:pStyle w:val="ListBullet"/>
        <w:spacing w:after="60"/>
      </w:pPr>
      <w:r>
        <w:rPr>
          <w:sz w:val="21"/>
        </w:rPr>
        <w:t>Affiliations, second-opinion services and clinical program development with corporate hospital chains.</w:t>
      </w:r>
      <w:hyperlink r:id="rId37">
        <w:r>
          <w:rPr>
            <w:color w:val="B31822"/>
            <w:vertAlign w:val="superscript"/>
          </w:rPr>
          <w:t xml:space="preserve">62</w:t>
        </w:r>
      </w:hyperlink>
      <w:hyperlink r:id="rId22">
        <w:r>
          <w:rPr>
            <w:color w:val="B31822"/>
            <w:vertAlign w:val="superscript"/>
          </w:rPr>
          <w:t xml:space="preserve">72</w:t>
        </w:r>
      </w:hyperlink>
    </w:p>
    <w:p>
      <w:pPr>
        <w:pStyle w:val="ListBullet"/>
        <w:spacing w:after="60"/>
      </w:pPr>
      <w:r>
        <w:rPr>
          <w:sz w:val="21"/>
        </w:rPr>
        <w:t>Cardiology, oncology, metabolic and transplant care in the aging south, west and National Capital Region.</w:t>
      </w:r>
      <w:hyperlink r:id="rId53">
        <w:r>
          <w:rPr>
            <w:color w:val="B31822"/>
            <w:vertAlign w:val="superscript"/>
          </w:rPr>
          <w:t xml:space="preserve">15</w:t>
        </w:r>
      </w:hyperlink>
      <w:hyperlink r:id="rId54">
        <w:r>
          <w:rPr>
            <w:color w:val="B31822"/>
            <w:vertAlign w:val="superscript"/>
          </w:rPr>
          <w:t xml:space="preserve">37</w:t>
        </w:r>
      </w:hyperlink>
      <w:hyperlink r:id="rId55">
        <w:r>
          <w:rPr>
            <w:color w:val="B31822"/>
            <w:vertAlign w:val="superscript"/>
          </w:rPr>
          <w:t xml:space="preserve">43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spacing w:after="60"/>
      </w:pPr>
      <w:r>
        <w:rPr>
          <w:sz w:val="21"/>
        </w:rPr>
        <w:t>Medical arrivals fell from 6.97 lakh in 2019 to 6.44 lakh in 2024; Bangladesh, the top source, faced visa limits.</w:t>
      </w:r>
      <w:hyperlink r:id="rId18">
        <w:r>
          <w:rPr>
            <w:color w:val="B31822"/>
            <w:vertAlign w:val="superscript"/>
          </w:rPr>
          <w:t xml:space="preserve">104</w:t>
        </w:r>
      </w:hyperlink>
      <w:hyperlink r:id="rId56">
        <w:r>
          <w:rPr>
            <w:color w:val="B31822"/>
            <w:vertAlign w:val="superscript"/>
          </w:rPr>
          <w:t xml:space="preserve">106</w:t>
        </w:r>
      </w:hyperlink>
    </w:p>
    <w:p>
      <w:pPr>
        <w:pStyle w:val="ListBullet"/>
        <w:spacing w:after="60"/>
      </w:pPr>
      <w:r>
        <w:rPr>
          <w:sz w:val="21"/>
        </w:rPr>
        <w:t>A 2026 US law allows tariffs up to 100% on the largest Russian energy buyers; generics face Section 232 review.</w:t>
      </w:r>
      <w:hyperlink r:id="rId57">
        <w:r>
          <w:rPr>
            <w:color w:val="B31822"/>
            <w:vertAlign w:val="superscript"/>
          </w:rPr>
          <w:t xml:space="preserve">33</w:t>
        </w:r>
      </w:hyperlink>
      <w:hyperlink r:id="rId58">
        <w:r>
          <w:rPr>
            <w:color w:val="B31822"/>
            <w:vertAlign w:val="superscript"/>
          </w:rPr>
          <w:t xml:space="preserve">31</w:t>
        </w:r>
      </w:hyperlink>
    </w:p>
    <w:p>
      <w:pPr>
        <w:pStyle w:val="ListBullet"/>
        <w:spacing w:after="60"/>
      </w:pPr>
      <w:r>
        <w:rPr>
          <w:sz w:val="21"/>
        </w:rPr>
        <w:t>Thin public funding and staffing; PM-JAY tariffs set the price floor for private partners.</w:t>
      </w:r>
      <w:hyperlink r:id="rId13">
        <w:r>
          <w:rPr>
            <w:color w:val="B31822"/>
            <w:vertAlign w:val="superscript"/>
          </w:rPr>
          <w:t xml:space="preserve">23</w:t>
        </w:r>
      </w:hyperlink>
      <w:hyperlink r:id="rId29">
        <w:r>
          <w:rPr>
            <w:color w:val="B31822"/>
            <w:vertAlign w:val="superscript"/>
          </w:rPr>
          <w:t xml:space="preserve">89</w:t>
        </w:r>
      </w:hyperlink>
      <w:hyperlink r:id="rId16">
        <w:r>
          <w:rPr>
            <w:color w:val="B31822"/>
            <w:vertAlign w:val="superscript"/>
          </w:rPr>
          <w:t xml:space="preserve">56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spacing w:after="60"/>
      </w:pPr>
      <w:r>
        <w:rPr>
          <w:b/>
          <w:color w:val="B31822"/>
          <w:sz w:val="20"/>
        </w:rPr>
        <w:t xml:space="preserve">2026-06-10   </w:t>
      </w:r>
      <w:r>
        <w:rPr>
          <w:sz w:val="20"/>
        </w:rPr>
        <w:t>Maharashtra's MoU names Cleveland Clinic anchor of planned US$1.2 billion Navi Mumbai MediCity.</w:t>
      </w:r>
      <w:hyperlink r:id="rId23">
        <w:r>
          <w:rPr>
            <w:color w:val="B31822"/>
            <w:vertAlign w:val="superscript"/>
          </w:rPr>
          <w:t xml:space="preserve">24</w:t>
        </w:r>
      </w:hyperlink>
      <w:r>
        <w:rPr>
          <w:sz w:val="20"/>
        </w:rPr>
      </w:r>
      <w:hyperlink r:id="rId44">
        <w:r>
          <w:rPr>
            <w:color w:val="B31822"/>
            <w:vertAlign w:val="superscript"/>
          </w:rPr>
          <w:t xml:space="preserve">103</w:t>
        </w:r>
      </w:hyperlink>
      <w:r>
        <w:rPr>
          <w:sz w:val="20"/>
        </w:rPr>
      </w:r>
    </w:p>
    <w:p>
      <w:pPr>
        <w:spacing w:after="60"/>
      </w:pPr>
      <w:r>
        <w:rPr>
          <w:b/>
          <w:color w:val="B31822"/>
          <w:sz w:val="20"/>
        </w:rPr>
        <w:t xml:space="preserve">2026-08-06   </w:t>
      </w:r>
      <w:r>
        <w:rPr>
          <w:sz w:val="20"/>
        </w:rPr>
        <w:t>KKR agreed to buy Medicover India's 24 hospitals; closing expected fourth quarter 2026.</w:t>
      </w:r>
      <w:hyperlink r:id="rId42">
        <w:r>
          <w:rPr>
            <w:color w:val="B31822"/>
            <w:vertAlign w:val="superscript"/>
          </w:rPr>
          <w:t xml:space="preserve">74</w:t>
        </w:r>
      </w:hyperlink>
      <w:r>
        <w:rPr>
          <w:sz w:val="20"/>
        </w:rPr>
      </w:r>
      <w:hyperlink r:id="rId51">
        <w:r>
          <w:rPr>
            <w:color w:val="B31822"/>
            <w:vertAlign w:val="superscript"/>
          </w:rPr>
          <w:t xml:space="preserve">137</w:t>
        </w:r>
      </w:hyperlink>
      <w:r>
        <w:rPr>
          <w:sz w:val="20"/>
        </w:rPr>
      </w:r>
    </w:p>
    <w:p>
      <w:pPr>
        <w:spacing w:after="60"/>
      </w:pPr>
      <w:r>
        <w:rPr>
          <w:b/>
          <w:color w:val="B31822"/>
          <w:sz w:val="20"/>
        </w:rPr>
        <w:t xml:space="preserve">2026-09-23   </w:t>
      </w:r>
      <w:r>
        <w:rPr>
          <w:sz w:val="20"/>
        </w:rPr>
        <w:t>PM-JAY turned eight: 13.25 crore funded admissions at over 38,000 empaneled hospitals.</w:t>
      </w:r>
      <w:hyperlink r:id="rId16">
        <w:r>
          <w:rPr>
            <w:color w:val="B31822"/>
            <w:vertAlign w:val="superscript"/>
          </w:rPr>
          <w:t xml:space="preserve">56</w:t>
        </w:r>
      </w:hyperlink>
      <w:r>
        <w:rPr>
          <w:sz w:val="20"/>
        </w:rPr>
      </w:r>
      <w:hyperlink r:id="rId59">
        <w:r>
          <w:rPr>
            <w:color w:val="B31822"/>
            <w:vertAlign w:val="superscript"/>
          </w:rPr>
          <w:t xml:space="preserve">57</w:t>
        </w:r>
      </w:hyperlink>
      <w:r>
        <w:rPr>
          <w:sz w:val="20"/>
        </w:rPr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business-standard.com/markets/capital-market-news/india-s-population-estimated-to-hit-1-46-billion-in-2025-says-un-125061001170_1.html" TargetMode="External"/><Relationship Id="rId12" Type="http://schemas.openxmlformats.org/officeDocument/2006/relationships/hyperlink" Target="https://data.worldbank.org/indicator/NY.GDP.PCAP.PP.CD?locations=IN" TargetMode="External"/><Relationship Id="rId13" Type="http://schemas.openxmlformats.org/officeDocument/2006/relationships/hyperlink" Target="https://nhsrcindia.org/sites/default/files/2026-05/NHA%202022-23%20Report.pdf" TargetMode="External"/><Relationship Id="rId14" Type="http://schemas.openxmlformats.org/officeDocument/2006/relationships/hyperlink" Target="https://www.pib.gov.in/PressReleasePage.aspx?PRID=2265816&amp;lang=1&amp;reg=3" TargetMode="External"/><Relationship Id="rId15" Type="http://schemas.openxmlformats.org/officeDocument/2006/relationships/hyperlink" Target="https://www.deccanherald.com/amp/story/india%2Fdoctor-population-ratio-1811-in-india-union-health-minister-j-p-nadda-3817146" TargetMode="External"/><Relationship Id="rId16" Type="http://schemas.openxmlformats.org/officeDocument/2006/relationships/hyperlink" Target="https://www.aninews.in/news/national/politics/sankalp-for-seva8217-jp-nadda-marks-8-years-of-ayushman-bharat-pm-jay-highlights-coverage-of-over-60-crore-people20260923095824/" TargetMode="External"/><Relationship Id="rId17" Type="http://schemas.openxmlformats.org/officeDocument/2006/relationships/hyperlink" Target="https://www.orfonline.org/expert-speak/india-s-2025-national-health-survey-update-higher-access-persistent-financial-risk" TargetMode="External"/><Relationship Id="rId18" Type="http://schemas.openxmlformats.org/officeDocument/2006/relationships/hyperlink" Target="https://ddnews.gov.in/en/over-6-4-lakh-foreign-tourists-visited-india-for-medical-treatment-in-2024/" TargetMode="External"/><Relationship Id="rId19" Type="http://schemas.openxmlformats.org/officeDocument/2006/relationships/hyperlink" Target="https://www.mospi.gov.in/uploads/release_calendar/1776681150721_PRESS_NOTE_HEALTH_REVISED.pdf" TargetMode="External"/><Relationship Id="rId20" Type="http://schemas.openxmlformats.org/officeDocument/2006/relationships/hyperlink" Target="https://finance.yahoo.com/news/ramaiah-memorial-hospital-signs-long-143000744.html" TargetMode="External"/><Relationship Id="rId21" Type="http://schemas.openxmlformats.org/officeDocument/2006/relationships/hyperlink" Target="https://www.deccanherald.com/india/karnataka/bengaluru/ramaiah-memorial-inks-10-year-partnership-with-mount-sinai-health-system-of-new-york-3103995" TargetMode="External"/><Relationship Id="rId22" Type="http://schemas.openxmlformats.org/officeDocument/2006/relationships/hyperlink" Target="https://www.ey.com/en_in/newsroom/2026/07/india-healthcare-sector-records-strong-fy-26-growth-expansion-and-capacity-build-out-drive-momentum" TargetMode="External"/><Relationship Id="rId23" Type="http://schemas.openxmlformats.org/officeDocument/2006/relationships/hyperlink" Target="https://www.freepressjournal.in/mumbai/maharashtra-signs-mou-with-cleveland-clinic-and-brookfield-for-navi-mumbai-international-medicity-indias-first-global-scale-healthcare-hub" TargetMode="External"/><Relationship Id="rId24" Type="http://schemas.openxmlformats.org/officeDocument/2006/relationships/hyperlink" Target="https://thesouthfirst.com/health/south-india-leads-indias-nursing-workforce-as-national-ratio-remains-below-who-benchmark/" TargetMode="External"/><Relationship Id="rId25" Type="http://schemas.openxmlformats.org/officeDocument/2006/relationships/hyperlink" Target="https://cdnbbsr.s3waas.gov.in/s380537a945c7aaa788ccfcdf1b99b5d8f/uploads/2024/07/20240716890312078.pdf" TargetMode="External"/><Relationship Id="rId26" Type="http://schemas.openxmlformats.org/officeDocument/2006/relationships/hyperlink" Target="https://www.pib.gov.in/PressReleasePage.aspx?PRID=2210432&amp;reg=3&amp;lang=1" TargetMode="External"/><Relationship Id="rId27" Type="http://schemas.openxmlformats.org/officeDocument/2006/relationships/hyperlink" Target="https://vajiramandravi.com/upsc-exam/15th-finance-commission/" TargetMode="External"/><Relationship Id="rId28" Type="http://schemas.openxmlformats.org/officeDocument/2006/relationships/hyperlink" Target="https://www.pib.gov.in/PressReleasePage.aspx?PRID=2080071&amp;reg=48&amp;lang=2" TargetMode="External"/><Relationship Id="rId29" Type="http://schemas.openxmlformats.org/officeDocument/2006/relationships/hyperlink" Target="https://www.business-standard.com/health/rural-india-chc-s-see-nearly-80-shortfall-of-specialist-doctors-govt-rpt-124091000561_1.html" TargetMode="External"/><Relationship Id="rId30" Type="http://schemas.openxmlformats.org/officeDocument/2006/relationships/image" Target="media/image2.png"/><Relationship Id="rId31" Type="http://schemas.openxmlformats.org/officeDocument/2006/relationships/hyperlink" Target="https://theprint.in/health/as-govt-cut-health-spends-post-covid-indians-paid-more-out-of-pocket-in-2022-23-reversing-10-yr-trend/2943692/" TargetMode="External"/><Relationship Id="rId32" Type="http://schemas.openxmlformats.org/officeDocument/2006/relationships/image" Target="media/image3.png"/><Relationship Id="rId33" Type="http://schemas.openxmlformats.org/officeDocument/2006/relationships/hyperlink" Target="https://www.chennaionline.com/life/nrts-implementation-uneven-across-india/" TargetMode="External"/><Relationship Id="rId34" Type="http://schemas.openxmlformats.org/officeDocument/2006/relationships/hyperlink" Target="https://www.oecd.org/en/publications/health-at-a-glance-2025_8f9e3f98-en/full-report/doctors-overall-number-and-distribution_beb60151.html" TargetMode="External"/><Relationship Id="rId35" Type="http://schemas.openxmlformats.org/officeDocument/2006/relationships/hyperlink" Target="https://www.oecd.org/en/publications/health-at-a-glance-2025_8f9e3f98-en/full-report/nurses_00c2bcb9.html" TargetMode="External"/><Relationship Id="rId36" Type="http://schemas.openxmlformats.org/officeDocument/2006/relationships/hyperlink" Target="https://www.oecd.org/en/publications/2025/11/health-at-a-glance-2025_a894f72e/full-report/hospital-beds-and-occupancy_152d839e.html" TargetMode="External"/><Relationship Id="rId37" Type="http://schemas.openxmlformats.org/officeDocument/2006/relationships/hyperlink" Target="https://groww.in/ipo/manipal-health-enterprises-ipo" TargetMode="External"/><Relationship Id="rId38" Type="http://schemas.openxmlformats.org/officeDocument/2006/relationships/hyperlink" Target="https://www.apollohospitals.com/sites/default/files/2026-05/ahel-q4fy26-resullts-release.pdf" TargetMode="External"/><Relationship Id="rId39" Type="http://schemas.openxmlformats.org/officeDocument/2006/relationships/hyperlink" Target="https://www.healthcaremea.com/2026/07/03/aster-dm-quality-care-begins-operations-post-merger-with-over-10600-beds/" TargetMode="External"/><Relationship Id="rId40" Type="http://schemas.openxmlformats.org/officeDocument/2006/relationships/hyperlink" Target="https://www.business-standard.com/markets/news/manipal-health-share-price-lists-at-11-premium-beats-gmp-expectations-126080500123_1.html" TargetMode="External"/><Relationship Id="rId41" Type="http://schemas.openxmlformats.org/officeDocument/2006/relationships/hyperlink" Target="https://www.asterdmhealthcare.in/newsroom/detail/aster-and-blackstone-backed-quality-care-have-merged-establish-one-of-top-3-hospital-chains-india" TargetMode="External"/><Relationship Id="rId42" Type="http://schemas.openxmlformats.org/officeDocument/2006/relationships/hyperlink" Target="https://www.nasdaq.com/press-release/kkr-acquire-leading-multi-specialty-healthcare-provider-medicover-india-2026-08-06" TargetMode="External"/><Relationship Id="rId43" Type="http://schemas.openxmlformats.org/officeDocument/2006/relationships/hyperlink" Target="https://www.investywise.com/fortis-healthcare-results-of-open-offers/" TargetMode="External"/><Relationship Id="rId44" Type="http://schemas.openxmlformats.org/officeDocument/2006/relationships/hyperlink" Target="https://www.bwhealthcareworld.com/article/maharashtra-signs-1-2-billion-deal-to-develop-navi-mumbai-medicity-610344" TargetMode="External"/><Relationship Id="rId45" Type="http://schemas.openxmlformats.org/officeDocument/2006/relationships/hyperlink" Target="https://www.adani.com/newsroom/media-releases/adani-to-partner-mayo-clinic-to-establish-affordable-world-class-healthcare-facilities" TargetMode="External"/><Relationship Id="rId46" Type="http://schemas.openxmlformats.org/officeDocument/2006/relationships/image" Target="media/image4.png"/><Relationship Id="rId47" Type="http://schemas.openxmlformats.org/officeDocument/2006/relationships/hyperlink" Target="https://www.bwhealthcareworld.com/article/apollo-hospitals-q4-fy26-profit-rises-36-to-rs-529-crore-revenue-up-18-607774" TargetMode="External"/><Relationship Id="rId48" Type="http://schemas.openxmlformats.org/officeDocument/2006/relationships/hyperlink" Target="https://max-website20-images.s3.ap-south-1.amazonaws.com/SE_Intimation_Reg_30_LODR_Earnings_Update_21_05_2026_ed3cd6e592.pdf" TargetMode="External"/><Relationship Id="rId49" Type="http://schemas.openxmlformats.org/officeDocument/2006/relationships/hyperlink" Target="https://max-website20-images.s3.ap-south-1.amazonaws.com/FY_2025_26_Integrated_Annual_Report_ab5f34d431.pdf" TargetMode="External"/><Relationship Id="rId50" Type="http://schemas.openxmlformats.org/officeDocument/2006/relationships/hyperlink" Target="https://www.indianpharmapost.com/hospitals/lite/medanta-delivers-record-fy26-performance-as-revenue-surges-profit-jumps-with-expansion-20233" TargetMode="External"/><Relationship Id="rId51" Type="http://schemas.openxmlformats.org/officeDocument/2006/relationships/hyperlink" Target="https://www.tradingview.com/news/modular_finance:0f6ef34bba47c:0-medicover-divests-its-india-hospital-business-enabling-accelerated-strategy-execution-in-europe/" TargetMode="External"/><Relationship Id="rId52" Type="http://schemas.openxmlformats.org/officeDocument/2006/relationships/hyperlink" Target="https://www.business-standard.com/budget/news/govt-to-support-five-regional-medical-tourism-hubs-126020100321_1.html" TargetMode="External"/><Relationship Id="rId53" Type="http://schemas.openxmlformats.org/officeDocument/2006/relationships/hyperlink" Target="https://india.unfpa.org/en/news/india-ageing-elderly-make-20-population-2050-unfpa-report" TargetMode="External"/><Relationship Id="rId54" Type="http://schemas.openxmlformats.org/officeDocument/2006/relationships/hyperlink" Target="https://thefederal.com/health/noncommunicable-diseases-caused-66-deaths-in-india-in-2019-who" TargetMode="External"/><Relationship Id="rId55" Type="http://schemas.openxmlformats.org/officeDocument/2006/relationships/hyperlink" Target="https://risingkashmir.com/india-sees-over-15-lakh-new-cancer-cases-in-2024-health-ministry/" TargetMode="External"/><Relationship Id="rId56" Type="http://schemas.openxmlformats.org/officeDocument/2006/relationships/hyperlink" Target="https://www.businesstoday.in/india/story/indias-medical-tourism-takes-a-hit-as-patient-arrivals-from-bangladesh-plunge-amid-visa-restrictions-466418-2025-03-02" TargetMode="External"/><Relationship Id="rId57" Type="http://schemas.openxmlformats.org/officeDocument/2006/relationships/hyperlink" Target="https://sanctionsnews.bakermckenzie.com/us-president-signs-russia-and-iran-sanctions-bill-with-new-tariff-powers/" TargetMode="External"/><Relationship Id="rId58" Type="http://schemas.openxmlformats.org/officeDocument/2006/relationships/hyperlink" Target="https://www.indialaw.in/blog/us-pharma-tariffs-2026-exporters/" TargetMode="External"/><Relationship Id="rId59" Type="http://schemas.openxmlformats.org/officeDocument/2006/relationships/hyperlink" Target="https://morungexpress.com/indias-ab-pm-jay-marks-8th-anniversary-funds-1325-crore-ad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