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Germany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man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Daniel Schwen, CC BY-SA 4.0,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Germany country profile (2026-10-30). Superscript numbers refer to the numbered sources in Germany_Profile_DRAFT_SOURCES.docx.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83.5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end of 2025, about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75,400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12.27%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2024</w:t>
            </w:r>
            <w:hyperlink r:id="rId13">
              <w:r>
                <w:rPr>
                  <w:color w:val="B31822"/>
                  <w:vertAlign w:val="superscript"/>
                </w:rPr>
                <w:t xml:space="preserve">32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10.7%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2024</w:t>
            </w:r>
            <w:hyperlink r:id="rId14">
              <w:r>
                <w:rPr>
                  <w:color w:val="B31822"/>
                  <w:vertAlign w:val="superscript"/>
                </w:rPr>
                <w:t xml:space="preserve">34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4.7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OECD, 2023</w:t>
            </w:r>
            <w:hyperlink r:id="rId15">
              <w:r>
                <w:rPr>
                  <w:color w:val="B31822"/>
                  <w:vertAlign w:val="superscript"/>
                </w:rPr>
                <w:t xml:space="preserve">13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81.5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Life expectancy at birth, years, 2024</w:t>
            </w:r>
            <w:hyperlink r:id="rId15">
              <w:r>
                <w:rPr>
                  <w:color w:val="B31822"/>
                  <w:vertAlign w:val="superscript"/>
                </w:rPr>
                <w:t xml:space="preserve">13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23.7%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 aged 65 and over, 2025</w:t>
            </w:r>
            <w:hyperlink r:id="rId16">
              <w:r>
                <w:rPr>
                  <w:color w:val="B31822"/>
                  <w:vertAlign w:val="superscript"/>
                </w:rPr>
                <w:t xml:space="preserve">11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US$6,849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Current health expenditure per capita, 2024, current US$</w:t>
            </w:r>
            <w:hyperlink r:id="rId17">
              <w:r>
                <w:rPr>
                  <w:color w:val="B31822"/>
                  <w:vertAlign w:val="superscript"/>
                </w:rPr>
                <w:t xml:space="preserve">33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Germany, a federal parliamentary republic of 16 Länder, has its capital in Berlin and had about 83.5 million residents at the end of 2025.</w:t>
      </w:r>
      <w:hyperlink r:id="rId11">
        <w:r>
          <w:rPr>
            <w:color w:val="B31822"/>
            <w:vertAlign w:val="superscript"/>
          </w:rPr>
          <w:t xml:space="preserve">3</w:t>
        </w:r>
      </w:hyperlink>
      <w:r>
        <w:rPr>
          <w:sz w:val="21"/>
        </w:rPr>
        <w:t xml:space="preserve"> Federal President Frank-Walter Steinmeier is head of state, and Chancellor Friedrich Merz leads a CDU/CSU and SPD coalition.</w:t>
      </w:r>
      <w:hyperlink r:id="rId18">
        <w:r>
          <w:rPr>
            <w:color w:val="B31822"/>
            <w:vertAlign w:val="superscript"/>
          </w:rPr>
          <w:t xml:space="preserve">7,</w:t>
        </w:r>
      </w:hyperlink>
      <w:hyperlink r:id="rId19">
        <w:r>
          <w:rPr>
            <w:color w:val="B31822"/>
            <w:vertAlign w:val="superscript"/>
          </w:rPr>
          <w:t xml:space="preserve">8</w:t>
        </w:r>
      </w:hyperlink>
      <w:r>
        <w:rPr>
          <w:sz w:val="21"/>
        </w:rPr>
        <w:t xml:space="preserve"> Carsten Linnemann became federal health minister on 29 July 2026.</w:t>
      </w:r>
      <w:hyperlink r:id="rId20">
        <w:r>
          <w:rPr>
            <w:color w:val="B31822"/>
            <w:vertAlign w:val="superscript"/>
          </w:rPr>
          <w:t xml:space="preserve">15</w:t>
        </w:r>
      </w:hyperlink>
      <w:r>
        <w:rPr>
          <w:sz w:val="21"/>
        </w:rPr>
        <w:t xml:space="preserve"> GDP was about 6.30 trillion international dollars (PPP) in 2025, or about 75,400 per person, after 0.2 percent real growth.</w:t>
      </w:r>
      <w:hyperlink r:id="rId21">
        <w:r>
          <w:rPr>
            <w:color w:val="B31822"/>
            <w:vertAlign w:val="superscript"/>
          </w:rPr>
          <w:t xml:space="preserve">5,</w:t>
        </w:r>
      </w:hyperlink>
      <w:hyperlink r:id="rId12">
        <w:r>
          <w:rPr>
            <w:color w:val="B31822"/>
            <w:vertAlign w:val="superscript"/>
          </w:rPr>
          <w:t xml:space="preserve">6,</w:t>
        </w:r>
      </w:hyperlink>
      <w:hyperlink r:id="rId22">
        <w:r>
          <w:rPr>
            <w:color w:val="B31822"/>
            <w:vertAlign w:val="superscript"/>
          </w:rPr>
          <w:t xml:space="preserve">18</w:t>
        </w:r>
      </w:hyperlink>
      <w:r>
        <w:rPr>
          <w:sz w:val="21"/>
        </w:rPr>
        <w:t xml:space="preserve"> The population is aging: 23.7 percent were 65 or older in 2025, and life expectancy was 81.5 years in 2024.</w:t>
      </w:r>
      <w:hyperlink r:id="rId16">
        <w:r>
          <w:rPr>
            <w:color w:val="B31822"/>
            <w:vertAlign w:val="superscript"/>
          </w:rPr>
          <w:t xml:space="preserve">11,</w:t>
        </w:r>
      </w:hyperlink>
      <w:hyperlink r:id="rId15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The main risk is financial: the 2026 stabilization law answers a needed saving of almost €19 billion (US$21.3 billion) for 2027.</w:t>
      </w:r>
      <w:hyperlink r:id="rId23">
        <w:r>
          <w:rPr>
            <w:color w:val="B31822"/>
            <w:vertAlign w:val="superscript"/>
          </w:rPr>
          <w:t xml:space="preserve">37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Health spending reached 12.27 percent of GDP in 2024, up from 10.59 percent in 2012; only the US spends more.</w:t>
      </w:r>
      <w:hyperlink r:id="rId13">
        <w:r>
          <w:rPr>
            <w:color w:val="B31822"/>
            <w:vertAlign w:val="superscript"/>
          </w:rPr>
          <w:t xml:space="preserve">32,</w:t>
        </w:r>
      </w:hyperlink>
      <w:hyperlink r:id="rId24">
        <w:r>
          <w:rPr>
            <w:color w:val="B31822"/>
            <w:vertAlign w:val="superscript"/>
          </w:rPr>
          <w:t xml:space="preserve">36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Public sources paid 86 percent of health spending in 2023, against an EU average of 80 percent.</w:t>
      </w:r>
      <w:hyperlink r:id="rId15">
        <w:r>
          <w:rPr>
            <w:color w:val="B31822"/>
            <w:vertAlign w:val="superscript"/>
          </w:rPr>
          <w:t xml:space="preserve">13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2026 stabilization law answers a saving need of almost €19 billion (US$21.3 billion) for 2027.</w:t>
      </w:r>
      <w:hyperlink r:id="rId23">
        <w:r>
          <w:rPr>
            <w:color w:val="B31822"/>
            <w:vertAlign w:val="superscript"/>
          </w:rPr>
          <w:t xml:space="preserve">37,</w:t>
        </w:r>
      </w:hyperlink>
      <w:hyperlink r:id="rId25">
        <w:r>
          <w:rPr>
            <w:color w:val="B31822"/>
            <w:vertAlign w:val="superscript"/>
          </w:rPr>
          <w:t xml:space="preserve">44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65 and over share is projected to reach 28 percent by 2050; 49 percent have multiple chronic conditions.</w:t>
      </w:r>
      <w:hyperlink r:id="rId15">
        <w:r>
          <w:rPr>
            <w:color w:val="B31822"/>
            <w:vertAlign w:val="superscript"/>
          </w:rPr>
          <w:t xml:space="preserve">13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Insurance is mandatory: an estimated 89.0 percent of residents had statutory cover in 2024, and 10.4 percent had private cover.</w:t>
      </w:r>
      <w:hyperlink r:id="rId15">
        <w:r>
          <w:rPr>
            <w:color w:val="B31822"/>
            <w:vertAlign w:val="superscript"/>
          </w:rPr>
          <w:t xml:space="preserve">13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Germany had the EU's highest rate of avoidable hospital admissions for chronic conditions in 2023, at 810 per 100,000 people.</w:t>
      </w:r>
      <w:hyperlink r:id="rId15">
        <w:r>
          <w:rPr>
            <w:color w:val="B31822"/>
            <w:vertAlign w:val="superscript"/>
          </w:rPr>
          <w:t xml:space="preserve">13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16 Länder plan hospitals, and reform adjustments delay full fixed capacity payments until 2030.</w:t>
      </w:r>
      <w:hyperlink r:id="rId15">
        <w:r>
          <w:rPr>
            <w:color w:val="B31822"/>
            <w:vertAlign w:val="superscript"/>
          </w:rPr>
          <w:t xml:space="preserve">13,</w:t>
        </w:r>
      </w:hyperlink>
      <w:hyperlink r:id="rId26">
        <w:r>
          <w:rPr>
            <w:color w:val="B31822"/>
            <w:vertAlign w:val="superscript"/>
          </w:rPr>
          <w:t xml:space="preserve">38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Germany: health spending and out-of-pocket share, 2012 to 2024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expenditure; 2024 is the latest year in the series. Sources: </w:t>
      </w:r>
      <w:hyperlink r:id="rId13">
        <w:r>
          <w:rPr>
            <w:color w:val="B31822"/>
            <w:vertAlign w:val="superscript"/>
          </w:rPr>
          <w:t xml:space="preserve">32,</w:t>
        </w:r>
      </w:hyperlink>
      <w:hyperlink r:id="rId14">
        <w:r>
          <w:rPr>
            <w:color w:val="B31822"/>
            <w:vertAlign w:val="superscript"/>
          </w:rPr>
          <w:t xml:space="preserve">34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Germany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407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(2022 and 2023). OECD and EU are group averages from the same series. Sources: </w:t>
      </w:r>
      <w:hyperlink r:id="rId29">
        <w:r>
          <w:rPr>
            <w:color w:val="B31822"/>
            <w:vertAlign w:val="superscript"/>
          </w:rPr>
          <w:t xml:space="preserve">39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In 2025 Germany had 1,807 hospitals: 729 private, 549 nonprofit and 529 public.</w:t>
      </w:r>
      <w:hyperlink r:id="rId30">
        <w:r>
          <w:rPr>
            <w:color w:val="B31822"/>
            <w:vertAlign w:val="superscript"/>
          </w:rPr>
          <w:t xml:space="preserve">29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Helios, Asklepios and Sana lead by beds; Swiss-based Ameos and Turkey's Medicana took over hospitals in 2026.</w:t>
      </w:r>
      <w:hyperlink r:id="rId31">
        <w:r>
          <w:rPr>
            <w:color w:val="B31822"/>
            <w:vertAlign w:val="superscript"/>
          </w:rPr>
          <w:t xml:space="preserve">30,</w:t>
        </w:r>
      </w:hyperlink>
      <w:hyperlink r:id="rId32">
        <w:r>
          <w:rPr>
            <w:color w:val="B31822"/>
            <w:vertAlign w:val="superscript"/>
          </w:rPr>
          <w:t xml:space="preserve">47,</w:t>
        </w:r>
      </w:hyperlink>
      <w:hyperlink r:id="rId33">
        <w:r>
          <w:rPr>
            <w:color w:val="B31822"/>
            <w:vertAlign w:val="superscript"/>
          </w:rPr>
          <w:t xml:space="preserve">48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About 182,200 patients from abroad were treated in 2022, three quarters from neighboring countries.</w:t>
      </w:r>
      <w:hyperlink r:id="rId34">
        <w:r>
          <w:rPr>
            <w:color w:val="B31822"/>
            <w:vertAlign w:val="superscript"/>
          </w:rPr>
          <w:t xml:space="preserve">67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Germany: hospital beds per 1,000 people, 2010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as reported to the World Bank, public and private; 2023 is the latest year in the series. Sources: </w:t>
      </w:r>
      <w:hyperlink r:id="rId36">
        <w:r>
          <w:rPr>
            <w:color w:val="B31822"/>
            <w:vertAlign w:val="superscript"/>
          </w:rPr>
          <w:t xml:space="preserve">41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Germany</w:t>
      </w:r>
    </w:p>
    <w:p>
      <w:pPr>
        <w:widowControl/>
      </w:pPr>
      <w:r>
        <w:rPr>
          <w:sz w:val="20"/>
        </w:rPr>
        <w:t>19 foreign institutions with confirmed active partnerships (19 in all): 13 research collaboration, 3 ownership or management, 2 training and education, 1 clinical affiliation.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3878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many_partnerships_ma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87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Germany. Source: CSI partnerships tracker, verified 2026-10-30.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Duke University (Duke Global Health and School of Medicine)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Harvard University (including Harvard Medical School)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Mount Sinai Health System (Icahn School of Medicine at Mount Sinai)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Northwestern University (Feinberg School of Medicine)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California San Francisco (Quantitative Biosciences Institute)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Kansas (University of Kansas Medical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Vanderbilt University Medical Center (Vanderbilt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AMEOS Gruppe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Institute of Science Tokyo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Karolinska University Hospital and Karolinska Institutet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Lithuanian University of Health Sciences (LSMU), Kaunas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Medicana Health Group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Medicover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Medisch Spectrum Twente (MST)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Samsung Comprehensive Cancer Center (Samsung Medical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Sheba Medical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Tongji Hospital (Huazhong University of Science and Technology)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West China Hospital, Sichuan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Zhejiang Cancer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Germany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Statutory insurance finances remain tense, and structural problems must still be solved, the health minister said.</w:t>
      </w:r>
      <w:hyperlink r:id="rId38">
        <w:r>
          <w:rPr>
            <w:color w:val="B31822"/>
            <w:vertAlign w:val="superscript"/>
          </w:rPr>
          <w:t xml:space="preserve">45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Growth is weak: GDP grew 0.2 percent in 2025, and the Bundesbank projects 0.5 percent for 2026.</w:t>
      </w:r>
      <w:hyperlink r:id="rId22">
        <w:r>
          <w:rPr>
            <w:color w:val="B31822"/>
            <w:vertAlign w:val="superscript"/>
          </w:rPr>
          <w:t xml:space="preserve">18,</w:t>
        </w:r>
      </w:hyperlink>
      <w:hyperlink r:id="rId39">
        <w:r>
          <w:rPr>
            <w:color w:val="B31822"/>
            <w:vertAlign w:val="superscript"/>
          </w:rPr>
          <w:t xml:space="preserve">21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Almost a quarter (23.4 percent) of working doctors were 60 or older in 2025.</w:t>
      </w:r>
      <w:hyperlink r:id="rId40">
        <w:r>
          <w:rPr>
            <w:color w:val="B31822"/>
            <w:vertAlign w:val="superscript"/>
          </w:rPr>
          <w:t xml:space="preserve">31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2026-10-14   </w:t>
      </w:r>
      <w:r>
        <w:rPr>
          <w:sz w:val="20"/>
        </w:rPr>
        <w:t>Estimators expect the average additional contribution to stay at 2.9 percent in 2027, and Minister Linnemann called the situation tense.</w:t>
      </w:r>
      <w:hyperlink r:id="rId38">
        <w:r>
          <w:rPr>
            <w:color w:val="B31822"/>
            <w:vertAlign w:val="superscript"/>
          </w:rPr>
          <w:t xml:space="preserve">45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2026-07-29   </w:t>
      </w:r>
      <w:r>
        <w:rPr>
          <w:sz w:val="20"/>
        </w:rPr>
        <w:t>Carsten Linnemann replaced Nina Warken as federal health minister, and Warken moved to head the Chancellery.</w:t>
      </w:r>
      <w:hyperlink r:id="rId20">
        <w:r>
          <w:rPr>
            <w:color w:val="B31822"/>
            <w:vertAlign w:val="superscript"/>
          </w:rPr>
          <w:t xml:space="preserve">15,</w:t>
        </w:r>
      </w:hyperlink>
      <w:hyperlink r:id="rId41">
        <w:r>
          <w:rPr>
            <w:color w:val="B31822"/>
            <w:vertAlign w:val="superscript"/>
          </w:rPr>
          <w:t xml:space="preserve">16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2026-07-10   </w:t>
      </w:r>
      <w:r>
        <w:rPr>
          <w:sz w:val="20"/>
        </w:rPr>
        <w:t>Parliament passed the contribution stabilization law, in force from 30 July, tying spending growth to income growth.</w:t>
      </w:r>
      <w:hyperlink r:id="rId23">
        <w:r>
          <w:rPr>
            <w:color w:val="B31822"/>
            <w:vertAlign w:val="superscript"/>
          </w:rPr>
          <w:t xml:space="preserve">37,</w:t>
        </w:r>
      </w:hyperlink>
      <w:hyperlink r:id="rId25">
        <w:r>
          <w:rPr>
            <w:color w:val="B31822"/>
            <w:vertAlign w:val="superscript"/>
          </w:rPr>
          <w:t xml:space="preserve">44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destatis.de/DE/Presse/Pressemitteilungen/2026/06/PD26_203_124.html" TargetMode="External"/><Relationship Id="rId12" Type="http://schemas.openxmlformats.org/officeDocument/2006/relationships/hyperlink" Target="https://api.worldbank.org/v2/country/DEU/indicator/NY.GDP.PCAP.PP.CD?format=json" TargetMode="External"/><Relationship Id="rId13" Type="http://schemas.openxmlformats.org/officeDocument/2006/relationships/hyperlink" Target="https://api.worldbank.org/v2/country/DEU/indicator/SH.XPD.CHEX.GD.ZS?format=json" TargetMode="External"/><Relationship Id="rId14" Type="http://schemas.openxmlformats.org/officeDocument/2006/relationships/hyperlink" Target="https://api.worldbank.org/v2/country/DEU/indicator/SH.XPD.OOPC.CH.ZS?format=json" TargetMode="External"/><Relationship Id="rId15" Type="http://schemas.openxmlformats.org/officeDocument/2006/relationships/hyperlink" Target="https://eurohealthobservatory.who.int/docs/librariesprovider3/country-health-profiles/chp2025pdf/soheu-2025-germany-final-web.pdf" TargetMode="External"/><Relationship Id="rId16" Type="http://schemas.openxmlformats.org/officeDocument/2006/relationships/hyperlink" Target="https://api.worldbank.org/v2/country/DEU/indicator/SP.POP.65UP.TO.ZS?format=json" TargetMode="External"/><Relationship Id="rId17" Type="http://schemas.openxmlformats.org/officeDocument/2006/relationships/hyperlink" Target="https://api.worldbank.org/v2/country/DEU/indicator/SH.XPD.CHEX.PC.CD?format=json" TargetMode="External"/><Relationship Id="rId18" Type="http://schemas.openxmlformats.org/officeDocument/2006/relationships/hyperlink" Target="https://www.bundespraesident.de/EN/Home/home_node.html" TargetMode="External"/><Relationship Id="rId19" Type="http://schemas.openxmlformats.org/officeDocument/2006/relationships/hyperlink" Target="https://www.deutschland.de/en/news/friedrich-merz-federal-chancellor-of-germany" TargetMode="External"/><Relationship Id="rId20" Type="http://schemas.openxmlformats.org/officeDocument/2006/relationships/hyperlink" Target="https://www.bundesregierung.de/breg-de/aktuelles/ernennung-neue-minister-2448632" TargetMode="External"/><Relationship Id="rId21" Type="http://schemas.openxmlformats.org/officeDocument/2006/relationships/hyperlink" Target="https://api.worldbank.org/v2/country/DEU/indicator/NY.GDP.MKTP.PP.CD?format=json" TargetMode="External"/><Relationship Id="rId22" Type="http://schemas.openxmlformats.org/officeDocument/2006/relationships/hyperlink" Target="https://www.destatis.de/DE/Themen/Wirtschaft/Volkswirtschaftliche-Gesamtrechnungen-Inlandsprodukt/sommerueberarbeitung-2026.html" TargetMode="External"/><Relationship Id="rId23" Type="http://schemas.openxmlformats.org/officeDocument/2006/relationships/hyperlink" Target="https://www.bundesgesundheitsministerium.de/ministerium/meldungen/bundestag-beschliesst-gkv-beitragssatzstabilisierunggesetz-pm-10-07-2026" TargetMode="External"/><Relationship Id="rId24" Type="http://schemas.openxmlformats.org/officeDocument/2006/relationships/hyperlink" Target="https://api.worldbank.org/v2/country/FRA;GBR;ITA;ESP;USA;JPN;CAN;AUS;NLD/indicator/SH.XPD.CHEX.GD.ZS?format=json" TargetMode="External"/><Relationship Id="rId25" Type="http://schemas.openxmlformats.org/officeDocument/2006/relationships/hyperlink" Target="https://www.bundesgesundheitsministerium.de/service/gesetze-und-verordnungen/detail/gkv-beitragssatzstabilisierungsgesetz.html" TargetMode="External"/><Relationship Id="rId26" Type="http://schemas.openxmlformats.org/officeDocument/2006/relationships/hyperlink" Target="https://www.bundesgesundheitsministerium.de/presse/reden/warken-khag-bundesrat-27-03-2026" TargetMode="External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hyperlink" Target="https://api.worldbank.org/v2/country/OED;EUU;DEU;FRA;GBR;ITA;ESP;USA;JPN/indicator/SH.MED.PHYS.ZS?format=json&amp;per_page=400&amp;date=2018:2025" TargetMode="External"/><Relationship Id="rId30" Type="http://schemas.openxmlformats.org/officeDocument/2006/relationships/hyperlink" Target="https://www.destatis.de/DE/Presse/Pressemitteilungen/2026/10/PD26_376_231.html" TargetMode="External"/><Relationship Id="rId31" Type="http://schemas.openxmlformats.org/officeDocument/2006/relationships/hyperlink" Target="https://www.praktischarzt.de/magazin/groesste-krankenhaustraeger-deutschland-2025/" TargetMode="External"/><Relationship Id="rId32" Type="http://schemas.openxmlformats.org/officeDocument/2006/relationships/hyperlink" Target="https://www.der-indat.de/ameos-gruppe-uebernimmt-operativen-betrieb-der-klinikum-friedrichshafen-gmbh/" TargetMode="External"/><Relationship Id="rId33" Type="http://schemas.openxmlformats.org/officeDocument/2006/relationships/hyperlink" Target="https://www.unternehmeredition.de/medicana-health-group-uebernimmt-juedisches-krankenhaus-berlin/" TargetMode="External"/><Relationship Id="rId34" Type="http://schemas.openxmlformats.org/officeDocument/2006/relationships/hyperlink" Target="https://www.aerzteblatt.de/news/medizintourismus-nach-deutschland-stark-gestiegen-dcaa4afc-9c6e-4452-86f2-8bd4708bff8b" TargetMode="External"/><Relationship Id="rId35" Type="http://schemas.openxmlformats.org/officeDocument/2006/relationships/image" Target="media/image4.png"/><Relationship Id="rId36" Type="http://schemas.openxmlformats.org/officeDocument/2006/relationships/hyperlink" Target="https://api.worldbank.org/v2/country/DEU/indicator/SH.MED.BEDS.ZS?format=json" TargetMode="External"/><Relationship Id="rId37" Type="http://schemas.openxmlformats.org/officeDocument/2006/relationships/image" Target="media/image5.png"/><Relationship Id="rId38" Type="http://schemas.openxmlformats.org/officeDocument/2006/relationships/hyperlink" Target="https://www.pharmazeutische-zeitung.de/linnemann-verspricht-stabile-beitragssaetze-171120/" TargetMode="External"/><Relationship Id="rId39" Type="http://schemas.openxmlformats.org/officeDocument/2006/relationships/hyperlink" Target="https://www.bundesbank.de/en/press/press-releases/the-bundesbank-s-forecast-for-germany-energy-price-shock-slowing-down-economic-recovery-964668" TargetMode="External"/><Relationship Id="rId40" Type="http://schemas.openxmlformats.org/officeDocument/2006/relationships/hyperlink" Target="https://www.bundesaerztekammer.de/baek/ueber-uns/aerztestatistik/2025" TargetMode="External"/><Relationship Id="rId41" Type="http://schemas.openxmlformats.org/officeDocument/2006/relationships/hyperlink" Target="https://www.zdfheute.de/politik/nina-warken-kanzleramt-nachfolge-frei-spahn-1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