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b/>
          <w:color w:val="CC0000"/>
          <w:sz w:val="40"/>
        </w:rPr>
        <w:t xml:space="preserve">Country Summary: </w:t>
      </w:r>
      <w:r>
        <w:rPr>
          <w:b w:val="0"/>
          <w:color w:val="CC0000"/>
          <w:sz w:val="40"/>
        </w:rPr>
        <w:t>India</w:t>
      </w:r>
    </w:p>
    <w:p>
      <w:r>
        <w:drawing>
          <wp:inline xmlns:a="http://schemas.openxmlformats.org/drawingml/2006/main" xmlns:pic="http://schemas.openxmlformats.org/drawingml/2006/picture">
            <wp:extent cx="6188710" cy="2784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a_cover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78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/>
      </w:pPr>
      <w:r>
        <w:rPr>
          <w:i/>
          <w:color w:val="6E6E6E"/>
          <w:sz w:val="20"/>
        </w:rPr>
        <w:t>Executive summary of the India country profile (2026-09-24). Superscript numbers refer to the numbered sources in India_Profile_DRAFT_SOURCES.docx.</w:t>
      </w:r>
    </w:p>
    <w:p>
      <w:r>
        <w:br w:type="page"/>
      </w:r>
    </w:p>
    <w:p>
      <w:pPr>
        <w:pStyle w:val="Heading1"/>
        <w:spacing w:before="0" w:after="80"/>
      </w:pPr>
      <w:r>
        <w:t>At a Glance</w:t>
      </w:r>
    </w:p>
    <w:p>
      <w:pPr>
        <w:spacing w:before="0" w:after="80"/>
        <w:pBdr>
          <w:bottom w:val="single" w:sz="12" w:space="1" w:color="D91F2C"/>
        </w:pBdr>
      </w:pPr>
    </w:p>
    <w:tbl>
      <w:tblPr>
        <w:tblW w:type="auto" w:w="0"/>
        <w:jc w:val="center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18" w:color="FFFFFF"/>
          <w:insideV w:val="single" w:sz="18" w:color="FFFFFF"/>
        </w:tblBorders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1.46 bn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Population, 2025 estimate</w:t>
            </w:r>
            <w:hyperlink r:id="rId11">
              <w:r>
                <w:rPr>
                  <w:color w:val="B31822"/>
                  <w:vertAlign w:val="superscript"/>
                </w:rPr>
                <w:t xml:space="preserve">3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$11,748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GDP per capita (PPP), about, 2025</w:t>
            </w:r>
            <w:hyperlink r:id="rId12">
              <w:r>
                <w:rPr>
                  <w:color w:val="B31822"/>
                  <w:vertAlign w:val="superscript"/>
                </w:rPr>
                <w:t xml:space="preserve">7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3.37%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Health spending, share of GDP, 2022-23</w:t>
            </w:r>
            <w:hyperlink r:id="rId13">
              <w:r>
                <w:rPr>
                  <w:color w:val="B31822"/>
                  <w:vertAlign w:val="superscript"/>
                </w:rPr>
                <w:t xml:space="preserve">23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43.4%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Out-of-pocket share of spending, 2022-23</w:t>
            </w:r>
            <w:hyperlink r:id="rId14">
              <w:r>
                <w:rPr>
                  <w:color w:val="B31822"/>
                  <w:vertAlign w:val="superscript"/>
                </w:rPr>
                <w:t xml:space="preserve">76</w:t>
              </w:r>
            </w:hyperlink>
          </w:p>
        </w:tc>
      </w:tr>
      <w:tr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0.95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Registered doctors per 1,000, about, 2025</w:t>
            </w:r>
            <w:hyperlink r:id="rId15">
              <w:r>
                <w:rPr>
                  <w:color w:val="B31822"/>
                  <w:vertAlign w:val="superscript"/>
                </w:rPr>
                <w:t xml:space="preserve">80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132.5 m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PM-JAY admissions funded, 8 years to 2026</w:t>
            </w:r>
            <w:hyperlink r:id="rId16">
              <w:r>
                <w:rPr>
                  <w:color w:val="B31822"/>
                  <w:vertAlign w:val="superscript"/>
                </w:rPr>
                <w:t xml:space="preserve">56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64.6%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Private share of urban admissions, 2025</w:t>
            </w:r>
            <w:hyperlink r:id="rId17">
              <w:r>
                <w:rPr>
                  <w:color w:val="B31822"/>
                  <w:vertAlign w:val="superscript"/>
                </w:rPr>
                <w:t xml:space="preserve">61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644,000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Medical-purpose arrivals, 2024</w:t>
            </w:r>
            <w:hyperlink r:id="rId18">
              <w:r>
                <w:rPr>
                  <w:color w:val="B31822"/>
                  <w:vertAlign w:val="superscript"/>
                </w:rPr>
                <w:t xml:space="preserve">104</w:t>
              </w:r>
            </w:hyperlink>
          </w:p>
        </w:tc>
      </w:tr>
    </w:tbl>
    <w:p>
      <w:pPr>
        <w:spacing w:before="160" w:after="60"/>
      </w:pPr>
      <w:r>
        <w:rPr>
          <w:b/>
          <w:color w:val="B31822"/>
          <w:sz w:val="24"/>
        </w:rPr>
        <w:t>Country background</w:t>
      </w:r>
    </w:p>
    <w:p>
      <w:r>
        <w:rPr>
          <w:sz w:val="21"/>
        </w:rPr>
        <w:t>India, with about 1.46 billion people in 2025, is a federal parliamentary democratic republic with its capital in New Delhi.</w:t>
      </w:r>
      <w:hyperlink r:id="rId19">
        <w:r>
          <w:rPr>
            <w:color w:val="B31822"/>
            <w:vertAlign w:val="superscript"/>
          </w:rPr>
          <w:t xml:space="preserve">1,</w:t>
        </w:r>
      </w:hyperlink>
      <w:hyperlink r:id="rId20">
        <w:r>
          <w:rPr>
            <w:color w:val="B31822"/>
            <w:vertAlign w:val="superscript"/>
          </w:rPr>
          <w:t xml:space="preserve">2,</w:t>
        </w:r>
      </w:hyperlink>
      <w:hyperlink r:id="rId11">
        <w:r>
          <w:rPr>
            <w:color w:val="B31822"/>
            <w:vertAlign w:val="superscript"/>
          </w:rPr>
          <w:t xml:space="preserve">3</w:t>
        </w:r>
      </w:hyperlink>
      <w:r>
        <w:rPr>
          <w:sz w:val="21"/>
        </w:rPr>
        <w:t xml:space="preserve"> President Droupadi Murmu is head of state, and Prime Minister Narendra Modi, in office since 2014, began a third term in June 2024.</w:t>
      </w:r>
      <w:hyperlink r:id="rId21">
        <w:r>
          <w:rPr>
            <w:color w:val="B31822"/>
            <w:vertAlign w:val="superscript"/>
          </w:rPr>
          <w:t xml:space="preserve">8,</w:t>
        </w:r>
      </w:hyperlink>
      <w:hyperlink r:id="rId22">
        <w:r>
          <w:rPr>
            <w:color w:val="B31822"/>
            <w:vertAlign w:val="superscript"/>
          </w:rPr>
          <w:t xml:space="preserve">9</w:t>
        </w:r>
      </w:hyperlink>
      <w:r>
        <w:rPr>
          <w:sz w:val="21"/>
        </w:rPr>
        <w:t xml:space="preserve"> Health care delivery is a state responsibility under the Constitution, and a state government is often the counterparty for a foreign partner.</w:t>
      </w:r>
      <w:hyperlink r:id="rId20">
        <w:r>
          <w:rPr>
            <w:color w:val="B31822"/>
            <w:vertAlign w:val="superscript"/>
          </w:rPr>
          <w:t xml:space="preserve">2,</w:t>
        </w:r>
      </w:hyperlink>
      <w:hyperlink r:id="rId23">
        <w:r>
          <w:rPr>
            <w:color w:val="B31822"/>
            <w:vertAlign w:val="superscript"/>
          </w:rPr>
          <w:t xml:space="preserve">24</w:t>
        </w:r>
      </w:hyperlink>
      <w:r>
        <w:rPr>
          <w:sz w:val="21"/>
        </w:rPr>
        <w:t xml:space="preserve"> The IMF counts India among the fastest-growing major economies: official provisional estimates put real GDP growth at 7.7 percent in FY2025-26, and the World Bank puts 2025 GDP at about US$17.2 trillion in purchasing-power terms.</w:t>
      </w:r>
      <w:hyperlink r:id="rId24">
        <w:r>
          <w:rPr>
            <w:color w:val="B31822"/>
            <w:vertAlign w:val="superscript"/>
          </w:rPr>
          <w:t xml:space="preserve">5,</w:t>
        </w:r>
      </w:hyperlink>
      <w:hyperlink r:id="rId25">
        <w:r>
          <w:rPr>
            <w:color w:val="B31822"/>
            <w:vertAlign w:val="superscript"/>
          </w:rPr>
          <w:t xml:space="preserve">25,</w:t>
        </w:r>
      </w:hyperlink>
      <w:hyperlink r:id="rId26">
        <w:r>
          <w:rPr>
            <w:color w:val="B31822"/>
            <w:vertAlign w:val="superscript"/>
          </w:rPr>
          <w:t xml:space="preserve">26</w:t>
        </w:r>
      </w:hyperlink>
      <w:r>
        <w:rPr>
          <w:sz w:val="21"/>
        </w:rPr>
        <w:t xml:space="preserve"> The population is aging: fertility fell to 1.9 in 2024, below replacement, and UNFPA projects the share aged 60 and over to rise from 10.5 percent in 2022 to 20.8 percent by 2050.</w:t>
      </w:r>
      <w:hyperlink r:id="rId27">
        <w:r>
          <w:rPr>
            <w:color w:val="B31822"/>
            <w:vertAlign w:val="superscript"/>
          </w:rPr>
          <w:t xml:space="preserve">12,</w:t>
        </w:r>
      </w:hyperlink>
      <w:hyperlink r:id="rId28">
        <w:r>
          <w:rPr>
            <w:color w:val="B31822"/>
            <w:vertAlign w:val="superscript"/>
          </w:rPr>
          <w:t xml:space="preserve">15,</w:t>
        </w:r>
      </w:hyperlink>
      <w:hyperlink r:id="rId29">
        <w:r>
          <w:rPr>
            <w:color w:val="B31822"/>
            <w:vertAlign w:val="superscript"/>
          </w:rPr>
          <w:t xml:space="preserve">16</w:t>
        </w:r>
      </w:hyperlink>
      <w:r>
        <w:rPr>
          <w:sz w:val="21"/>
        </w:rPr>
        <w:t xml:space="preserve"> US trade policy is a risk: most Indian goods have faced a 10 percent US duty since 24 July 2026.</w:t>
      </w:r>
      <w:hyperlink r:id="rId30">
        <w:r>
          <w:rPr>
            <w:color w:val="B31822"/>
            <w:vertAlign w:val="superscript"/>
          </w:rPr>
          <w:t xml:space="preserve">29,</w:t>
        </w:r>
      </w:hyperlink>
      <w:hyperlink r:id="rId31">
        <w:r>
          <w:rPr>
            <w:color w:val="B31822"/>
            <w:vertAlign w:val="superscript"/>
          </w:rPr>
          <w:t xml:space="preserve">30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Key takeaways for CSI</w:t>
      </w:r>
    </w:p>
    <w:p>
      <w:pPr>
        <w:pStyle w:val="ListBullet"/>
        <w:spacing w:after="60"/>
      </w:pPr>
      <w:r>
        <w:rPr>
          <w:sz w:val="21"/>
        </w:rPr>
        <w:t>Two-tier market: PM-JAY rates anchor mass care; a smaller paying and international segment sustains premium care.</w:t>
      </w:r>
      <w:hyperlink r:id="rId16">
        <w:r>
          <w:rPr>
            <w:color w:val="B31822"/>
            <w:vertAlign w:val="superscript"/>
          </w:rPr>
          <w:t xml:space="preserve">56,</w:t>
        </w:r>
      </w:hyperlink>
      <w:hyperlink r:id="rId32">
        <w:r>
          <w:rPr>
            <w:color w:val="B31822"/>
            <w:vertAlign w:val="superscript"/>
          </w:rPr>
          <w:t xml:space="preserve">59</w:t>
        </w:r>
      </w:hyperlink>
    </w:p>
    <w:p>
      <w:pPr>
        <w:pStyle w:val="ListBullet"/>
        <w:spacing w:after="60"/>
      </w:pPr>
      <w:r>
        <w:rPr>
          <w:sz w:val="21"/>
        </w:rPr>
        <w:t>Mount Sinai's exclusive Ramaiah collaboration, reportedly 10 years, is CSI's closest peer model.</w:t>
      </w:r>
      <w:hyperlink r:id="rId33">
        <w:r>
          <w:rPr>
            <w:color w:val="B31822"/>
            <w:vertAlign w:val="superscript"/>
          </w:rPr>
          <w:t xml:space="preserve">122,</w:t>
        </w:r>
      </w:hyperlink>
      <w:hyperlink r:id="rId34">
        <w:r>
          <w:rPr>
            <w:color w:val="B31822"/>
            <w:vertAlign w:val="superscript"/>
          </w:rPr>
          <w:t xml:space="preserve">124</w:t>
        </w:r>
      </w:hyperlink>
    </w:p>
    <w:p>
      <w:pPr>
        <w:pStyle w:val="ListBullet"/>
        <w:spacing w:after="60"/>
      </w:pPr>
      <w:r>
        <w:rPr>
          <w:sz w:val="21"/>
        </w:rPr>
        <w:t>Private chains are the likeliest commercial partners; state governments are often the counterparty.</w:t>
      </w:r>
      <w:hyperlink r:id="rId23">
        <w:r>
          <w:rPr>
            <w:color w:val="B31822"/>
            <w:vertAlign w:val="superscript"/>
          </w:rPr>
          <w:t xml:space="preserve">24,</w:t>
        </w:r>
      </w:hyperlink>
      <w:hyperlink r:id="rId35">
        <w:r>
          <w:rPr>
            <w:color w:val="B31822"/>
            <w:vertAlign w:val="superscript"/>
          </w:rPr>
          <w:t xml:space="preserve">72</w:t>
        </w:r>
      </w:hyperlink>
    </w:p>
    <w:p>
      <w:pPr>
        <w:pStyle w:val="ListBullet"/>
        <w:spacing w:after="60"/>
      </w:pPr>
      <w:r>
        <w:rPr>
          <w:sz w:val="21"/>
        </w:rPr>
        <w:t>Workforce training, from nursing to leadership, is one of the clearest openings.</w:t>
      </w:r>
      <w:hyperlink r:id="rId15">
        <w:r>
          <w:rPr>
            <w:color w:val="B31822"/>
            <w:vertAlign w:val="superscript"/>
          </w:rPr>
          <w:t xml:space="preserve">80,</w:t>
        </w:r>
      </w:hyperlink>
      <w:hyperlink r:id="rId36">
        <w:r>
          <w:rPr>
            <w:color w:val="B31822"/>
            <w:vertAlign w:val="superscript"/>
          </w:rPr>
          <w:t xml:space="preserve">83</w:t>
        </w:r>
      </w:hyperlink>
    </w:p>
    <w:p>
      <w:r>
        <w:br w:type="page"/>
      </w:r>
    </w:p>
    <w:p>
      <w:pPr>
        <w:pStyle w:val="Heading1"/>
        <w:spacing w:before="0" w:after="80"/>
      </w:pPr>
      <w:r>
        <w:t>Health System</w:t>
      </w:r>
    </w:p>
    <w:p>
      <w:pPr>
        <w:spacing w:before="0" w:after="80"/>
        <w:pBdr>
          <w:bottom w:val="single" w:sz="12" w:space="1" w:color="D91F2C"/>
        </w:pBdr>
      </w:pPr>
    </w:p>
    <w:p>
      <w:pPr>
        <w:pStyle w:val="ListBullet"/>
        <w:spacing w:after="60"/>
      </w:pPr>
      <w:r>
        <w:rPr>
          <w:sz w:val="21"/>
        </w:rPr>
        <w:t>States run delivery, from 1,81,873 Ayushman Arogya Mandirs to AIIMS and Tata Memorial Centre.</w:t>
      </w:r>
      <w:hyperlink r:id="rId20">
        <w:r>
          <w:rPr>
            <w:color w:val="B31822"/>
            <w:vertAlign w:val="superscript"/>
          </w:rPr>
          <w:t xml:space="preserve">2,</w:t>
        </w:r>
      </w:hyperlink>
      <w:hyperlink r:id="rId37">
        <w:r>
          <w:rPr>
            <w:color w:val="B31822"/>
            <w:vertAlign w:val="superscript"/>
          </w:rPr>
          <w:t xml:space="preserve">53</w:t>
        </w:r>
      </w:hyperlink>
    </w:p>
    <w:p>
      <w:pPr>
        <w:pStyle w:val="ListBullet"/>
        <w:spacing w:after="60"/>
      </w:pPr>
      <w:r>
        <w:rPr>
          <w:sz w:val="21"/>
        </w:rPr>
        <w:t>Government health spending was 1.48% of GDP in 2022-23, short of the 2.5% target.</w:t>
      </w:r>
      <w:hyperlink r:id="rId13">
        <w:r>
          <w:rPr>
            <w:color w:val="B31822"/>
            <w:vertAlign w:val="superscript"/>
          </w:rPr>
          <w:t xml:space="preserve">23,</w:t>
        </w:r>
      </w:hyperlink>
      <w:hyperlink r:id="rId38">
        <w:r>
          <w:rPr>
            <w:color w:val="B31822"/>
            <w:vertAlign w:val="superscript"/>
          </w:rPr>
          <w:t xml:space="preserve">78</w:t>
        </w:r>
      </w:hyperlink>
    </w:p>
    <w:p>
      <w:pPr>
        <w:pStyle w:val="ListBullet"/>
        <w:spacing w:after="60"/>
      </w:pPr>
      <w:r>
        <w:rPr>
          <w:sz w:val="21"/>
        </w:rPr>
        <w:t>Under one registered doctor and 0.6 public beds per 1,000; rural centers lacked 79.9% of specialists in 2023.</w:t>
      </w:r>
      <w:hyperlink r:id="rId39">
        <w:r>
          <w:rPr>
            <w:color w:val="B31822"/>
            <w:vertAlign w:val="superscript"/>
          </w:rPr>
          <w:t xml:space="preserve">55,</w:t>
        </w:r>
      </w:hyperlink>
      <w:hyperlink r:id="rId15">
        <w:r>
          <w:rPr>
            <w:color w:val="B31822"/>
            <w:vertAlign w:val="superscript"/>
          </w:rPr>
          <w:t xml:space="preserve">80,</w:t>
        </w:r>
      </w:hyperlink>
      <w:hyperlink r:id="rId40">
        <w:r>
          <w:rPr>
            <w:color w:val="B31822"/>
            <w:vertAlign w:val="superscript"/>
          </w:rPr>
          <w:t xml:space="preserve">89</w:t>
        </w:r>
      </w:hyperlink>
    </w:p>
    <w:p>
      <w:pPr>
        <w:spacing w:before="160" w:after="40"/>
      </w:pPr>
      <w:r>
        <w:rPr>
          <w:b/>
          <w:sz w:val="21"/>
        </w:rPr>
        <w:t>Who pays for health care: share of total health spending</w:t>
      </w:r>
    </w:p>
    <w:p>
      <w:r>
        <w:drawing>
          <wp:inline xmlns:a="http://schemas.openxmlformats.org/drawingml/2006/main" xmlns:pic="http://schemas.openxmlformats.org/drawingml/2006/picture">
            <wp:extent cx="5580000" cy="244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nding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6E6E6E"/>
          <w:sz w:val="16"/>
        </w:rPr>
        <w:t xml:space="preserve">National Health Accounts. In between, the out-of-pocket share dipped to 39.4% in COVID-affected 2021-22 before rising again once emergency government spending ended. Sources: </w:t>
      </w:r>
      <w:hyperlink r:id="rId14">
        <w:r>
          <w:rPr>
            <w:color w:val="B31822"/>
            <w:vertAlign w:val="superscript"/>
          </w:rPr>
          <w:t xml:space="preserve">76,</w:t>
        </w:r>
      </w:hyperlink>
      <w:hyperlink r:id="rId42">
        <w:r>
          <w:rPr>
            <w:color w:val="B31822"/>
            <w:vertAlign w:val="superscript"/>
          </w:rPr>
          <w:t xml:space="preserve">75</w:t>
        </w:r>
      </w:hyperlink>
    </w:p>
    <w:p>
      <w:pPr>
        <w:spacing w:before="160" w:after="40"/>
      </w:pPr>
      <w:r>
        <w:rPr>
          <w:b/>
          <w:sz w:val="21"/>
        </w:rPr>
        <w:t>Health workforce and beds per 1,000 people: India vs OECD average</w:t>
      </w:r>
    </w:p>
    <w:p>
      <w:r>
        <w:drawing>
          <wp:inline xmlns:a="http://schemas.openxmlformats.org/drawingml/2006/main" xmlns:pic="http://schemas.openxmlformats.org/drawingml/2006/picture">
            <wp:extent cx="5580000" cy="23540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orc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6E6E6E"/>
          <w:sz w:val="16"/>
        </w:rPr>
        <w:t xml:space="preserve">India: registered allopathic doctors (fewer are active) and registered nursing personnel, 2025; beds counts public facilities only, March 2023. OECD: averages from Health at a Glance 2025. Sources: </w:t>
      </w:r>
      <w:hyperlink r:id="rId15">
        <w:r>
          <w:rPr>
            <w:color w:val="B31822"/>
            <w:vertAlign w:val="superscript"/>
          </w:rPr>
          <w:t xml:space="preserve">80,</w:t>
        </w:r>
      </w:hyperlink>
      <w:hyperlink r:id="rId11">
        <w:r>
          <w:rPr>
            <w:color w:val="B31822"/>
            <w:vertAlign w:val="superscript"/>
          </w:rPr>
          <w:t xml:space="preserve">3,</w:t>
        </w:r>
      </w:hyperlink>
      <w:hyperlink r:id="rId36">
        <w:r>
          <w:rPr>
            <w:color w:val="B31822"/>
            <w:vertAlign w:val="superscript"/>
          </w:rPr>
          <w:t xml:space="preserve">83,</w:t>
        </w:r>
      </w:hyperlink>
      <w:hyperlink r:id="rId44">
        <w:r>
          <w:rPr>
            <w:color w:val="B31822"/>
            <w:vertAlign w:val="superscript"/>
          </w:rPr>
          <w:t xml:space="preserve">84,</w:t>
        </w:r>
      </w:hyperlink>
      <w:hyperlink r:id="rId39">
        <w:r>
          <w:rPr>
            <w:color w:val="B31822"/>
            <w:vertAlign w:val="superscript"/>
          </w:rPr>
          <w:t xml:space="preserve">55,</w:t>
        </w:r>
      </w:hyperlink>
      <w:hyperlink r:id="rId45">
        <w:r>
          <w:rPr>
            <w:color w:val="B31822"/>
            <w:vertAlign w:val="superscript"/>
          </w:rPr>
          <w:t xml:space="preserve">86,</w:t>
        </w:r>
      </w:hyperlink>
      <w:hyperlink r:id="rId46">
        <w:r>
          <w:rPr>
            <w:color w:val="B31822"/>
            <w:vertAlign w:val="superscript"/>
          </w:rPr>
          <w:t xml:space="preserve">87,</w:t>
        </w:r>
      </w:hyperlink>
      <w:hyperlink r:id="rId47">
        <w:r>
          <w:rPr>
            <w:color w:val="B31822"/>
            <w:vertAlign w:val="superscript"/>
          </w:rPr>
          <w:t xml:space="preserve">88</w:t>
        </w:r>
      </w:hyperlink>
    </w:p>
    <w:p>
      <w:r>
        <w:br w:type="page"/>
      </w:r>
    </w:p>
    <w:p>
      <w:pPr>
        <w:pStyle w:val="Heading1"/>
        <w:spacing w:before="0" w:after="80"/>
      </w:pPr>
      <w:r>
        <w:t>Market and Competition</w:t>
      </w:r>
    </w:p>
    <w:p>
      <w:pPr>
        <w:spacing w:before="0" w:after="80"/>
        <w:pBdr>
          <w:bottom w:val="single" w:sz="12" w:space="1" w:color="D91F2C"/>
        </w:pBdr>
      </w:pPr>
    </w:p>
    <w:p>
      <w:pPr>
        <w:pStyle w:val="ListBullet"/>
        <w:spacing w:after="60"/>
      </w:pPr>
      <w:r>
        <w:rPr>
          <w:sz w:val="21"/>
        </w:rPr>
        <w:t>Manipal (13,037 licensed beds), Apollo (10,970, including overseas) and Aster DM Quality Care (over 10,600) lead.</w:t>
      </w:r>
      <w:hyperlink r:id="rId48">
        <w:r>
          <w:rPr>
            <w:color w:val="B31822"/>
            <w:vertAlign w:val="superscript"/>
          </w:rPr>
          <w:t xml:space="preserve">62,</w:t>
        </w:r>
      </w:hyperlink>
      <w:hyperlink r:id="rId49">
        <w:r>
          <w:rPr>
            <w:color w:val="B31822"/>
            <w:vertAlign w:val="superscript"/>
          </w:rPr>
          <w:t xml:space="preserve">64,</w:t>
        </w:r>
      </w:hyperlink>
      <w:hyperlink r:id="rId50">
        <w:r>
          <w:rPr>
            <w:color w:val="B31822"/>
            <w:vertAlign w:val="superscript"/>
          </w:rPr>
          <w:t xml:space="preserve">67</w:t>
        </w:r>
      </w:hyperlink>
    </w:p>
    <w:p>
      <w:pPr>
        <w:pStyle w:val="ListBullet"/>
        <w:spacing w:after="60"/>
      </w:pPr>
      <w:r>
        <w:rPr>
          <w:sz w:val="21"/>
        </w:rPr>
        <w:t>Capital: Manipal's Rs 9,275 crore IPO, Blackstone in Aster, KKR's pending Medicover deal, IHH controlling Fortis.</w:t>
      </w:r>
      <w:hyperlink r:id="rId51">
        <w:r>
          <w:rPr>
            <w:color w:val="B31822"/>
            <w:vertAlign w:val="superscript"/>
          </w:rPr>
          <w:t xml:space="preserve">63,</w:t>
        </w:r>
      </w:hyperlink>
      <w:hyperlink r:id="rId52">
        <w:r>
          <w:rPr>
            <w:color w:val="B31822"/>
            <w:vertAlign w:val="superscript"/>
          </w:rPr>
          <w:t xml:space="preserve">66,</w:t>
        </w:r>
      </w:hyperlink>
      <w:hyperlink r:id="rId53">
        <w:r>
          <w:rPr>
            <w:color w:val="B31822"/>
            <w:vertAlign w:val="superscript"/>
          </w:rPr>
          <w:t xml:space="preserve">71,</w:t>
        </w:r>
      </w:hyperlink>
      <w:hyperlink r:id="rId54">
        <w:r>
          <w:rPr>
            <w:color w:val="B31822"/>
            <w:vertAlign w:val="superscript"/>
          </w:rPr>
          <w:t xml:space="preserve">74</w:t>
        </w:r>
      </w:hyperlink>
    </w:p>
    <w:p>
      <w:pPr>
        <w:pStyle w:val="ListBullet"/>
        <w:spacing w:after="60"/>
      </w:pPr>
      <w:r>
        <w:rPr>
          <w:sz w:val="21"/>
        </w:rPr>
        <w:t>Cleveland Clinic anchors Navi Mumbai MediCity under an MoU; Mayo advises Adani's two Health Cities.</w:t>
      </w:r>
      <w:hyperlink r:id="rId55">
        <w:r>
          <w:rPr>
            <w:color w:val="B31822"/>
            <w:vertAlign w:val="superscript"/>
          </w:rPr>
          <w:t xml:space="preserve">100,</w:t>
        </w:r>
      </w:hyperlink>
      <w:hyperlink r:id="rId56">
        <w:r>
          <w:rPr>
            <w:color w:val="B31822"/>
            <w:vertAlign w:val="superscript"/>
          </w:rPr>
          <w:t xml:space="preserve">103</w:t>
        </w:r>
      </w:hyperlink>
    </w:p>
    <w:p>
      <w:pPr>
        <w:spacing w:before="160" w:after="40"/>
      </w:pPr>
      <w:r>
        <w:rPr>
          <w:b/>
          <w:sz w:val="21"/>
        </w:rPr>
        <w:t>Largest private hospital groups by beds, 2026</w:t>
      </w:r>
    </w:p>
    <w:p>
      <w:r>
        <w:drawing>
          <wp:inline xmlns:a="http://schemas.openxmlformats.org/drawingml/2006/main" xmlns:pic="http://schemas.openxmlformats.org/drawingml/2006/picture">
            <wp:extent cx="5580000" cy="2266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in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6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6E6E6E"/>
          <w:sz w:val="16"/>
        </w:rPr>
        <w:t xml:space="preserve">Definitions differ: Manipal licensed beds and Max operational beds (31 March 2026); *Apollo includes managed and overseas hospitals and day-surgery units (March 2026); Aster DM Quality Care after its July 2026 merger; Medicover India is being acquired by KKR. Sources: </w:t>
      </w:r>
      <w:hyperlink r:id="rId48">
        <w:r>
          <w:rPr>
            <w:color w:val="B31822"/>
            <w:vertAlign w:val="superscript"/>
          </w:rPr>
          <w:t xml:space="preserve">62,</w:t>
        </w:r>
      </w:hyperlink>
      <w:hyperlink r:id="rId51">
        <w:r>
          <w:rPr>
            <w:color w:val="B31822"/>
            <w:vertAlign w:val="superscript"/>
          </w:rPr>
          <w:t xml:space="preserve">63,</w:t>
        </w:r>
      </w:hyperlink>
      <w:hyperlink r:id="rId49">
        <w:r>
          <w:rPr>
            <w:color w:val="B31822"/>
            <w:vertAlign w:val="superscript"/>
          </w:rPr>
          <w:t xml:space="preserve">64,</w:t>
        </w:r>
      </w:hyperlink>
      <w:hyperlink r:id="rId58">
        <w:r>
          <w:rPr>
            <w:color w:val="B31822"/>
            <w:vertAlign w:val="superscript"/>
          </w:rPr>
          <w:t xml:space="preserve">65,</w:t>
        </w:r>
      </w:hyperlink>
      <w:hyperlink r:id="rId52">
        <w:r>
          <w:rPr>
            <w:color w:val="B31822"/>
            <w:vertAlign w:val="superscript"/>
          </w:rPr>
          <w:t xml:space="preserve">66,</w:t>
        </w:r>
      </w:hyperlink>
      <w:hyperlink r:id="rId50">
        <w:r>
          <w:rPr>
            <w:color w:val="B31822"/>
            <w:vertAlign w:val="superscript"/>
          </w:rPr>
          <w:t xml:space="preserve">67,</w:t>
        </w:r>
      </w:hyperlink>
      <w:hyperlink r:id="rId59">
        <w:r>
          <w:rPr>
            <w:color w:val="B31822"/>
            <w:vertAlign w:val="superscript"/>
          </w:rPr>
          <w:t xml:space="preserve">68,</w:t>
        </w:r>
      </w:hyperlink>
      <w:hyperlink r:id="rId60">
        <w:r>
          <w:rPr>
            <w:color w:val="B31822"/>
            <w:vertAlign w:val="superscript"/>
          </w:rPr>
          <w:t xml:space="preserve">69,</w:t>
        </w:r>
      </w:hyperlink>
      <w:hyperlink r:id="rId61">
        <w:r>
          <w:rPr>
            <w:color w:val="B31822"/>
            <w:vertAlign w:val="superscript"/>
          </w:rPr>
          <w:t xml:space="preserve">70,</w:t>
        </w:r>
      </w:hyperlink>
      <w:hyperlink r:id="rId54">
        <w:r>
          <w:rPr>
            <w:color w:val="B31822"/>
            <w:vertAlign w:val="superscript"/>
          </w:rPr>
          <w:t xml:space="preserve">74,</w:t>
        </w:r>
      </w:hyperlink>
      <w:hyperlink r:id="rId62">
        <w:r>
          <w:rPr>
            <w:color w:val="B31822"/>
            <w:vertAlign w:val="superscript"/>
          </w:rPr>
          <w:t xml:space="preserve">137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US academic medical centers in India</w:t>
      </w:r>
    </w:p>
    <w:tbl>
      <w:tblPr>
        <w:tblW w:type="auto" w:w="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  <w:shd w:val="clear" w:color="auto" w:fill="D91F2C"/>
          </w:tcPr>
          <w:p>
            <w:r>
              <w:rPr>
                <w:b/>
                <w:color w:val="FFFFFF"/>
                <w:sz w:val="18"/>
              </w:rPr>
              <w:t>US institution</w:t>
            </w:r>
          </w:p>
        </w:tc>
        <w:tc>
          <w:tcPr>
            <w:tcW w:type="dxa" w:w="3402"/>
            <w:shd w:val="clear" w:color="auto" w:fill="D91F2C"/>
          </w:tcPr>
          <w:p>
            <w:r>
              <w:rPr>
                <w:b/>
                <w:color w:val="FFFFFF"/>
                <w:sz w:val="18"/>
              </w:rPr>
              <w:t>Partner in India</w:t>
            </w:r>
          </w:p>
        </w:tc>
        <w:tc>
          <w:tcPr>
            <w:tcW w:type="dxa" w:w="3969"/>
            <w:shd w:val="clear" w:color="auto" w:fill="D91F2C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Mayo Clinic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AIG, Lilavati, Adani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2019, 2025;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Cleveland Clinic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Maharashtra, Brookfield, Arodhan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MoU signed June 2026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Johns Hopkins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HCL; IIT Bombay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2014, 2023;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Memorial Sloan Kettering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iCliniq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2021;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MD Anderson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Tata Memorial Hospital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Sister agreement 2003; ECHO partner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Mount Sinai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Ramaiah Memorial Hospital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July 2024; 10-year term reported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UCLA Health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Narendra Modi Medical College; AIIMS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2024; department level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NewYork-Presbyterian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Emergency services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2007, 2008; none currently listed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UPMC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TeleChikitsa; Citizens Hospital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2014;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Mass General Brigham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Wockhardt Hospitals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About 2001;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Houston Methodist; Northwestern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None identified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None listed</w:t>
            </w:r>
          </w:p>
        </w:tc>
      </w:tr>
    </w:tbl>
    <w:p>
      <w:pPr>
        <w:spacing w:before="120"/>
      </w:pPr>
      <w:r>
        <w:rPr>
          <w:sz w:val="20"/>
        </w:rPr>
        <w:t>US ties are mostly advisory, network or education deals, not ownership; several are less visible than headlines suggest.</w:t>
      </w:r>
    </w:p>
    <w:p>
      <w:r>
        <w:br w:type="page"/>
      </w:r>
    </w:p>
    <w:p>
      <w:pPr>
        <w:pStyle w:val="Heading1"/>
        <w:spacing w:before="0" w:after="80"/>
      </w:pPr>
      <w:r>
        <w:t>Opportunities and Risks for CSI</w:t>
      </w:r>
    </w:p>
    <w:p>
      <w:pPr>
        <w:spacing w:before="0" w:after="80"/>
        <w:pBdr>
          <w:bottom w:val="single" w:sz="12" w:space="1" w:color="D91F2C"/>
        </w:pBdr>
      </w:pPr>
    </w:p>
    <w:p>
      <w:pPr>
        <w:spacing w:before="160" w:after="60"/>
      </w:pPr>
      <w:r>
        <w:rPr>
          <w:b/>
          <w:color w:val="B31822"/>
          <w:sz w:val="24"/>
        </w:rPr>
        <w:t>Opportunities</w:t>
      </w:r>
    </w:p>
    <w:p>
      <w:pPr>
        <w:pStyle w:val="ListBullet"/>
        <w:spacing w:after="60"/>
      </w:pPr>
      <w:r>
        <w:rPr>
          <w:sz w:val="21"/>
        </w:rPr>
        <w:t>Nursing, fellowship and allied-health training, backing budget plans for 1 lakh more allied health professionals.</w:t>
      </w:r>
      <w:hyperlink r:id="rId63">
        <w:r>
          <w:rPr>
            <w:color w:val="B31822"/>
            <w:vertAlign w:val="superscript"/>
          </w:rPr>
          <w:t xml:space="preserve">36,</w:t>
        </w:r>
      </w:hyperlink>
      <w:hyperlink r:id="rId36">
        <w:r>
          <w:rPr>
            <w:color w:val="B31822"/>
            <w:vertAlign w:val="superscript"/>
          </w:rPr>
          <w:t xml:space="preserve">83</w:t>
        </w:r>
      </w:hyperlink>
    </w:p>
    <w:p>
      <w:pPr>
        <w:pStyle w:val="ListBullet"/>
        <w:spacing w:after="60"/>
      </w:pPr>
      <w:r>
        <w:rPr>
          <w:sz w:val="21"/>
        </w:rPr>
        <w:t>Affiliations, second-opinion services and clinical program development with corporate hospital chains.</w:t>
      </w:r>
      <w:hyperlink r:id="rId48">
        <w:r>
          <w:rPr>
            <w:color w:val="B31822"/>
            <w:vertAlign w:val="superscript"/>
          </w:rPr>
          <w:t xml:space="preserve">62,</w:t>
        </w:r>
      </w:hyperlink>
      <w:hyperlink r:id="rId35">
        <w:r>
          <w:rPr>
            <w:color w:val="B31822"/>
            <w:vertAlign w:val="superscript"/>
          </w:rPr>
          <w:t xml:space="preserve">72</w:t>
        </w:r>
      </w:hyperlink>
    </w:p>
    <w:p>
      <w:pPr>
        <w:pStyle w:val="ListBullet"/>
        <w:spacing w:after="60"/>
      </w:pPr>
      <w:r>
        <w:rPr>
          <w:sz w:val="21"/>
        </w:rPr>
        <w:t>Cardiology, oncology, metabolic and transplant care in the aging south, west and National Capital Region.</w:t>
      </w:r>
      <w:hyperlink r:id="rId28">
        <w:r>
          <w:rPr>
            <w:color w:val="B31822"/>
            <w:vertAlign w:val="superscript"/>
          </w:rPr>
          <w:t xml:space="preserve">15,</w:t>
        </w:r>
      </w:hyperlink>
      <w:hyperlink r:id="rId64">
        <w:r>
          <w:rPr>
            <w:color w:val="B31822"/>
            <w:vertAlign w:val="superscript"/>
          </w:rPr>
          <w:t xml:space="preserve">37,</w:t>
        </w:r>
      </w:hyperlink>
      <w:hyperlink r:id="rId65">
        <w:r>
          <w:rPr>
            <w:color w:val="B31822"/>
            <w:vertAlign w:val="superscript"/>
          </w:rPr>
          <w:t xml:space="preserve">43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Risks and watch items</w:t>
      </w:r>
    </w:p>
    <w:p>
      <w:pPr>
        <w:pStyle w:val="ListBullet"/>
        <w:spacing w:after="60"/>
      </w:pPr>
      <w:r>
        <w:rPr>
          <w:sz w:val="21"/>
        </w:rPr>
        <w:t>Medical arrivals fell from 6.97 lakh in 2019 to 6.44 lakh in 2024; Bangladesh, the top source, faced visa limits.</w:t>
      </w:r>
      <w:hyperlink r:id="rId18">
        <w:r>
          <w:rPr>
            <w:color w:val="B31822"/>
            <w:vertAlign w:val="superscript"/>
          </w:rPr>
          <w:t xml:space="preserve">104,</w:t>
        </w:r>
      </w:hyperlink>
      <w:hyperlink r:id="rId66">
        <w:r>
          <w:rPr>
            <w:color w:val="B31822"/>
            <w:vertAlign w:val="superscript"/>
          </w:rPr>
          <w:t xml:space="preserve">106</w:t>
        </w:r>
      </w:hyperlink>
    </w:p>
    <w:p>
      <w:pPr>
        <w:pStyle w:val="ListBullet"/>
        <w:spacing w:after="60"/>
      </w:pPr>
      <w:r>
        <w:rPr>
          <w:sz w:val="21"/>
        </w:rPr>
        <w:t>A 2026 US law allows tariffs up to 100% on the largest Russian energy buyers; generics face Section 232 review.</w:t>
      </w:r>
      <w:hyperlink r:id="rId67">
        <w:r>
          <w:rPr>
            <w:color w:val="B31822"/>
            <w:vertAlign w:val="superscript"/>
          </w:rPr>
          <w:t xml:space="preserve">31,</w:t>
        </w:r>
      </w:hyperlink>
      <w:hyperlink r:id="rId68">
        <w:r>
          <w:rPr>
            <w:color w:val="B31822"/>
            <w:vertAlign w:val="superscript"/>
          </w:rPr>
          <w:t xml:space="preserve">33</w:t>
        </w:r>
      </w:hyperlink>
    </w:p>
    <w:p>
      <w:pPr>
        <w:pStyle w:val="ListBullet"/>
        <w:spacing w:after="60"/>
      </w:pPr>
      <w:r>
        <w:rPr>
          <w:sz w:val="21"/>
        </w:rPr>
        <w:t>Thin public funding and staffing; PM-JAY tariffs set the price floor for private partners.</w:t>
      </w:r>
      <w:hyperlink r:id="rId13">
        <w:r>
          <w:rPr>
            <w:color w:val="B31822"/>
            <w:vertAlign w:val="superscript"/>
          </w:rPr>
          <w:t xml:space="preserve">23,</w:t>
        </w:r>
      </w:hyperlink>
      <w:hyperlink r:id="rId16">
        <w:r>
          <w:rPr>
            <w:color w:val="B31822"/>
            <w:vertAlign w:val="superscript"/>
          </w:rPr>
          <w:t xml:space="preserve">56,</w:t>
        </w:r>
      </w:hyperlink>
      <w:hyperlink r:id="rId40">
        <w:r>
          <w:rPr>
            <w:color w:val="B31822"/>
            <w:vertAlign w:val="superscript"/>
          </w:rPr>
          <w:t xml:space="preserve">89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Recent developments</w:t>
      </w:r>
    </w:p>
    <w:p>
      <w:pPr>
        <w:spacing w:after="60"/>
      </w:pPr>
      <w:r>
        <w:rPr>
          <w:b/>
          <w:color w:val="B31822"/>
          <w:sz w:val="20"/>
        </w:rPr>
        <w:t xml:space="preserve">2026-06-10   </w:t>
      </w:r>
      <w:r>
        <w:rPr>
          <w:sz w:val="20"/>
        </w:rPr>
        <w:t>Maharashtra's MoU names Cleveland Clinic anchor of planned US$1.2 billion Navi Mumbai MediCity.</w:t>
      </w:r>
      <w:hyperlink r:id="rId23">
        <w:r>
          <w:rPr>
            <w:color w:val="B31822"/>
            <w:vertAlign w:val="superscript"/>
          </w:rPr>
          <w:t xml:space="preserve">24,</w:t>
        </w:r>
      </w:hyperlink>
      <w:hyperlink r:id="rId56">
        <w:r>
          <w:rPr>
            <w:color w:val="B31822"/>
            <w:vertAlign w:val="superscript"/>
          </w:rPr>
          <w:t xml:space="preserve">103</w:t>
        </w:r>
      </w:hyperlink>
    </w:p>
    <w:p>
      <w:pPr>
        <w:spacing w:after="60"/>
      </w:pPr>
      <w:r>
        <w:rPr>
          <w:b/>
          <w:color w:val="B31822"/>
          <w:sz w:val="20"/>
        </w:rPr>
        <w:t xml:space="preserve">2026-08-06   </w:t>
      </w:r>
      <w:r>
        <w:rPr>
          <w:sz w:val="20"/>
        </w:rPr>
        <w:t>KKR agreed to buy Medicover India's 24 hospitals; closing expected fourth quarter 2026.</w:t>
      </w:r>
      <w:hyperlink r:id="rId54">
        <w:r>
          <w:rPr>
            <w:color w:val="B31822"/>
            <w:vertAlign w:val="superscript"/>
          </w:rPr>
          <w:t xml:space="preserve">74,</w:t>
        </w:r>
      </w:hyperlink>
      <w:hyperlink r:id="rId62">
        <w:r>
          <w:rPr>
            <w:color w:val="B31822"/>
            <w:vertAlign w:val="superscript"/>
          </w:rPr>
          <w:t xml:space="preserve">137</w:t>
        </w:r>
      </w:hyperlink>
    </w:p>
    <w:p>
      <w:pPr>
        <w:spacing w:after="60"/>
      </w:pPr>
      <w:r>
        <w:rPr>
          <w:b/>
          <w:color w:val="B31822"/>
          <w:sz w:val="20"/>
        </w:rPr>
        <w:t xml:space="preserve">2026-09-23   </w:t>
      </w:r>
      <w:r>
        <w:rPr>
          <w:sz w:val="20"/>
        </w:rPr>
        <w:t>PM-JAY turned eight: 13.25 crore funded admissions at over 38,000 empaneled hospitals.</w:t>
      </w:r>
      <w:hyperlink r:id="rId16">
        <w:r>
          <w:rPr>
            <w:color w:val="B31822"/>
            <w:vertAlign w:val="superscript"/>
          </w:rPr>
          <w:t xml:space="preserve">56,</w:t>
        </w:r>
      </w:hyperlink>
      <w:hyperlink r:id="rId69">
        <w:r>
          <w:rPr>
            <w:color w:val="B31822"/>
            <w:vertAlign w:val="superscript"/>
          </w:rPr>
          <w:t xml:space="preserve">57</w:t>
        </w:r>
      </w:hyperlink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6E6E"/>
        <w:sz w:val="18"/>
      </w:rPr>
      <w:t xml:space="preserve">Cedars-Sinai International   </w:t>
    </w:r>
    <w:r>
      <w:rPr>
        <w:color w:val="6E6E6E"/>
        <w:sz w:val="18"/>
      </w:rPr>
      <w:fldChar w:fldCharType="begin"/>
    </w:r>
    <w:r>
      <w:rPr>
        <w:color w:val="6E6E6E"/>
        <w:sz w:val="18"/>
      </w:rPr>
      <w:instrText xml:space="preserve"> PAGE </w:instrText>
    </w:r>
    <w:r>
      <w:rPr>
        <w:color w:val="6E6E6E"/>
        <w:sz w:val="18"/>
      </w:rPr>
      <w:fldChar w:fldCharType="separate"/>
    </w:r>
    <w:r>
      <w:rPr>
        <w:color w:val="6E6E6E"/>
        <w:sz w:val="18"/>
      </w:rPr>
      <w:t/>
    </w:r>
    <w:r>
      <w:rPr>
        <w:color w:val="6E6E6E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2424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D91F2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B318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www.business-standard.com/markets/capital-market-news/india-s-population-estimated-to-hit-1-46-billion-in-2025-says-un-125061001170_1.html" TargetMode="External"/><Relationship Id="rId12" Type="http://schemas.openxmlformats.org/officeDocument/2006/relationships/hyperlink" Target="https://data.worldbank.org/indicator/NY.GDP.PCAP.PP.CD?locations=IN" TargetMode="External"/><Relationship Id="rId13" Type="http://schemas.openxmlformats.org/officeDocument/2006/relationships/hyperlink" Target="https://nhsrcindia.org/sites/default/files/2026-05/NHA%202022-23%20Report.pdf" TargetMode="External"/><Relationship Id="rId14" Type="http://schemas.openxmlformats.org/officeDocument/2006/relationships/hyperlink" Target="https://www.pib.gov.in/PressReleasePage.aspx?PRID=2265816&amp;lang=1&amp;reg=3" TargetMode="External"/><Relationship Id="rId15" Type="http://schemas.openxmlformats.org/officeDocument/2006/relationships/hyperlink" Target="https://www.deccanherald.com/amp/story/india%2Fdoctor-population-ratio-1811-in-india-union-health-minister-j-p-nadda-3817146" TargetMode="External"/><Relationship Id="rId16" Type="http://schemas.openxmlformats.org/officeDocument/2006/relationships/hyperlink" Target="https://www.aninews.in/news/national/politics/sankalp-for-seva8217-jp-nadda-marks-8-years-of-ayushman-bharat-pm-jay-highlights-coverage-of-over-60-crore-people20260923095824/" TargetMode="External"/><Relationship Id="rId17" Type="http://schemas.openxmlformats.org/officeDocument/2006/relationships/hyperlink" Target="https://www.orfonline.org/expert-speak/india-s-2025-national-health-survey-update-higher-access-persistent-financial-risk" TargetMode="External"/><Relationship Id="rId18" Type="http://schemas.openxmlformats.org/officeDocument/2006/relationships/hyperlink" Target="https://ddnews.gov.in/en/over-6-4-lakh-foreign-tourists-visited-india-for-medical-treatment-in-2024/" TargetMode="External"/><Relationship Id="rId19" Type="http://schemas.openxmlformats.org/officeDocument/2006/relationships/hyperlink" Target="https://www.eoikhartoum.gov.in/india-at-a-glance.php" TargetMode="External"/><Relationship Id="rId20" Type="http://schemas.openxmlformats.org/officeDocument/2006/relationships/hyperlink" Target="https://cdnbbsr.s3waas.gov.in/s380537a945c7aaa788ccfcdf1b99b5d8f/uploads/2024/07/20240716890312078.pdf" TargetMode="External"/><Relationship Id="rId21" Type="http://schemas.openxmlformats.org/officeDocument/2006/relationships/hyperlink" Target="https://www.presidentofindia.gov.in/Profile" TargetMode="External"/><Relationship Id="rId22" Type="http://schemas.openxmlformats.org/officeDocument/2006/relationships/hyperlink" Target="https://www.pmindia.gov.in/en/pms-profile/" TargetMode="External"/><Relationship Id="rId23" Type="http://schemas.openxmlformats.org/officeDocument/2006/relationships/hyperlink" Target="https://www.freepressjournal.in/mumbai/maharashtra-signs-mou-with-cleveland-clinic-and-brookfield-for-navi-mumbai-international-medicity-indias-first-global-scale-healthcare-hub" TargetMode="External"/><Relationship Id="rId24" Type="http://schemas.openxmlformats.org/officeDocument/2006/relationships/hyperlink" Target="https://data.worldbank.org/indicator/NY.GDP.MKTP.PP.CD?locations=IN" TargetMode="External"/><Relationship Id="rId25" Type="http://schemas.openxmlformats.org/officeDocument/2006/relationships/hyperlink" Target="https://www.imf.org/-/media/files/publications/weo/2026/update/july/english/text.pdf" TargetMode="External"/><Relationship Id="rId26" Type="http://schemas.openxmlformats.org/officeDocument/2006/relationships/hyperlink" Target="https://www.mospi.gov.in/uploads/latestReleases/latest_release_1780655857536_5ac01869-ca4a-422d-b7a7-57b81da60932_Press_Note_on_GDP_Estimates_for_Q4_2025-26_and_PE_FY_2025-26_F.pdf" TargetMode="External"/><Relationship Id="rId27" Type="http://schemas.openxmlformats.org/officeDocument/2006/relationships/hyperlink" Target="https://m.thewire.in/article/health/all-the-states-except-six-in-north-india-are-below-replacement-fertility-levels-govt-report-suggests" TargetMode="External"/><Relationship Id="rId28" Type="http://schemas.openxmlformats.org/officeDocument/2006/relationships/hyperlink" Target="https://india.unfpa.org/en/news/india-ageing-elderly-make-20-population-2050-unfpa-report" TargetMode="External"/><Relationship Id="rId29" Type="http://schemas.openxmlformats.org/officeDocument/2006/relationships/hyperlink" Target="https://factly.in/data-india-ageing-report-2023-highlights-challenges-of-demographic-shift/" TargetMode="External"/><Relationship Id="rId30" Type="http://schemas.openxmlformats.org/officeDocument/2006/relationships/hyperlink" Target="https://www.newsonair.gov.in/white-house-says-india-to-face-temporary-10-per-cent-tariff-after-new-us-order" TargetMode="External"/><Relationship Id="rId31" Type="http://schemas.openxmlformats.org/officeDocument/2006/relationships/hyperlink" Target="https://www.morganlewis.com/pubs/2026/07/us-administration-rebuilds-global-tariff-program-under-section-301" TargetMode="External"/><Relationship Id="rId32" Type="http://schemas.openxmlformats.org/officeDocument/2006/relationships/hyperlink" Target="https://www.mospi.gov.in/uploads/release_calendar/1776681150721_PRESS_NOTE_HEALTH_REVISED.pdf" TargetMode="External"/><Relationship Id="rId33" Type="http://schemas.openxmlformats.org/officeDocument/2006/relationships/hyperlink" Target="https://finance.yahoo.com/news/ramaiah-memorial-hospital-signs-long-143000744.html" TargetMode="External"/><Relationship Id="rId34" Type="http://schemas.openxmlformats.org/officeDocument/2006/relationships/hyperlink" Target="https://www.deccanherald.com/india/karnataka/bengaluru/ramaiah-memorial-inks-10-year-partnership-with-mount-sinai-health-system-of-new-york-3103995" TargetMode="External"/><Relationship Id="rId35" Type="http://schemas.openxmlformats.org/officeDocument/2006/relationships/hyperlink" Target="https://www.ey.com/en_in/newsroom/2026/07/india-healthcare-sector-records-strong-fy-26-growth-expansion-and-capacity-build-out-drive-momentum" TargetMode="External"/><Relationship Id="rId36" Type="http://schemas.openxmlformats.org/officeDocument/2006/relationships/hyperlink" Target="https://thesouthfirst.com/health/south-india-leads-indias-nursing-workforce-as-national-ratio-remains-below-who-benchmark/" TargetMode="External"/><Relationship Id="rId37" Type="http://schemas.openxmlformats.org/officeDocument/2006/relationships/hyperlink" Target="https://www.pib.gov.in/PressReleasePage.aspx?PRID=2210432&amp;reg=3&amp;lang=1" TargetMode="External"/><Relationship Id="rId38" Type="http://schemas.openxmlformats.org/officeDocument/2006/relationships/hyperlink" Target="https://vajiramandravi.com/upsc-exam/15th-finance-commission/" TargetMode="External"/><Relationship Id="rId39" Type="http://schemas.openxmlformats.org/officeDocument/2006/relationships/hyperlink" Target="https://www.pib.gov.in/PressReleasePage.aspx?PRID=2080071&amp;reg=48&amp;lang=2" TargetMode="External"/><Relationship Id="rId40" Type="http://schemas.openxmlformats.org/officeDocument/2006/relationships/hyperlink" Target="https://www.business-standard.com/health/rural-india-chc-s-see-nearly-80-shortfall-of-specialist-doctors-govt-rpt-124091000561_1.html" TargetMode="External"/><Relationship Id="rId41" Type="http://schemas.openxmlformats.org/officeDocument/2006/relationships/image" Target="media/image2.png"/><Relationship Id="rId42" Type="http://schemas.openxmlformats.org/officeDocument/2006/relationships/hyperlink" Target="https://theprint.in/health/as-govt-cut-health-spends-post-covid-indians-paid-more-out-of-pocket-in-2022-23-reversing-10-yr-trend/2943692/" TargetMode="External"/><Relationship Id="rId43" Type="http://schemas.openxmlformats.org/officeDocument/2006/relationships/image" Target="media/image3.png"/><Relationship Id="rId44" Type="http://schemas.openxmlformats.org/officeDocument/2006/relationships/hyperlink" Target="https://www.chennaionline.com/life/nrts-implementation-uneven-across-india/" TargetMode="External"/><Relationship Id="rId45" Type="http://schemas.openxmlformats.org/officeDocument/2006/relationships/hyperlink" Target="https://www.oecd.org/en/publications/health-at-a-glance-2025_8f9e3f98-en/full-report/doctors-overall-number-and-distribution_beb60151.html" TargetMode="External"/><Relationship Id="rId46" Type="http://schemas.openxmlformats.org/officeDocument/2006/relationships/hyperlink" Target="https://www.oecd.org/en/publications/health-at-a-glance-2025_8f9e3f98-en/full-report/nurses_00c2bcb9.html" TargetMode="External"/><Relationship Id="rId47" Type="http://schemas.openxmlformats.org/officeDocument/2006/relationships/hyperlink" Target="https://www.oecd.org/en/publications/2025/11/health-at-a-glance-2025_a894f72e/full-report/hospital-beds-and-occupancy_152d839e.html" TargetMode="External"/><Relationship Id="rId48" Type="http://schemas.openxmlformats.org/officeDocument/2006/relationships/hyperlink" Target="https://groww.in/ipo/manipal-health-enterprises-ipo" TargetMode="External"/><Relationship Id="rId49" Type="http://schemas.openxmlformats.org/officeDocument/2006/relationships/hyperlink" Target="https://www.apollohospitals.com/sites/default/files/2026-05/ahel-q4fy26-resullts-release.pdf" TargetMode="External"/><Relationship Id="rId50" Type="http://schemas.openxmlformats.org/officeDocument/2006/relationships/hyperlink" Target="https://www.healthcaremea.com/2026/07/03/aster-dm-quality-care-begins-operations-post-merger-with-over-10600-beds/" TargetMode="External"/><Relationship Id="rId51" Type="http://schemas.openxmlformats.org/officeDocument/2006/relationships/hyperlink" Target="https://www.business-standard.com/markets/news/manipal-health-share-price-lists-at-11-premium-beats-gmp-expectations-126080500123_1.html" TargetMode="External"/><Relationship Id="rId52" Type="http://schemas.openxmlformats.org/officeDocument/2006/relationships/hyperlink" Target="https://www.asterdmhealthcare.in/newsroom/detail/aster-and-blackstone-backed-quality-care-have-merged-establish-one-of-top-3-hospital-chains-india" TargetMode="External"/><Relationship Id="rId53" Type="http://schemas.openxmlformats.org/officeDocument/2006/relationships/hyperlink" Target="https://www.investywise.com/fortis-healthcare-results-of-open-offers/" TargetMode="External"/><Relationship Id="rId54" Type="http://schemas.openxmlformats.org/officeDocument/2006/relationships/hyperlink" Target="https://www.nasdaq.com/press-release/kkr-acquire-leading-multi-specialty-healthcare-provider-medicover-india-2026-08-06" TargetMode="External"/><Relationship Id="rId55" Type="http://schemas.openxmlformats.org/officeDocument/2006/relationships/hyperlink" Target="https://www.adani.com/newsroom/media-releases/adani-to-partner-mayo-clinic-to-establish-affordable-world-class-healthcare-facilities" TargetMode="External"/><Relationship Id="rId56" Type="http://schemas.openxmlformats.org/officeDocument/2006/relationships/hyperlink" Target="https://www.bwhealthcareworld.com/article/maharashtra-signs-1-2-billion-deal-to-develop-navi-mumbai-medicity-610344" TargetMode="External"/><Relationship Id="rId57" Type="http://schemas.openxmlformats.org/officeDocument/2006/relationships/image" Target="media/image4.png"/><Relationship Id="rId58" Type="http://schemas.openxmlformats.org/officeDocument/2006/relationships/hyperlink" Target="https://www.bwhealthcareworld.com/article/apollo-hospitals-q4-fy26-profit-rises-36-to-rs-529-crore-revenue-up-18-607774" TargetMode="External"/><Relationship Id="rId59" Type="http://schemas.openxmlformats.org/officeDocument/2006/relationships/hyperlink" Target="https://max-website20-images.s3.ap-south-1.amazonaws.com/SE_Intimation_Reg_30_LODR_Earnings_Update_21_05_2026_ed3cd6e592.pdf" TargetMode="External"/><Relationship Id="rId60" Type="http://schemas.openxmlformats.org/officeDocument/2006/relationships/hyperlink" Target="https://max-website20-images.s3.ap-south-1.amazonaws.com/FY_2025_26_Integrated_Annual_Report_ab5f34d431.pdf" TargetMode="External"/><Relationship Id="rId61" Type="http://schemas.openxmlformats.org/officeDocument/2006/relationships/hyperlink" Target="https://www.indianpharmapost.com/hospitals/lite/medanta-delivers-record-fy26-performance-as-revenue-surges-profit-jumps-with-expansion-20233" TargetMode="External"/><Relationship Id="rId62" Type="http://schemas.openxmlformats.org/officeDocument/2006/relationships/hyperlink" Target="https://www.tradingview.com/news/modular_finance:0f6ef34bba47c:0-medicover-divests-its-india-hospital-business-enabling-accelerated-strategy-execution-in-europe/" TargetMode="External"/><Relationship Id="rId63" Type="http://schemas.openxmlformats.org/officeDocument/2006/relationships/hyperlink" Target="https://www.business-standard.com/budget/news/govt-to-support-five-regional-medical-tourism-hubs-126020100321_1.html" TargetMode="External"/><Relationship Id="rId64" Type="http://schemas.openxmlformats.org/officeDocument/2006/relationships/hyperlink" Target="https://thefederal.com/health/noncommunicable-diseases-caused-66-deaths-in-india-in-2019-who" TargetMode="External"/><Relationship Id="rId65" Type="http://schemas.openxmlformats.org/officeDocument/2006/relationships/hyperlink" Target="https://risingkashmir.com/india-sees-over-15-lakh-new-cancer-cases-in-2024-health-ministry/" TargetMode="External"/><Relationship Id="rId66" Type="http://schemas.openxmlformats.org/officeDocument/2006/relationships/hyperlink" Target="https://www.businesstoday.in/india/story/indias-medical-tourism-takes-a-hit-as-patient-arrivals-from-bangladesh-plunge-amid-visa-restrictions-466418-2025-03-02" TargetMode="External"/><Relationship Id="rId67" Type="http://schemas.openxmlformats.org/officeDocument/2006/relationships/hyperlink" Target="https://www.indialaw.in/blog/us-pharma-tariffs-2026-exporters/" TargetMode="External"/><Relationship Id="rId68" Type="http://schemas.openxmlformats.org/officeDocument/2006/relationships/hyperlink" Target="https://sanctionsnews.bakermckenzie.com/us-president-signs-russia-and-iran-sanctions-bill-with-new-tariff-powers/" TargetMode="External"/><Relationship Id="rId69" Type="http://schemas.openxmlformats.org/officeDocument/2006/relationships/hyperlink" Target="https://morungexpress.com/indias-ab-pm-jay-marks-8th-anniversary-funds-1325-crore-admiss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