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New Zealand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6188710" cy="3481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Zealan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right"/>
      </w:pPr>
      <w:r>
        <w:rPr>
          <w:color w:val="6E6E6E"/>
          <w:sz w:val="14"/>
        </w:rPr>
        <w:t>Photo: MurielBendel, CC BY-SA 4.0, via Wikimedia Commons</w:t>
      </w:r>
    </w:p>
    <w:p>
      <w:pPr>
        <w:widowControl/>
        <w:spacing w:before="360"/>
      </w:pPr>
      <w:r>
        <w:rPr>
          <w:i/>
          <w:color w:val="6E6E6E"/>
          <w:sz w:val="20"/>
        </w:rPr>
        <w:t>Executive summary of the New Zealand country profile (2026-10-21). Superscript numbers refer to the numbered sources in New Zealand_Profile_DRAFT_SOURCES.docx.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80"/>
      </w:pPr>
      <w:r>
        <w:t>At a Glance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5.36 m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Population, 30 June 2026, provisional</w:t>
            </w:r>
            <w:hyperlink r:id="rId11">
              <w:r>
                <w:rPr>
                  <w:color w:val="B31822"/>
                  <w:vertAlign w:val="superscript"/>
                </w:rPr>
                <w:t xml:space="preserve">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57,350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GDP per capita, PPP (international dollars),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6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10.06%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Current health expenditure, share of GDP, 2024</w:t>
            </w:r>
            <w:hyperlink r:id="rId13">
              <w:r>
                <w:rPr>
                  <w:color w:val="B31822"/>
                  <w:vertAlign w:val="superscript"/>
                </w:rPr>
                <w:t xml:space="preserve">37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12.7%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Out-of-pocket share of current health expenditure, 2024</w:t>
            </w:r>
            <w:hyperlink r:id="rId14">
              <w:r>
                <w:rPr>
                  <w:color w:val="B31822"/>
                  <w:vertAlign w:val="superscript"/>
                </w:rPr>
                <w:t xml:space="preserve">39</w:t>
              </w:r>
            </w:hyperlink>
          </w:p>
        </w:tc>
      </w:tr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3.61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 people, 2022</w:t>
            </w:r>
            <w:hyperlink r:id="rId15">
              <w:r>
                <w:rPr>
                  <w:color w:val="B31822"/>
                  <w:vertAlign w:val="superscript"/>
                </w:rPr>
                <w:t xml:space="preserve">43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82.0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Life expectancy at birth, years, 2024</w:t>
            </w:r>
            <w:hyperlink r:id="rId16">
              <w:r>
                <w:rPr>
                  <w:color w:val="B31822"/>
                  <w:vertAlign w:val="superscript"/>
                </w:rPr>
                <w:t xml:space="preserve">14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17.6%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Population aged 65 and over, 2025</w:t>
            </w:r>
            <w:hyperlink r:id="rId17">
              <w:r>
                <w:rPr>
                  <w:color w:val="B31822"/>
                  <w:vertAlign w:val="superscript"/>
                </w:rPr>
                <w:t xml:space="preserve">12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NZ$34.2 bn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Total health spending, 2026/27, government figure</w:t>
            </w:r>
            <w:hyperlink r:id="rId18">
              <w:r>
                <w:rPr>
                  <w:color w:val="B31822"/>
                  <w:vertAlign w:val="superscript"/>
                </w:rPr>
                <w:t xml:space="preserve">19</w:t>
              </w:r>
            </w:hyperlink>
          </w:p>
        </w:tc>
      </w:tr>
    </w:tbl>
    <w:p>
      <w:pPr>
        <w:keepNext/>
        <w:widowControl/>
        <w:spacing w:before="160" w:after="60"/>
      </w:pPr>
      <w:r>
        <w:rPr>
          <w:b/>
          <w:color w:val="B31822"/>
          <w:sz w:val="24"/>
        </w:rPr>
        <w:t>Country background</w:t>
      </w:r>
    </w:p>
    <w:p>
      <w:pPr>
        <w:widowControl/>
      </w:pPr>
      <w:r>
        <w:rPr>
          <w:sz w:val="21"/>
        </w:rPr>
        <w:t>New Zealand, a constitutional monarchy with its capital in Wellington, had about 5.36 million people at 30 June 2026 (provisional).</w:t>
      </w:r>
      <w:hyperlink r:id="rId19">
        <w:r>
          <w:rPr>
            <w:color w:val="B31822"/>
            <w:vertAlign w:val="superscript"/>
          </w:rPr>
          <w:t xml:space="preserve">1,</w:t>
        </w:r>
      </w:hyperlink>
      <w:hyperlink r:id="rId11">
        <w:r>
          <w:rPr>
            <w:color w:val="B31822"/>
            <w:vertAlign w:val="superscript"/>
          </w:rPr>
          <w:t xml:space="preserve">3,</w:t>
        </w:r>
      </w:hyperlink>
      <w:hyperlink r:id="rId20">
        <w:r>
          <w:rPr>
            <w:color w:val="B31822"/>
            <w:vertAlign w:val="superscript"/>
          </w:rPr>
          <w:t xml:space="preserve">7</w:t>
        </w:r>
      </w:hyperlink>
      <w:r>
        <w:rPr>
          <w:sz w:val="21"/>
        </w:rPr>
        <w:t xml:space="preserve"> Governor-General Dame Cindy Kiro represents the King, and Prime Minister Christopher Luxon leads a National, ACT and New Zealand First government.</w:t>
      </w:r>
      <w:hyperlink r:id="rId21">
        <w:r>
          <w:rPr>
            <w:color w:val="B31822"/>
            <w:vertAlign w:val="superscript"/>
          </w:rPr>
          <w:t xml:space="preserve">8,</w:t>
        </w:r>
      </w:hyperlink>
      <w:hyperlink r:id="rId22">
        <w:r>
          <w:rPr>
            <w:color w:val="B31822"/>
            <w:vertAlign w:val="superscript"/>
          </w:rPr>
          <w:t xml:space="preserve">9</w:t>
        </w:r>
      </w:hyperlink>
      <w:r>
        <w:rPr>
          <w:sz w:val="21"/>
        </w:rPr>
        <w:t xml:space="preserve"> Simeon Brown is Minister of Health, and Health New Zealand has delivered public services nationally since 2022.</w:t>
      </w:r>
      <w:hyperlink r:id="rId23">
        <w:r>
          <w:rPr>
            <w:color w:val="B31822"/>
            <w:vertAlign w:val="superscript"/>
          </w:rPr>
          <w:t xml:space="preserve">16,</w:t>
        </w:r>
      </w:hyperlink>
      <w:hyperlink r:id="rId18">
        <w:r>
          <w:rPr>
            <w:color w:val="B31822"/>
            <w:vertAlign w:val="superscript"/>
          </w:rPr>
          <w:t xml:space="preserve">19</w:t>
        </w:r>
      </w:hyperlink>
      <w:r>
        <w:rPr>
          <w:sz w:val="21"/>
        </w:rPr>
        <w:t xml:space="preserve"> The high-income economy grew 1.7 percent in the year ended June 2026, and GDP per person was about 57,350 international dollars (PPP) in 2025.</w:t>
      </w:r>
      <w:hyperlink r:id="rId12">
        <w:r>
          <w:rPr>
            <w:color w:val="B31822"/>
            <w:vertAlign w:val="superscript"/>
          </w:rPr>
          <w:t xml:space="preserve">6,</w:t>
        </w:r>
      </w:hyperlink>
      <w:hyperlink r:id="rId24">
        <w:r>
          <w:rPr>
            <w:color w:val="B31822"/>
            <w:vertAlign w:val="superscript"/>
          </w:rPr>
          <w:t xml:space="preserve">20</w:t>
        </w:r>
      </w:hyperlink>
      <w:r>
        <w:rPr>
          <w:sz w:val="21"/>
        </w:rPr>
        <w:t xml:space="preserve"> The population is aging: 17.6 percent were 65 or older in 2025, and life expectancy was 82.0 years in 2024.</w:t>
      </w:r>
      <w:hyperlink r:id="rId17">
        <w:r>
          <w:rPr>
            <w:color w:val="B31822"/>
            <w:vertAlign w:val="superscript"/>
          </w:rPr>
          <w:t xml:space="preserve">12,</w:t>
        </w:r>
      </w:hyperlink>
      <w:hyperlink r:id="rId16">
        <w:r>
          <w:rPr>
            <w:color w:val="B31822"/>
            <w:vertAlign w:val="superscript"/>
          </w:rPr>
          <w:t xml:space="preserve">14</w:t>
        </w:r>
      </w:hyperlink>
      <w:r>
        <w:rPr>
          <w:sz w:val="21"/>
        </w:rPr>
        <w:t xml:space="preserve"> The key risk is fiscal, because the Treasury warns that demographic change, unless checked, will make the long-term fiscal position unsustainable.</w:t>
      </w:r>
      <w:hyperlink r:id="rId25">
        <w:r>
          <w:rPr>
            <w:color w:val="B31822"/>
            <w:vertAlign w:val="superscript"/>
          </w:rPr>
          <w:t xml:space="preserve">21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widowControl/>
        <w:spacing w:after="60"/>
      </w:pPr>
      <w:r>
        <w:rPr>
          <w:sz w:val="21"/>
        </w:rPr>
        <w:t>Health spending reached 10.1 percent of GDP in 2024, from 9.2 percent in 2012.</w:t>
      </w:r>
      <w:hyperlink r:id="rId13">
        <w:r>
          <w:rPr>
            <w:color w:val="B31822"/>
            <w:vertAlign w:val="superscript"/>
          </w:rPr>
          <w:t xml:space="preserve">37</w:t>
        </w:r>
      </w:hyperlink>
    </w:p>
    <w:p>
      <w:pPr>
        <w:pStyle w:val="ListBullet"/>
        <w:widowControl/>
        <w:spacing w:after="60"/>
      </w:pPr>
      <w:r>
        <w:rPr>
          <w:sz w:val="21"/>
        </w:rPr>
        <w:t>International graduates were 43.5 percent of registered doctors in 2025, but only 40 percent stay two years.</w:t>
      </w:r>
      <w:hyperlink r:id="rId26">
        <w:r>
          <w:rPr>
            <w:color w:val="B31822"/>
            <w:vertAlign w:val="superscript"/>
          </w:rPr>
          <w:t xml:space="preserve">42</w:t>
        </w:r>
      </w:hyperlink>
    </w:p>
    <w:p>
      <w:pPr>
        <w:pStyle w:val="ListBullet"/>
        <w:widowControl/>
        <w:spacing w:after="60"/>
      </w:pPr>
      <w:r>
        <w:rPr>
          <w:sz w:val="21"/>
        </w:rPr>
        <w:t>In 2024/25, 34.2 percent of adults were obese and 14.3 percent reported high or very high psychological distress.</w:t>
      </w:r>
      <w:hyperlink r:id="rId27">
        <w:r>
          <w:rPr>
            <w:color w:val="B31822"/>
            <w:vertAlign w:val="superscript"/>
          </w:rPr>
          <w:t xml:space="preserve">26</w:t>
        </w:r>
      </w:hyperlink>
    </w:p>
    <w:p>
      <w:pPr>
        <w:pStyle w:val="ListBullet"/>
        <w:widowControl/>
        <w:spacing w:after="60"/>
      </w:pPr>
      <w:r>
        <w:rPr>
          <w:sz w:val="21"/>
        </w:rPr>
        <w:t>In 2026 Health New Zealand signed its first long-term private hospital contracts, worth about $300 million.</w:t>
      </w:r>
      <w:hyperlink r:id="rId28">
        <w:r>
          <w:rPr>
            <w:color w:val="B31822"/>
            <w:vertAlign w:val="superscript"/>
          </w:rPr>
          <w:t xml:space="preserve">36</w:t>
        </w:r>
      </w:hyperlink>
    </w:p>
    <w:p>
      <w:pPr>
        <w:pStyle w:val="Heading1"/>
        <w:keepNext/>
        <w:widowControl/>
        <w:spacing w:before="280" w:after="80"/>
      </w:pPr>
      <w:r>
        <w:t>Health System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Health New Zealand replaced the district health boards in 2022 and delivers tax-funded universal care nationally.</w:t>
      </w:r>
      <w:hyperlink r:id="rId23">
        <w:r>
          <w:rPr>
            <w:color w:val="B31822"/>
            <w:vertAlign w:val="superscript"/>
          </w:rPr>
          <w:t xml:space="preserve">16</w:t>
        </w:r>
      </w:hyperlink>
    </w:p>
    <w:p>
      <w:pPr>
        <w:pStyle w:val="ListBullet"/>
        <w:widowControl/>
        <w:spacing w:after="60"/>
      </w:pPr>
      <w:r>
        <w:rPr>
          <w:sz w:val="21"/>
        </w:rPr>
        <w:t>Elective treatment within four months reached 72.6 percent in 2025/26, up from 63.9 percent.</w:t>
      </w:r>
      <w:hyperlink r:id="rId29">
        <w:r>
          <w:rPr>
            <w:color w:val="B31822"/>
            <w:vertAlign w:val="superscript"/>
          </w:rPr>
          <w:t xml:space="preserve">30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In 2024/25, cost stopped 14.9 percent of adults visiting a GP, and 25.5 percent cited appointment waits.</w:t>
      </w:r>
      <w:hyperlink r:id="rId27">
        <w:r>
          <w:rPr>
            <w:color w:val="B31822"/>
            <w:vertAlign w:val="superscript"/>
          </w:rPr>
          <w:t xml:space="preserve">26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New Zealand: health spending and out-of-pocket share, 2012 to 2024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Current health expenditure as a share of GDP, and out-of-pocket spending as a share of current health expenditure. Sources: </w:t>
      </w:r>
      <w:hyperlink r:id="rId13">
        <w:r>
          <w:rPr>
            <w:color w:val="B31822"/>
            <w:vertAlign w:val="superscript"/>
          </w:rPr>
          <w:t xml:space="preserve">37,</w:t>
        </w:r>
      </w:hyperlink>
      <w:hyperlink r:id="rId14">
        <w:r>
          <w:rPr>
            <w:color w:val="B31822"/>
            <w:vertAlign w:val="superscript"/>
          </w:rPr>
          <w:t xml:space="preserve">39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Physicians per 1,000 people, New Zealand and comparators (latest year available)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713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Latest year available for each country in the World Bank series, shown in brackets; comparison years differ (2022 and 2023). Sources: </w:t>
      </w:r>
      <w:hyperlink r:id="rId32">
        <w:r>
          <w:rPr>
            <w:color w:val="B31822"/>
            <w:vertAlign w:val="superscript"/>
          </w:rPr>
          <w:t xml:space="preserve">47</w:t>
        </w:r>
      </w:hyperlink>
    </w:p>
    <w:p>
      <w:pPr>
        <w:pStyle w:val="Heading1"/>
        <w:keepNext/>
        <w:widowControl/>
        <w:spacing w:before="280" w:after="80"/>
      </w:pPr>
      <w:r>
        <w:t>Market and Competition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About 37 percent of people hold private insurance, and Southern Cross has about 60 percent of the market.</w:t>
      </w:r>
      <w:hyperlink r:id="rId23">
        <w:r>
          <w:rPr>
            <w:color w:val="B31822"/>
            <w:vertAlign w:val="superscript"/>
          </w:rPr>
          <w:t xml:space="preserve">16,</w:t>
        </w:r>
      </w:hyperlink>
      <w:hyperlink r:id="rId33">
        <w:r>
          <w:rPr>
            <w:color w:val="B31822"/>
            <w:vertAlign w:val="superscript"/>
          </w:rPr>
          <w:t xml:space="preserve">31</w:t>
        </w:r>
      </w:hyperlink>
    </w:p>
    <w:p>
      <w:pPr>
        <w:pStyle w:val="ListBullet"/>
        <w:widowControl/>
        <w:spacing w:after="60"/>
      </w:pPr>
      <w:r>
        <w:rPr>
          <w:sz w:val="21"/>
        </w:rPr>
        <w:t>Icon Oncology Group runs Wellington's Bowen Icon Cancer Centre with Australian-owned Evolution Healthcare.</w:t>
      </w:r>
      <w:hyperlink r:id="rId34">
        <w:r>
          <w:rPr>
            <w:color w:val="B31822"/>
            <w:vertAlign w:val="superscript"/>
          </w:rPr>
          <w:t xml:space="preserve">34,</w:t>
        </w:r>
      </w:hyperlink>
      <w:hyperlink r:id="rId35">
        <w:r>
          <w:rPr>
            <w:color w:val="B31822"/>
            <w:vertAlign w:val="superscript"/>
          </w:rPr>
          <w:t xml:space="preserve">53</w:t>
        </w:r>
      </w:hyperlink>
    </w:p>
    <w:p>
      <w:pPr>
        <w:pStyle w:val="ListBullet"/>
        <w:widowControl/>
        <w:spacing w:after="60"/>
      </w:pPr>
      <w:r>
        <w:rPr>
          <w:sz w:val="21"/>
        </w:rPr>
        <w:t>Health New Zealand signed a digital and AI innovation agreement with London's UCLPartners in July 2026.</w:t>
      </w:r>
      <w:hyperlink r:id="rId36">
        <w:r>
          <w:rPr>
            <w:color w:val="B31822"/>
            <w:vertAlign w:val="superscript"/>
          </w:rPr>
          <w:t xml:space="preserve">56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New Zealand: hospital beds per 1,000 people,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Hospital beds as reported to the World Bank; 2023 is the latest year in the series. Sources: </w:t>
      </w:r>
      <w:hyperlink r:id="rId38">
        <w:r>
          <w:rPr>
            <w:color w:val="B31822"/>
            <w:vertAlign w:val="superscript"/>
          </w:rPr>
          <w:t xml:space="preserve">46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Foreign health systems active in New Zealand</w:t>
      </w:r>
    </w:p>
    <w:p>
      <w:pPr>
        <w:widowControl/>
      </w:pPr>
      <w:r>
        <w:rPr>
          <w:sz w:val="20"/>
        </w:rPr>
        <w:t>8 foreign institutions with confirmed active partnerships (8 in all): 4 research collaboration, 2 training and education, 1 ownership or management, 1 advisory and consulting. Sources in the profile and the partnerships tracker.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060000" cy="4101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Zealand_partnerships_ma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4101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i/>
          <w:color w:val="6E6E6E"/>
          <w:sz w:val="16"/>
        </w:rPr>
        <w:t>Active foreign health-system partnerships by city of the partner in New Zealand. Source: CSI partnerships tracker, verified 2026-10-21.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685"/>
            <w:shd w:val="clear" w:color="auto" w:fill="D91F2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91F2C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Johns Hopkins University (Bloomberg School of Public Health, Center for Indigenous Health)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Icon Oncology Group (Icon Group)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National University of Singapore and National University Health System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UCLPartners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Advisory and consulting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Universitas Indonesia (Faculty of Public Health)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University of Southampton (MRC Lifecourse Epidemiology Centre, EpiGen Global Research Consortium)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keepNext/>
            </w:pPr>
            <w:r>
              <w:rPr>
                <w:b/>
                <w:sz w:val="18"/>
              </w:rPr>
              <w:t>University of Wollongong (Graduate School of Medicine)</w:t>
            </w:r>
          </w:p>
        </w:tc>
        <w:tc>
          <w:tcPr>
            <w:tcW w:type="dxa" w:w="5953"/>
          </w:tcPr>
          <w:p>
            <w:pPr>
              <w:keepNext/>
            </w:pPr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West Visayas State University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</w:tbl>
    <w:p>
      <w:pPr>
        <w:pStyle w:val="Heading1"/>
        <w:keepNext/>
        <w:widowControl/>
        <w:spacing w:before="280" w:after="80"/>
      </w:pPr>
      <w:r>
        <w:t>CSI Position, Risks and Recent News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CSI partnerships in New Zealand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Opportunities for CSI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widowControl/>
        <w:spacing w:after="60"/>
      </w:pPr>
      <w:r>
        <w:rPr>
          <w:sz w:val="21"/>
        </w:rPr>
        <w:t>A general election is due on 7 November 2026.</w:t>
      </w:r>
      <w:hyperlink r:id="rId22">
        <w:r>
          <w:rPr>
            <w:color w:val="B31822"/>
            <w:vertAlign w:val="superscript"/>
          </w:rPr>
          <w:t xml:space="preserve">9</w:t>
        </w:r>
      </w:hyperlink>
      <w:r>
        <w:rPr>
          <w:sz w:val="21"/>
        </w:rPr>
        <w:t xml:space="preserve"> Its result will shape private outsourcing of elective surgery.</w:t>
      </w:r>
    </w:p>
    <w:p>
      <w:pPr>
        <w:pStyle w:val="ListBullet"/>
        <w:widowControl/>
        <w:spacing w:after="60"/>
      </w:pPr>
      <w:r>
        <w:rPr>
          <w:sz w:val="21"/>
        </w:rPr>
        <w:t>The Treasury expects superannuation and finance costs to take about 28 percent of tax revenue by 2030/31.</w:t>
      </w:r>
      <w:hyperlink r:id="rId25">
        <w:r>
          <w:rPr>
            <w:color w:val="B31822"/>
            <w:vertAlign w:val="superscript"/>
          </w:rPr>
          <w:t xml:space="preserve">21</w:t>
        </w:r>
      </w:hyperlink>
    </w:p>
    <w:p>
      <w:pPr>
        <w:pStyle w:val="ListBullet"/>
        <w:widowControl/>
        <w:spacing w:after="60"/>
      </w:pPr>
      <w:r>
        <w:rPr>
          <w:sz w:val="21"/>
        </w:rPr>
        <w:t>Practicing nurses fell 4 percent to 80,960 at 30 June 2026, and 43.5 percent qualified overseas.</w:t>
      </w:r>
      <w:hyperlink r:id="rId40">
        <w:r>
          <w:rPr>
            <w:color w:val="B31822"/>
            <w:vertAlign w:val="superscript"/>
          </w:rPr>
          <w:t xml:space="preserve">45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widowControl/>
        <w:spacing w:after="60"/>
      </w:pPr>
      <w:r>
        <w:rPr>
          <w:b/>
          <w:color w:val="B31822"/>
          <w:sz w:val="20"/>
        </w:rPr>
        <w:t xml:space="preserve">2026-04-16   </w:t>
      </w:r>
      <w:r>
        <w:rPr>
          <w:sz w:val="20"/>
        </w:rPr>
        <w:t>Mark Darrow became Health New Zealand board chair on 1 May 2026 for three years, replacing Lester Levy.</w:t>
      </w:r>
      <w:hyperlink r:id="rId41">
        <w:r>
          <w:rPr>
            <w:color w:val="B31822"/>
            <w:vertAlign w:val="superscript"/>
          </w:rPr>
          <w:t xml:space="preserve">28</w:t>
        </w:r>
      </w:hyperlink>
    </w:p>
    <w:p>
      <w:pPr>
        <w:widowControl/>
        <w:spacing w:after="60"/>
      </w:pPr>
      <w:r>
        <w:rPr>
          <w:b/>
          <w:color w:val="B31822"/>
          <w:sz w:val="20"/>
        </w:rPr>
        <w:t xml:space="preserve">2026-05-28   </w:t>
      </w:r>
      <w:r>
        <w:rPr>
          <w:sz w:val="20"/>
        </w:rPr>
        <w:t>Budget 2026 added more than $5.8 billion in new health operating funding, including a $1.37 billion annual uplift.</w:t>
      </w:r>
      <w:hyperlink r:id="rId18">
        <w:r>
          <w:rPr>
            <w:color w:val="B31822"/>
            <w:vertAlign w:val="superscript"/>
          </w:rPr>
          <w:t xml:space="preserve">19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2026-10   </w:t>
      </w:r>
      <w:r>
        <w:rPr>
          <w:sz w:val="20"/>
        </w:rPr>
        <w:t>Health New Zealand reported 87.0 percent of cancer patients treated within 31 days of the treatment decision in 2025/26.</w:t>
      </w:r>
      <w:hyperlink r:id="rId29">
        <w:r>
          <w:rPr>
            <w:color w:val="B31822"/>
            <w:vertAlign w:val="superscript"/>
          </w:rPr>
          <w:t xml:space="preserve">30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www.stats.govt.nz/information-releases/national-population-estimates-at-30-june-2026/" TargetMode="External"/><Relationship Id="rId12" Type="http://schemas.openxmlformats.org/officeDocument/2006/relationships/hyperlink" Target="https://api.worldbank.org/v2/country/NZL/indicator/NY.GDP.PCAP.PP.CD?format=json&amp;per_page=80&amp;date=2008:2025" TargetMode="External"/><Relationship Id="rId13" Type="http://schemas.openxmlformats.org/officeDocument/2006/relationships/hyperlink" Target="https://api.worldbank.org/v2/country/NZL/indicator/SH.XPD.CHEX.GD.ZS?format=json&amp;per_page=80&amp;date=2008:2025" TargetMode="External"/><Relationship Id="rId14" Type="http://schemas.openxmlformats.org/officeDocument/2006/relationships/hyperlink" Target="https://api.worldbank.org/v2/country/NZL/indicator/SH.XPD.OOPC.CH.ZS?format=json&amp;per_page=80&amp;date=2008:2025" TargetMode="External"/><Relationship Id="rId15" Type="http://schemas.openxmlformats.org/officeDocument/2006/relationships/hyperlink" Target="https://api.worldbank.org/v2/country/NZL/indicator/SH.MED.PHYS.ZS?format=json&amp;per_page=80&amp;date=2008:2025" TargetMode="External"/><Relationship Id="rId16" Type="http://schemas.openxmlformats.org/officeDocument/2006/relationships/hyperlink" Target="https://api.worldbank.org/v2/country/NZL/indicator/SP.DYN.LE00.IN?format=json&amp;per_page=80&amp;date=2008:2025" TargetMode="External"/><Relationship Id="rId17" Type="http://schemas.openxmlformats.org/officeDocument/2006/relationships/hyperlink" Target="https://api.worldbank.org/v2/country/NZL/indicator/SP.POP.65UP.TO.ZS?format=json&amp;per_page=80&amp;date=2008:2025" TargetMode="External"/><Relationship Id="rId18" Type="http://schemas.openxmlformats.org/officeDocument/2006/relationships/hyperlink" Target="https://www.budget.govt.nz/budget/pdfs/releases/l14-brown-record-health-funding-with-patients-at-the-centre.pdf" TargetMode="External"/><Relationship Id="rId19" Type="http://schemas.openxmlformats.org/officeDocument/2006/relationships/hyperlink" Target="https://wellington.govt.nz/about-wellington/profile-of-wellington" TargetMode="External"/><Relationship Id="rId20" Type="http://schemas.openxmlformats.org/officeDocument/2006/relationships/hyperlink" Target="https://gg.govt.nz/sites/default/files/2019-09/Dame%20Patsy%20Role%20Booklet.pdf" TargetMode="External"/><Relationship Id="rId21" Type="http://schemas.openxmlformats.org/officeDocument/2006/relationships/hyperlink" Target="https://www.govt.nz/organisations/governor-general/" TargetMode="External"/><Relationship Id="rId22" Type="http://schemas.openxmlformats.org/officeDocument/2006/relationships/hyperlink" Target="https://www.interest.co.nz/public-policy/136867/prime-minister-christopher-luxon-announces-new-zealand%E2%80%99s-2026-general-election" TargetMode="External"/><Relationship Id="rId23" Type="http://schemas.openxmlformats.org/officeDocument/2006/relationships/hyperlink" Target="https://www.commonwealthfund.org/sites/default/files/2026-05/2026_Country-Profiles_NewZealand.pdf" TargetMode="External"/><Relationship Id="rId24" Type="http://schemas.openxmlformats.org/officeDocument/2006/relationships/hyperlink" Target="https://www.stats.govt.nz/information-releases/gross-domestic-product-june-2026-quarter/" TargetMode="External"/><Relationship Id="rId25" Type="http://schemas.openxmlformats.org/officeDocument/2006/relationships/hyperlink" Target="https://www.treasury.govt.nz/sites/default/files/2026-10/sp-pre-election-economic-and-fiscal-update-2026.pdf" TargetMode="External"/><Relationship Id="rId26" Type="http://schemas.openxmlformats.org/officeDocument/2006/relationships/hyperlink" Target="https://www.mcnz.org.nz/assets/Publications/Workforce-Survey/Workforce-Survey-Report-2025.pdf?vid=19" TargetMode="External"/><Relationship Id="rId27" Type="http://schemas.openxmlformats.org/officeDocument/2006/relationships/hyperlink" Target="https://www.health.govt.nz/system/files/2026-06/H2025074911-Aide-Memoire-Publication-of-results-from-the-2024-25-New-Zealand-Health-Survey.pdf" TargetMode="External"/><Relationship Id="rId28" Type="http://schemas.openxmlformats.org/officeDocument/2006/relationships/hyperlink" Target="https://www.nzherald.co.nz/business/companies/healthcare/health-nz-signs-300m-six-year-private-hospital-contracts-to-treat-orthopaedic-backlog/premium/QN5MGDSDIBDSHORWAVARGRFQ5U/" TargetMode="External"/><Relationship Id="rId29" Type="http://schemas.openxmlformats.org/officeDocument/2006/relationships/hyperlink" Target="https://www.healthnz.govt.nz/news-and-updates/health-nz-highlights-october-2026" TargetMode="External"/><Relationship Id="rId30" Type="http://schemas.openxmlformats.org/officeDocument/2006/relationships/image" Target="media/image2.png"/><Relationship Id="rId31" Type="http://schemas.openxmlformats.org/officeDocument/2006/relationships/image" Target="media/image3.png"/><Relationship Id="rId32" Type="http://schemas.openxmlformats.org/officeDocument/2006/relationships/hyperlink" Target="https://api.worldbank.org/v2/country/NZL;AUS;CAN;GBR;USA;SGP;OED;WLD/indicator/SH.MED.PHYS.ZS?format=json&amp;per_page=500&amp;date=2019:2025" TargetMode="External"/><Relationship Id="rId33" Type="http://schemas.openxmlformats.org/officeDocument/2006/relationships/hyperlink" Target="https://www.insurancebusinessmag.com/nz/news/life-insurance/southern-cross-posts-surplus-as-claims-cost-growth-retreats-591757.aspx" TargetMode="External"/><Relationship Id="rId34" Type="http://schemas.openxmlformats.org/officeDocument/2006/relationships/hyperlink" Target="https://www.pep.com.au/wp-content/uploads/2021/12/2021-12-01-QIC-buys-Evolution-Healthcare-for-between-700m-and-800m.pdf" TargetMode="External"/><Relationship Id="rId35" Type="http://schemas.openxmlformats.org/officeDocument/2006/relationships/hyperlink" Target="https://icongroup.global/our-services/cancer-services-new-zealand/" TargetMode="External"/><Relationship Id="rId36" Type="http://schemas.openxmlformats.org/officeDocument/2006/relationships/hyperlink" Target="https://www.hinz.org.nz/news/730824/Health-NZ-international-partnership-strengthens-digital-innovation.htm" TargetMode="External"/><Relationship Id="rId37" Type="http://schemas.openxmlformats.org/officeDocument/2006/relationships/image" Target="media/image4.png"/><Relationship Id="rId38" Type="http://schemas.openxmlformats.org/officeDocument/2006/relationships/hyperlink" Target="https://api.worldbank.org/v2/country/NZL/indicator/SH.MED.BEDS.ZS?format=json&amp;per_page=80&amp;date=2008:2025" TargetMode="External"/><Relationship Id="rId39" Type="http://schemas.openxmlformats.org/officeDocument/2006/relationships/image" Target="media/image5.png"/><Relationship Id="rId40" Type="http://schemas.openxmlformats.org/officeDocument/2006/relationships/hyperlink" Target="https://nursingcouncil.org.nz/common/Uploaded%20files/Public/Publications/Workforce%20Statistics/Quarterly%20Data%20Reports/ncnz-quarterly-report-june-2026.pdf" TargetMode="External"/><Relationship Id="rId41" Type="http://schemas.openxmlformats.org/officeDocument/2006/relationships/hyperlink" Target="https://www.1news.co.nz/2026/04/16/new-health-nz-chair-board-members-announc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