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40" w:before="0"/>
      </w:pPr>
      <w:r>
        <w:rPr>
          <w:b/>
          <w:bCs/>
          <w:i w:val="false"/>
          <w:iCs w:val="false"/>
          <w:color w:val="1f3864"/>
          <w:sz w:val="40"/>
          <w:szCs w:val="40"/>
        </w:rPr>
        <w:t xml:space="preserve">TicketIA — Documento de arquitectura</w:t>
      </w:r>
    </w:p>
    <w:p>
      <w:pPr>
        <w:keepNext w:val="false"/>
        <w:spacing w:after="60" w:before="0"/>
      </w:pPr>
      <w:r>
        <w:rPr>
          <w:b w:val="false"/>
          <w:bCs w:val="false"/>
          <w:i w:val="false"/>
          <w:iCs w:val="false"/>
          <w:color w:val="1f3864"/>
          <w:sz w:val="24"/>
          <w:szCs w:val="24"/>
        </w:rPr>
        <w:t xml:space="preserve">Arquitectura del sistema, diagramas UML, modelo de datos y despliegue</w:t>
      </w:r>
    </w:p>
    <w:p>
      <w:pPr>
        <w:keepNext w:val="false"/>
        <w:spacing w:after="180" w:before="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Jade Vásquez · Kiara Isuiza · David Navarro  |  Docente guía: Fabián Álvarez Montenegro</w:t>
      </w:r>
    </w:p>
    <w:p>
      <w:pPr>
        <w:pStyle w:val="Heading1"/>
        <w:keepNext/>
        <w:spacing w:after="110" w:before="280"/>
      </w:pPr>
      <w:r>
        <w:rPr>
          <w:b/>
          <w:bCs/>
          <w:color w:val="1f3864"/>
          <w:sz w:val="28"/>
          <w:szCs w:val="28"/>
        </w:rPr>
        <w:t xml:space="preserve">1. Introducción y alcance</w:t>
      </w:r>
    </w:p>
    <w:p>
      <w:pPr>
        <w:keepNext w:val="false"/>
        <w:spacing w:after="120" w:before="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TicketIA es un sistema web de gestión de soporte de TI para una municipalidad: los funcionarios crean solicitudes, el sistema las clasifica, los técnicos las atienden y el administrador supervisa. Este documento describe cómo está construido el sistema con lo implementado hasta ahora. Las historias del Sprint 1 están verificadas con pruebas; el resto de las funciones ya está construido y se verificará en los próximos sprints.</w:t>
      </w:r>
    </w:p>
    <w:p>
      <w:pPr>
        <w:keepNext w:val="false"/>
        <w:spacing w:after="120" w:before="0"/>
      </w:pPr>
      <w:r>
        <w:rPr>
          <w:b/>
          <w:bCs/>
          <w:i w:val="false"/>
          <w:iCs w:val="false"/>
          <w:sz w:val="21"/>
          <w:szCs w:val="21"/>
        </w:rPr>
        <w:t xml:space="preserve">Alcance actual: 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inicio y cierre de sesión, cuentas y roles, categorías, creación de tickets con adjuntos y clasificación por reglas, consulta y detalle, asignación, tablero del técnico, cambio de estado, solución técnica, comentarios, historial, evaluación y reapertura. 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Pendiente: la HU-14, que permite revisar y corregir la clasificación automática.</w:t>
      </w:r>
    </w:p>
    <w:p>
      <w:pPr>
        <w:pStyle w:val="Heading1"/>
        <w:keepNext/>
        <w:spacing w:after="110" w:before="280"/>
      </w:pPr>
      <w:r>
        <w:rPr>
          <w:b/>
          <w:bCs/>
          <w:color w:val="1f3864"/>
          <w:sz w:val="28"/>
          <w:szCs w:val="28"/>
        </w:rPr>
        <w:t xml:space="preserve">2. Visión general</w:t>
      </w:r>
    </w:p>
    <w:p>
      <w:pPr>
        <w:keepNext w:val="false"/>
        <w:spacing w:after="120" w:before="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El sistema es una aplicación web monolítica, organizada en capas y con una arquitectura cliente-servidor: el navegador pide páginas al servidor, que aplica las reglas de negocio y guarda los datos en PostgreSQL. Siguen una separación parecida a MVC: las rutas controlan, las plantillas muestran y el módulo de datos accede a la base.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Tecnología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Lenguaje y servidor web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3.12 y Flask 3.1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PostgreSQL 16 (acceso con psycopg2, consultas SQL parametrizadas)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Interfaz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Plantillas Jinja2, Bootstrap 5.3 y Bootstrap Icons (alojados en el proyecto)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Clasificación automática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Módulo de reglas y palabras clave (ai_classifier.py), reemplazable por un modelo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Despliegue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Docker y Docker Compose (contenedores web y base de datos)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Pruebas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pytest y pytest-cov (funcionales y de seguridad), Locust (rendimiento), axe-core (accesibilidad) y Wapiti (seguridad)</w:t>
            </w:r>
          </w:p>
        </w:tc>
      </w:tr>
    </w:tbl>
    <w:p>
      <w:pPr>
        <w:pStyle w:val="Heading1"/>
        <w:keepNext/>
        <w:spacing w:after="110" w:before="280"/>
      </w:pPr>
      <w:r>
        <w:rPr>
          <w:b/>
          <w:bCs/>
          <w:color w:val="1f3864"/>
          <w:sz w:val="28"/>
          <w:szCs w:val="28"/>
        </w:rPr>
        <w:t xml:space="preserve">3. Diagrama de componentes</w:t>
      </w:r>
    </w:p>
    <w:p>
      <w:pPr>
        <w:spacing w:after="40" w:before="100"/>
        <w:jc w:val="center"/>
      </w:pPr>
      <w:r>
        <w:drawing>
          <wp:inline distT="0" distB="0" distL="0" distR="0">
            <wp:extent cx="5334000" cy="2409825"/>
            <wp:effectExtent t="0" r="0" b="0" l="0"/>
            <wp:docPr id="1" name="01_componentes.png" descr="Navegador, servidor Flask con sus módulos, PostgreSQL y carpeta de adjuntos" title="Diagrama de compon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</w:pPr>
      <w:r>
        <w:rPr>
          <w:b/>
          <w:bCs/>
          <w:i w:val="false"/>
          <w:iCs w:val="false"/>
          <w:sz w:val="19"/>
          <w:szCs w:val="19"/>
        </w:rPr>
        <w:t xml:space="preserve">Figura 1. </w:t>
      </w:r>
      <w:r>
        <w:rPr>
          <w:b w:val="false"/>
          <w:bCs w:val="false"/>
          <w:i/>
          <w:iCs/>
          <w:sz w:val="19"/>
          <w:szCs w:val="19"/>
        </w:rPr>
        <w:t xml:space="preserve">Componentes del sistema y cómo se comunican.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70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6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Responsabilidad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Rutas y vistas (app.py)</w:t>
            </w:r>
          </w:p>
        </w:tc>
        <w:tc>
          <w:tcPr>
            <w:tcW w:type="dxa" w:w="6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Recibe las solicitudes, aplica las reglas de negocio y decide qué página devolver.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Autenticación y roles</w:t>
            </w:r>
          </w:p>
        </w:tc>
        <w:tc>
          <w:tcPr>
            <w:tcW w:type="dxa" w:w="6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Mantiene la sesión y verifica el rol (funcionario, técnico o administrador) en cada ruta.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Protecciones</w:t>
            </w:r>
          </w:p>
        </w:tc>
        <w:tc>
          <w:tcPr>
            <w:tcW w:type="dxa" w:w="6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Token CSRF, cabeceras de seguridad, bloqueo de intentos fallidos y validación de los datos recibidos.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Clasificador por reglas</w:t>
            </w:r>
          </w:p>
        </w:tc>
        <w:tc>
          <w:tcPr>
            <w:tcW w:type="dxa" w:w="6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Propone la categoría y la prioridad de un ticket según su título y descripción.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Plantillas Jinja2</w:t>
            </w:r>
          </w:p>
        </w:tc>
        <w:tc>
          <w:tcPr>
            <w:tcW w:type="dxa" w:w="6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Generan las páginas HTML y escapan el contenido para evitar XSS.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Acceso a datos (database.py)</w:t>
            </w:r>
          </w:p>
        </w:tc>
        <w:tc>
          <w:tcPr>
            <w:tcW w:type="dxa" w:w="6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Abre las conexiones y define el esquema de la base de datos.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PostgreSQL y carpeta de adjuntos</w:t>
            </w:r>
          </w:p>
        </w:tc>
        <w:tc>
          <w:tcPr>
            <w:tcW w:type="dxa" w:w="6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Guardan los datos y los archivos adjuntos de los tickets.</w:t>
            </w:r>
          </w:p>
        </w:tc>
      </w:tr>
    </w:tbl>
    <w:p>
      <w:pPr>
        <w:pStyle w:val="Heading1"/>
        <w:keepNext/>
        <w:spacing w:after="110" w:before="280"/>
      </w:pPr>
      <w:r>
        <w:rPr>
          <w:b/>
          <w:bCs/>
          <w:color w:val="1f3864"/>
          <w:sz w:val="28"/>
          <w:szCs w:val="28"/>
        </w:rPr>
        <w:t xml:space="preserve">4. Diagramas de casos de uso</w:t>
      </w:r>
    </w:p>
    <w:p>
      <w:pPr>
        <w:keepNext w:val="false"/>
        <w:spacing w:after="120" w:before="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Los tres actores del sistema son el funcionario, el técnico y el administrador. Cada diagrama muestra lo que puede hacer cada uno.</w:t>
      </w:r>
    </w:p>
    <w:p>
      <w:pPr>
        <w:spacing w:after="40" w:before="100"/>
        <w:jc w:val="center"/>
      </w:pPr>
      <w:r>
        <w:drawing>
          <wp:inline distT="0" distB="0" distL="0" distR="0">
            <wp:extent cx="4191000" cy="2752725"/>
            <wp:effectExtent t="0" r="0" b="0" l="0"/>
            <wp:docPr id="1" name="02_casos_de_uso_funcionario.png" descr="Casos de uso del funcionario." title="Casos de u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</w:pPr>
      <w:r>
        <w:rPr>
          <w:b/>
          <w:bCs/>
          <w:i w:val="false"/>
          <w:iCs w:val="false"/>
          <w:sz w:val="19"/>
          <w:szCs w:val="19"/>
        </w:rPr>
        <w:t xml:space="preserve">Figura 2. </w:t>
      </w:r>
      <w:r>
        <w:rPr>
          <w:b w:val="false"/>
          <w:bCs w:val="false"/>
          <w:i/>
          <w:iCs/>
          <w:sz w:val="19"/>
          <w:szCs w:val="19"/>
        </w:rPr>
        <w:t xml:space="preserve">Casos de uso del funcionario.</w:t>
      </w:r>
    </w:p>
    <w:p>
      <w:pPr>
        <w:spacing w:after="40" w:before="100"/>
        <w:jc w:val="center"/>
      </w:pPr>
      <w:r>
        <w:drawing>
          <wp:inline distT="0" distB="0" distL="0" distR="0">
            <wp:extent cx="4191000" cy="2590800"/>
            <wp:effectExtent t="0" r="0" b="0" l="0"/>
            <wp:docPr id="1" name="02_casos_de_uso_tecnico.png" descr="Casos de uso del técnico." title="Casos de u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</w:pPr>
      <w:r>
        <w:rPr>
          <w:b/>
          <w:bCs/>
          <w:i w:val="false"/>
          <w:iCs w:val="false"/>
          <w:sz w:val="19"/>
          <w:szCs w:val="19"/>
        </w:rPr>
        <w:t xml:space="preserve">Figura 3. </w:t>
      </w:r>
      <w:r>
        <w:rPr>
          <w:b w:val="false"/>
          <w:bCs w:val="false"/>
          <w:i/>
          <w:iCs/>
          <w:sz w:val="19"/>
          <w:szCs w:val="19"/>
        </w:rPr>
        <w:t xml:space="preserve">Casos de uso del técnico.</w:t>
      </w:r>
    </w:p>
    <w:p>
      <w:pPr>
        <w:spacing w:after="40" w:before="100"/>
        <w:jc w:val="center"/>
      </w:pPr>
      <w:r>
        <w:drawing>
          <wp:inline distT="0" distB="0" distL="0" distR="0">
            <wp:extent cx="4191000" cy="3228975"/>
            <wp:effectExtent t="0" r="0" b="0" l="0"/>
            <wp:docPr id="1" name="02_casos_de_uso_administrador.png" descr="Casos de uso del administrador." title="Casos de u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</w:pPr>
      <w:r>
        <w:rPr>
          <w:b/>
          <w:bCs/>
          <w:i w:val="false"/>
          <w:iCs w:val="false"/>
          <w:sz w:val="19"/>
          <w:szCs w:val="19"/>
        </w:rPr>
        <w:t xml:space="preserve">Figura 4. </w:t>
      </w:r>
      <w:r>
        <w:rPr>
          <w:b w:val="false"/>
          <w:bCs w:val="false"/>
          <w:i/>
          <w:iCs/>
          <w:sz w:val="19"/>
          <w:szCs w:val="19"/>
        </w:rPr>
        <w:t xml:space="preserve">Casos de uso del administrador.</w:t>
      </w:r>
    </w:p>
    <w:p>
      <w:pPr>
        <w:pStyle w:val="Heading1"/>
        <w:keepNext/>
        <w:spacing w:after="110" w:before="280"/>
      </w:pPr>
      <w:r>
        <w:rPr>
          <w:b/>
          <w:bCs/>
          <w:color w:val="1f3864"/>
          <w:sz w:val="28"/>
          <w:szCs w:val="28"/>
        </w:rPr>
        <w:t xml:space="preserve">5. Modelo de datos</w:t>
      </w:r>
    </w:p>
    <w:p>
      <w:pPr>
        <w:keepNext w:val="false"/>
        <w:spacing w:after="120" w:before="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La base de datos está normalizada: tiene 11 tablas (usuarios, categorias, tickets, comentarios, adjuntos, historial, evaluaciones y los catálogos roles, estados, prioridades y direcciones), con 13 claves foráneas, 1 restricción CHECK y 9 índices, además de 2 vistas de lectura (v_usuarios y v_tickets). El diagrama se generó desde el esquema real de PostgreSQL; en azul se marcan los catálogos y las referencias agregadas al normalizar.</w:t>
      </w:r>
    </w:p>
    <w:p>
      <w:pPr>
        <w:spacing w:after="40" w:before="100"/>
        <w:jc w:val="center"/>
      </w:pPr>
      <w:r>
        <w:drawing>
          <wp:inline distT="0" distB="0" distL="0" distR="0">
            <wp:extent cx="5715000" cy="3514725"/>
            <wp:effectExtent t="0" r="0" b="0" l="0"/>
            <wp:docPr id="1" name="er.png" descr="Tablas de la base de datos y sus relaciones" title="Diagrama entidad-re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</w:pPr>
      <w:r>
        <w:rPr>
          <w:b/>
          <w:bCs/>
          <w:i w:val="false"/>
          <w:iCs w:val="false"/>
          <w:sz w:val="19"/>
          <w:szCs w:val="19"/>
        </w:rPr>
        <w:t xml:space="preserve">Figura 5. </w:t>
      </w:r>
      <w:r>
        <w:rPr>
          <w:b w:val="false"/>
          <w:bCs w:val="false"/>
          <w:i/>
          <w:iCs/>
          <w:sz w:val="19"/>
          <w:szCs w:val="19"/>
        </w:rPr>
        <w:t xml:space="preserve">Diagrama entidad-relación de la base normalizada.</w:t>
      </w:r>
    </w:p>
    <w:p>
      <w:pPr>
        <w:keepNext w:val="false"/>
        <w:spacing w:after="120" w:before="0"/>
      </w:pPr>
      <w:r>
        <w:rPr>
          <w:b/>
          <w:bCs/>
          <w:i w:val="false"/>
          <w:iCs w:val="false"/>
          <w:sz w:val="21"/>
          <w:szCs w:val="21"/>
        </w:rPr>
        <w:t xml:space="preserve">Normalización: </w:t>
      </w:r>
      <w:r>
        <w:rPr>
          <w:b w:val="false"/>
          <w:bCs w:val="false"/>
          <w:i w:val="false"/>
          <w:iCs w:val="false"/>
          <w:sz w:val="21"/>
          <w:szCs w:val="21"/>
        </w:rPr>
        <w:t xml:space="preserve">el rol, el estado, la prioridad y la dirección ya no se guardan como texto repetido en cada fila: viven en tablas catálogo y las demás tablas los referencian por su id. Las vistas v_usuarios y v_tickets unen los catálogos para que la aplicación lea los códigos y nombres. El detalle está en el informe de normalización.</w:t>
      </w:r>
    </w:p>
    <w:p>
      <w:pPr>
        <w:pStyle w:val="Heading1"/>
        <w:keepNext/>
        <w:spacing w:after="110" w:before="280"/>
      </w:pPr>
      <w:r>
        <w:rPr>
          <w:b/>
          <w:bCs/>
          <w:color w:val="1f3864"/>
          <w:sz w:val="28"/>
          <w:szCs w:val="28"/>
        </w:rPr>
        <w:t xml:space="preserve">6. Diagramas de secuencia</w:t>
      </w:r>
    </w:p>
    <w:p>
      <w:pPr>
        <w:spacing w:after="40" w:before="100"/>
        <w:jc w:val="center"/>
      </w:pPr>
      <w:r>
        <w:drawing>
          <wp:inline distT="0" distB="0" distL="0" distR="0">
            <wp:extent cx="4286250" cy="2667000"/>
            <wp:effectExtent t="0" r="0" b="0" l="0"/>
            <wp:docPr id="1" name="05_secuencia_login.png" descr="Flujo del navegador, la aplicación y la base de datos" title="Secuencia del inicio de se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</w:pPr>
      <w:r>
        <w:rPr>
          <w:b/>
          <w:bCs/>
          <w:i w:val="false"/>
          <w:iCs w:val="false"/>
          <w:sz w:val="19"/>
          <w:szCs w:val="19"/>
        </w:rPr>
        <w:t xml:space="preserve">Figura 6. </w:t>
      </w:r>
      <w:r>
        <w:rPr>
          <w:b w:val="false"/>
          <w:bCs w:val="false"/>
          <w:i/>
          <w:iCs/>
          <w:sz w:val="19"/>
          <w:szCs w:val="19"/>
        </w:rPr>
        <w:t xml:space="preserve">Inicio de sesión.</w:t>
      </w:r>
    </w:p>
    <w:p>
      <w:pPr>
        <w:spacing w:after="40" w:before="10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06_secuencia_crear_ticket.png" descr="Flujo del navegador, la aplicación, la base de datos y la carpeta de adjuntos" title="Secuencia de creación de un tick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</w:pPr>
      <w:r>
        <w:rPr>
          <w:b/>
          <w:bCs/>
          <w:i w:val="false"/>
          <w:iCs w:val="false"/>
          <w:sz w:val="19"/>
          <w:szCs w:val="19"/>
        </w:rPr>
        <w:t xml:space="preserve">Figura 7. </w:t>
      </w:r>
      <w:r>
        <w:rPr>
          <w:b w:val="false"/>
          <w:bCs w:val="false"/>
          <w:i/>
          <w:iCs/>
          <w:sz w:val="19"/>
          <w:szCs w:val="19"/>
        </w:rPr>
        <w:t xml:space="preserve">Creación de un ticket con adjuntos.</w:t>
      </w:r>
    </w:p>
    <w:p>
      <w:pPr>
        <w:pStyle w:val="Heading1"/>
        <w:keepNext/>
        <w:spacing w:after="110" w:before="280"/>
      </w:pPr>
      <w:r>
        <w:rPr>
          <w:b/>
          <w:bCs/>
          <w:color w:val="1f3864"/>
          <w:sz w:val="28"/>
          <w:szCs w:val="28"/>
        </w:rPr>
        <w:t xml:space="preserve">7. Estados de un ticket</w:t>
      </w:r>
    </w:p>
    <w:p>
      <w:pPr>
        <w:spacing w:after="40" w:before="100"/>
        <w:jc w:val="center"/>
      </w:pPr>
      <w:r>
        <w:drawing>
          <wp:inline distT="0" distB="0" distL="0" distR="0">
            <wp:extent cx="5810250" cy="1000125"/>
            <wp:effectExtent t="0" r="0" b="0" l="0"/>
            <wp:docPr id="1" name="03_estados.png" descr="Estados y transiciones permitidas" title="Diagrama de estados del tick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</w:pPr>
      <w:r>
        <w:rPr>
          <w:b/>
          <w:bCs/>
          <w:i w:val="false"/>
          <w:iCs w:val="false"/>
          <w:sz w:val="19"/>
          <w:szCs w:val="19"/>
        </w:rPr>
        <w:t xml:space="preserve">Figura 8. </w:t>
      </w:r>
      <w:r>
        <w:rPr>
          <w:b w:val="false"/>
          <w:bCs w:val="false"/>
          <w:i/>
          <w:iCs/>
          <w:sz w:val="19"/>
          <w:szCs w:val="19"/>
        </w:rPr>
        <w:t xml:space="preserve">Estados del ticket y transiciones permitidas. Para pasar a Resuelto se exige una solución registrada.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400"/>
      </w:tblGrid>
      <w:tr>
        <w:trPr>
          <w:tblHeader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Desde</w:t>
            </w:r>
          </w:p>
        </w:tc>
        <w:tc>
          <w:tcPr>
            <w:tcW w:type="dxa" w:w="7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Puede pasar 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Pendiente</w:t>
            </w:r>
          </w:p>
        </w:tc>
        <w:tc>
          <w:tcPr>
            <w:tcW w:type="dxa" w:w="7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En progreso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En progreso</w:t>
            </w:r>
          </w:p>
        </w:tc>
        <w:tc>
          <w:tcPr>
            <w:tcW w:type="dxa" w:w="7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En revisión o Resuelto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En revisión</w:t>
            </w:r>
          </w:p>
        </w:tc>
        <w:tc>
          <w:tcPr>
            <w:tcW w:type="dxa" w:w="7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En progreso o Resuelto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Resuelto</w:t>
            </w:r>
          </w:p>
        </w:tc>
        <w:tc>
          <w:tcPr>
            <w:tcW w:type="dxa" w:w="7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En progreso o Cerrado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Cerrado</w:t>
            </w:r>
          </w:p>
        </w:tc>
        <w:tc>
          <w:tcPr>
            <w:tcW w:type="dxa" w:w="7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Ninguno (se reabre con la solicitud de reapertura, HU-20)</w:t>
            </w:r>
          </w:p>
        </w:tc>
      </w:tr>
    </w:tbl>
    <w:p>
      <w:pPr>
        <w:pStyle w:val="Heading1"/>
        <w:keepNext/>
        <w:spacing w:after="110" w:before="280"/>
      </w:pPr>
      <w:r>
        <w:rPr>
          <w:b/>
          <w:bCs/>
          <w:color w:val="1f3864"/>
          <w:sz w:val="28"/>
          <w:szCs w:val="28"/>
        </w:rPr>
        <w:t xml:space="preserve">8. Despliegue</w:t>
      </w:r>
    </w:p>
    <w:p>
      <w:pPr>
        <w:spacing w:after="40" w:before="100"/>
        <w:jc w:val="center"/>
      </w:pPr>
      <w:r>
        <w:drawing>
          <wp:inline distT="0" distB="0" distL="0" distR="0">
            <wp:extent cx="5810250" cy="1047750"/>
            <wp:effectExtent t="0" r="0" b="0" l="0"/>
            <wp:docPr id="1" name="04_despliegue.png" descr="Contenedores web y base de datos con sus volúmenes" title="Diagrama de desplieg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60" w:before="0"/>
      </w:pPr>
      <w:r>
        <w:rPr>
          <w:b/>
          <w:bCs/>
          <w:i w:val="false"/>
          <w:iCs w:val="false"/>
          <w:sz w:val="19"/>
          <w:szCs w:val="19"/>
        </w:rPr>
        <w:t xml:space="preserve">Figura 9. </w:t>
      </w:r>
      <w:r>
        <w:rPr>
          <w:b w:val="false"/>
          <w:bCs w:val="false"/>
          <w:i/>
          <w:iCs/>
          <w:sz w:val="19"/>
          <w:szCs w:val="19"/>
        </w:rPr>
        <w:t xml:space="preserve">Despliegue con Docker Compose.</w:t>
      </w:r>
    </w:p>
    <w:p>
      <w:pPr>
        <w:keepNext w:val="false"/>
        <w:spacing w:after="120" w:before="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La aplicación se configura con variables de entorno: DB_HOST, DB_PORT, DB_NAME, DB_USER, DB_PASSWORD, SECRET_KEY, FLASK_DEBUG, HOST, PORT y SESSION_COOKIE_SECURE.</w:t>
      </w:r>
    </w:p>
    <w:p>
      <w:pPr>
        <w:pStyle w:val="Heading1"/>
        <w:keepNext/>
        <w:spacing w:after="110" w:before="280"/>
      </w:pPr>
      <w:r>
        <w:rPr>
          <w:b/>
          <w:bCs/>
          <w:color w:val="1f3864"/>
          <w:sz w:val="28"/>
          <w:szCs w:val="28"/>
        </w:rPr>
        <w:t xml:space="preserve">9. Seguridad en la arquitectura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7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Acceso</w:t>
            </w:r>
          </w:p>
        </w:tc>
        <w:tc>
          <w:tcPr>
            <w:tcW w:type="dxa" w:w="7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Sesión con cookie HttpOnly y SameSite; contraseñas con hash; bloqueo tras 5 intentos fallidos; permisos por rol en cada ruta.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Navegador</w:t>
            </w:r>
          </w:p>
        </w:tc>
        <w:tc>
          <w:tcPr>
            <w:tcW w:type="dxa" w:w="7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Política de contenido sin scripts en línea ni servidores externos; X-Frame-Options; X-Content-Type-Options; Referrer-Policy.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Formularios</w:t>
            </w:r>
          </w:p>
        </w:tc>
        <w:tc>
          <w:tcPr>
            <w:tcW w:type="dxa" w:w="7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Token CSRF por sesión; rechazo de datos con caracteres nulos; validación de identificadores.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Datos</w:t>
            </w:r>
          </w:p>
        </w:tc>
        <w:tc>
          <w:tcPr>
            <w:tcW w:type="dxa" w:w="7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Consultas parametrizadas; manejo de duplicados simultáneos.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Archivos</w:t>
            </w:r>
          </w:p>
        </w:tc>
        <w:tc>
          <w:tcPr>
            <w:tcW w:type="dxa" w:w="7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Extensiones permitidas, tamaño máximo, nombres saneados y aleatorios, descarga solo para quien puede ver el ticket.</w:t>
            </w:r>
          </w:p>
        </w:tc>
      </w:tr>
    </w:tbl>
    <w:p>
      <w:pPr>
        <w:pStyle w:val="Heading1"/>
        <w:keepNext/>
        <w:spacing w:after="110" w:before="280"/>
      </w:pPr>
      <w:r>
        <w:rPr>
          <w:b/>
          <w:bCs/>
          <w:color w:val="1f3864"/>
          <w:sz w:val="28"/>
          <w:szCs w:val="28"/>
        </w:rPr>
        <w:t xml:space="preserve">10. Estructura del repositorio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Carpeta o archivo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app.py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Rutas, reglas de negocio y seguridad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database.py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Conexión y esquema de la base de datos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ai_classifier.py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Clasificador por reglas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templates/ y static/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Plantillas HTML, estilos y Bootstrap alojado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tests/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166 pruebas automatizadas (funcionales, de seguridad y de base de datos)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migraciones/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Migración de bases creadas con el esquema anterior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rendimiento/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Pruebas de carga y de estrés con Locust y sus resultados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usabilidad/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Pruebas de accesibilidad y de tareas, y sus resultados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reports/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Resultados de las pruebas, cobertura y escaneo de seguridad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docs/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Documentos, diagramas y capturas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Dockerfile, docker-compose.yml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Despliegue con contenedores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 xml:space="preserve">requirements*.txt, schema_export.sql</w:t>
            </w:r>
          </w:p>
        </w:tc>
        <w:tc>
          <w:tcPr>
            <w:tcW w:type="dxa" w:w="6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Dependencias y esquema de la base</w:t>
            </w:r>
          </w:p>
        </w:tc>
      </w:tr>
    </w:tbl>
    <w:p>
      <w:pPr>
        <w:pStyle w:val="Heading1"/>
        <w:keepNext/>
        <w:spacing w:after="110" w:before="280"/>
      </w:pPr>
      <w:r>
        <w:rPr>
          <w:b/>
          <w:bCs/>
          <w:color w:val="1f3864"/>
          <w:sz w:val="28"/>
          <w:szCs w:val="28"/>
        </w:rPr>
        <w:t xml:space="preserve">11. Decisiones de diseño y mejoras pendientes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Se eligió una aplicación monolítica con Flask por su simplicidad para un equipo de tres personas y un plazo corto; el clasificador está aislado para poder reemplazarlo por un modelo.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Se usa SQL directo con consultas parametrizadas, sin ORM, para controlar cada consulta. Las lecturas pasan por vistas que unen los catálogos y las escrituras usan las tablas normalizadas.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Mejoras identificadas por las pruebas: paginar los listados y usar un grupo de conexiones a la base (rendimiento) y activar HTTPS al publicar.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TicketIA · Documento de arquitectura · Página </w:t>
    </w:r>
    <w:r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328e0e72644e9ab96d61094e49f98422e6c2f07.png"/><Relationship Id="rId9" Type="http://schemas.openxmlformats.org/officeDocument/2006/relationships/image" Target="media/d51560120d8c3793484935e459e932a17e3fe1ab.png"/><Relationship Id="rId10" Type="http://schemas.openxmlformats.org/officeDocument/2006/relationships/image" Target="media/d74daa27319957c31afc929580934784fe9a68f2.png"/><Relationship Id="rId11" Type="http://schemas.openxmlformats.org/officeDocument/2006/relationships/image" Target="media/097782149a81a58e5d9c86dce55ea59c64185c53.png"/><Relationship Id="rId12" Type="http://schemas.openxmlformats.org/officeDocument/2006/relationships/image" Target="media/f6655c14d933ead6ac2359f532ed99d547135d58.png"/><Relationship Id="rId13" Type="http://schemas.openxmlformats.org/officeDocument/2006/relationships/image" Target="media/0e71a543358500a46d24fcef634d34c624a1dfc0.png"/><Relationship Id="rId14" Type="http://schemas.openxmlformats.org/officeDocument/2006/relationships/image" Target="media/597496282a54e1bf228bc57482b6b1584deeab09.png"/><Relationship Id="rId15" Type="http://schemas.openxmlformats.org/officeDocument/2006/relationships/image" Target="media/58068cc8ae878340151744be15fa737263bb087b.png"/><Relationship Id="rId16" Type="http://schemas.openxmlformats.org/officeDocument/2006/relationships/image" Target="media/32be1bd2552537764b2271544a44b69d03504129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2026-10-22T23:02:50.629Z</dcterms:created>
  <dcterms:modified xsi:type="dcterms:W3CDTF">2026-10-22T23:02:50.629Z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