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f3864"/>
          <w:sz w:val="40"/>
          <w:szCs w:val="40"/>
          <w:rtl w:val="0"/>
        </w:rPr>
        <w:t xml:space="preserve">TicketIA — Documento de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f3864"/>
          <w:sz w:val="24"/>
          <w:szCs w:val="24"/>
          <w:rtl w:val="0"/>
        </w:rPr>
        <w:t xml:space="preserve">Arquitectura del sistema, diagramas UML, modelo de datos y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18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0"/>
          <w:szCs w:val="20"/>
          <w:rtl w:val="0"/>
        </w:rPr>
        <w:t xml:space="preserve">Jade Vásquez · Kiara Isuiza · David Navarro  |  Docente guía: Fabián Álvarez Montenegro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spacing w:after="11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1. Introducción y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TicketIA es un sistema web de gestión de soporte de TI para una municipalidad: los funcionarios crean solicitudes, el sistema las clasifica, los técnicos las atienden y el administrador supervisa. Este documento describe cómo está construido el sistema con lo implementado hasta ahora. Las historias del Sprint 1 están verificadas con pruebas; el resto de las funciones ya está construido y se verificará en los próximos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12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Alcance actual: </w:t>
      </w: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inicio y cierre de sesión, cuentas y roles, categorías, creación de tickets con adjuntos y clasificación por reglas, consulta y detalle, asignación, tablero del técnico, cambio de estado, solución técnica, comentarios, historial, evaluación y reapertura. Pendiente: la HU-14, que permite revisar y corregir la clasificación automática.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1"/>
        <w:spacing w:after="11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2. Visión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El sistema es una aplicación web monolítica, organizada en capas y con una arquitectura cliente-servidor: el navegador pide páginas al servidor, que aplica las reglas de negocio y guarda los datos en PostgreSQL. Siguen una separación parecida a MVC: las rutas controlan, las plantillas muestran y el módulo de datos accede a la base.</w:t>
      </w: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900"/>
        <w:tblGridChange w:id="0">
          <w:tblGrid>
            <w:gridCol w:w="3000"/>
            <w:gridCol w:w="6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Lenguaje y servidor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Python 3.12 y Flask 3.1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PostgreSQL 16 (acceso con psycopg2, consultas SQL parametrizadas)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Plantillas Jinja2, Bootstrap 5.3 y Bootstrap Icons (alojados en el proyecto)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Clasificación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Módulo de reglas y palabras clave (ai_classifier.py), reemplazable por un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Docker y Docker Compose (contenedores web y base de datos)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pytest y pytest-cov (funcionales y de seguridad), Locust (rendimiento), axe-core (accesibilidad) y Wapiti (seguridad)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keepNext w:val="1"/>
        <w:spacing w:after="11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3. Diagrama de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409825"/>
            <wp:effectExtent b="0" l="0" r="0" t="0"/>
            <wp:docPr descr="Navegador, servidor Flask con sus módulos, PostgreSQL y carpeta de adjuntos" id="6" name="image4.png"/>
            <a:graphic>
              <a:graphicData uri="http://schemas.openxmlformats.org/drawingml/2006/picture">
                <pic:pic>
                  <pic:nvPicPr>
                    <pic:cNvPr descr="Navegador, servidor Flask con sus módulos, PostgreSQL y carpeta de adjuntos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1.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Componentes del sistema y cómo se comunican.</w:t>
      </w: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700"/>
        <w:tblGridChange w:id="0">
          <w:tblGrid>
            <w:gridCol w:w="3200"/>
            <w:gridCol w:w="6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Rutas y vistas (app.py)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Recibe las solicitudes, aplica las reglas de negocio y decide qué página devolver.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Autenticación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Mantiene la sesión y verifica el rol (funcionario, técnico o administrador) en cada ruta.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Protecciones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Token CSRF, cabeceras de seguridad, bloqueo de intentos fallidos y validación de los datos recibidos.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Clasificador por reglas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Propone la categoría y la prioridad de un ticket según su título y descripción.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Plantillas Jinja2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Generan las páginas HTML y escapan el contenido para evitar XSS.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Acceso a datos (database.py)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Abre las conexiones y define el esquema de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PostgreSQL y carpeta de adjuntos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Guardan los datos y los archivos adjuntos de los tickets.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keepNext w:val="1"/>
        <w:spacing w:after="11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4. Diagramas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Los tres actores del sistema son el funcionario, el técnico y el administrador. Cada diagrama muestra lo que puede hacer cada 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91000" cy="2752725"/>
            <wp:effectExtent b="0" l="0" r="0" t="0"/>
            <wp:docPr descr="Casos de uso del funcionario." id="8" name="image6.png"/>
            <a:graphic>
              <a:graphicData uri="http://schemas.openxmlformats.org/drawingml/2006/picture">
                <pic:pic>
                  <pic:nvPicPr>
                    <pic:cNvPr descr="Casos de uso del funcionario.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2.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Casos de uso del funcionario.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91000" cy="2590800"/>
            <wp:effectExtent b="0" l="0" r="0" t="0"/>
            <wp:docPr descr="Casos de uso del técnico." id="7" name="image2.png"/>
            <a:graphic>
              <a:graphicData uri="http://schemas.openxmlformats.org/drawingml/2006/picture">
                <pic:pic>
                  <pic:nvPicPr>
                    <pic:cNvPr descr="Casos de uso del técnico.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3.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Casos de uso del 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91000" cy="3228975"/>
            <wp:effectExtent b="0" l="0" r="0" t="0"/>
            <wp:docPr descr="Casos de uso del administrador." id="10" name="image7.png"/>
            <a:graphic>
              <a:graphicData uri="http://schemas.openxmlformats.org/drawingml/2006/picture">
                <pic:pic>
                  <pic:nvPicPr>
                    <pic:cNvPr descr="Casos de uso del administrador.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4.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Casos de uso del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1"/>
        <w:spacing w:after="11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5. Modelo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La base de datos está normalizada: tiene 11 tablas (usuarios, categorias, tickets, comentarios, adjuntos, historial, evaluaciones y los catálogos roles, estados, prioridades y direcciones), con 13 claves foráneas, 1 restricción CHECK y 9 índices, además de 2 vistas de lectura (v_usuarios y v_tickets). El diagrama se generó desde el esquema real de PostgreSQL; en azul se marcan los catálogos y las referencias agregadas al normalizar.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514725"/>
            <wp:effectExtent b="0" l="0" r="0" t="0"/>
            <wp:docPr descr="Tablas de la base de datos y sus relaciones" id="9" name="image5.png"/>
            <a:graphic>
              <a:graphicData uri="http://schemas.openxmlformats.org/drawingml/2006/picture">
                <pic:pic>
                  <pic:nvPicPr>
                    <pic:cNvPr descr="Tablas de la base de datos y sus relaciones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5.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Diagrama entidad-relación de la base normalizada.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spacing w:after="12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Normalización: </w:t>
      </w: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el rol, el estado, la prioridad y la dirección ya no se guardan como texto repetido en cada fila: viven en tablas catálogo y las demás tablas los referencian por su id. Las vistas v_usuarios y v_tickets unen los catálogos para que la aplicación lea los códigos y nombres.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spacing w:after="120" w:before="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6. Diagramas de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86250" cy="2667000"/>
            <wp:effectExtent b="0" l="0" r="0" t="0"/>
            <wp:docPr descr="Flujo del navegador, la aplicación y la base de datos" id="3" name="image8.png"/>
            <a:graphic>
              <a:graphicData uri="http://schemas.openxmlformats.org/drawingml/2006/picture">
                <pic:pic>
                  <pic:nvPicPr>
                    <pic:cNvPr descr="Flujo del navegador, la aplicación y la base de datos"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6.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Inicio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466975"/>
            <wp:effectExtent b="0" l="0" r="0" t="0"/>
            <wp:docPr descr="Flujo del navegador, la aplicación, la base de datos y la carpeta de adjuntos" id="2" name="image3.png"/>
            <a:graphic>
              <a:graphicData uri="http://schemas.openxmlformats.org/drawingml/2006/picture">
                <pic:pic>
                  <pic:nvPicPr>
                    <pic:cNvPr descr="Flujo del navegador, la aplicación, la base de datos y la carpeta de adjuntos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7.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Creación de un ticket con adjuntos.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1"/>
        <w:spacing w:after="11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7. Estados de un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0250" cy="1000125"/>
            <wp:effectExtent b="0" l="0" r="0" t="0"/>
            <wp:docPr descr="Estados y transiciones permitidas" id="5" name="image9.png"/>
            <a:graphic>
              <a:graphicData uri="http://schemas.openxmlformats.org/drawingml/2006/picture">
                <pic:pic>
                  <pic:nvPicPr>
                    <pic:cNvPr descr="Estados y transiciones permitidas"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8.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Estados del ticket y transiciones permitidas. Para pasar a Resuelto se exige una solución registrada.</w:t>
      </w: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7400"/>
        <w:tblGridChange w:id="0">
          <w:tblGrid>
            <w:gridCol w:w="2500"/>
            <w:gridCol w:w="7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Puede pasar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 revisión o Resuelto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 progreso o Resuelto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Resuelto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 progreso o Cerrado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Cerrado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Ninguno (se reabre con la solicitud de reapertura, HU-20)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keepNext w:val="1"/>
        <w:spacing w:after="11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8.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10250" cy="1047750"/>
            <wp:effectExtent b="0" l="0" r="0" t="0"/>
            <wp:docPr descr="Contenedores web y base de datos con sus volúmenes" id="4" name="image1.png"/>
            <a:graphic>
              <a:graphicData uri="http://schemas.openxmlformats.org/drawingml/2006/picture">
                <pic:pic>
                  <pic:nvPicPr>
                    <pic:cNvPr descr="Contenedores web y base de datos con sus volúmenes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9.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Despliegue con Docker Compose.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La aplicación se configura con variables de entorno: DB_HOST, DB_PORT, DB_NAME, DB_USER, DB_PASSWORD, SECRET_KEY, FLASK_DEBUG, HOST, PORT y SESSION_COOKIE_SECURE.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El despliegue completo con docker compose up --build se validó en el computador del proyecto: se levantaron la base de datos (PostgreSQL 16, en estado saludable) y la aplicación (puerto 5000), y se pudo iniciar sesión y abrir el panel. Desde Windows la dirección correcta es http://localhost:5000, y no la dirección interna que muestra la terminal. La evidencia está en el documento Evidencia_de_Ejecucion_de_las_Pruebas_TicketIA.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1"/>
        <w:spacing w:after="11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9. Seguridad en la arquitectura</w:t>
      </w: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300"/>
        <w:tblGridChange w:id="0">
          <w:tblGrid>
            <w:gridCol w:w="2600"/>
            <w:gridCol w:w="7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Sesión con cookie HttpOnly y SameSite; contraseñas con hash; bloqueo tras 5 intentos fallidos; permisos por rol en cada ruta.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Política de contenido sin scripts en línea ni servidores externos; X-Frame-Options; X-Content-Type-Options; Referrer-Policy.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Formularios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Token CSRF por sesión; rechazo de datos con caracteres nulos; validación de identificadores.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Consultas parametrizadas; manejo de duplicados simultáneos.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Extensiones permitidas, tamaño máximo, nombres saneados y aleatorios, descarga solo para quien puede ver el ticket.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keepNext w:val="1"/>
        <w:spacing w:after="11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10. Estructura del repositorio</w:t>
      </w:r>
      <w:r w:rsidDel="00000000" w:rsidR="00000000" w:rsidRPr="00000000">
        <w:rPr>
          <w:rtl w:val="0"/>
        </w:rPr>
      </w:r>
    </w:p>
    <w:tbl>
      <w:tblPr>
        <w:tblStyle w:val="Table5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900"/>
        <w:tblGridChange w:id="0">
          <w:tblGrid>
            <w:gridCol w:w="3000"/>
            <w:gridCol w:w="6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Carpeta o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Rutas, reglas de negocio y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Conexión y esquema de la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ai_classifier.py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Clasificador por reglas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templates/ y static/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Plantillas HTML, estilos y Bootstrap alojado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166 pruebas automatizadas (funcionales, de seguridad y de base de datos)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migraciones/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Migración de bases creadas con el esquema anterior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rendimiento/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Pruebas de carga y de estrés con Locust y sus 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usabilidad/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Pruebas de accesibilidad y de tareas, y sus 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reports/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Resultados de las pruebas, cobertura y escaneo de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Documentos, diagramas y capturas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Dockerfile, 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Despliegue con contenedores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requirements*.txt, schema_export.sql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Dependencias y esquema de la 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1"/>
        <w:keepNext w:val="1"/>
        <w:spacing w:after="11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11. Decisiones de diseño y mejoras pendientes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eligió una aplicación monolítica con Flask por su simplicidad para un equipo de tres personas y un plazo corto; el clasificador está aislado para poder reemplazarlo por un modelo.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usa SQL directo con consultas parametrizadas, sin ORM, para controlar cada consulta. Las lecturas pasan por vistas que unen los catálogos y las escrituras usan las tablas normalizadas.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Mejoras identificadas por las pruebas: paginar los listados y usar un grupo de conexiones a la base (rendimiento) y activar HTTPS al publicar.</w:t>
      </w:r>
    </w:p>
    <w:sectPr>
      <w:footerReference r:id="rId16" w:type="default"/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jc w:val="center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TicketIA · Documento de arquitectura · Página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WlgZim5cQaNEuim9Y00ytvMPFw==">CgMxLjA4AHIhMXZKbndCVnRmTXFSOTNyZ0t5Y1JUWF8wOTRfSTlBa293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2026-10-22T23:02:50.629Z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