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right="600" w:firstLine="0"/>
        <w:rPr>
          <w:b w:val="1"/>
          <w:bCs w:val="1"/>
          <w:sz w:val="34"/>
          <w:szCs w:val="34"/>
        </w:rPr>
      </w:pPr>
      <w:bookmarkStart w:colFirst="0" w:colLast="0" w:name="_hvdf8627rtd3" w:id="0"/>
      <w:bookmarkEnd w:id="0"/>
      <w:r w:rsidDel="00000000" w:rsidR="00000000" w:rsidRPr="00000000">
        <w:rPr>
          <w:b w:val="1"/>
          <w:bCs w:val="1"/>
          <w:sz w:val="34"/>
          <w:szCs w:val="34"/>
          <w:rtl w:val="0"/>
        </w:rPr>
        <w:t xml:space="preserve">Feature Engineering</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Como primer paso, se filtraron ambos datasets para conservar únicamente las propiedades de tipo Departamento, que es la tipología relevante para el perfil del cliente (fondo de inversión). Se descartaron 516 registros de ventas y 206 de alquileres correspondientes a casas, PHs, dúplex y lofts, cuyas dinámicas de precio y renta son incomparables con el segmento analizado.</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A continuación se realizó la geocodificación de las propiedades, proceso que resolvió la asignación de Comuna, Barrio, latitud y longitud a partir de la dirección (Calle + Altura) de cada publicación. Para ello se utilizó el callejero oficial de BA Data con geometría, aplicando un proceso en tres niveles: match exacto por nombre normalizado, match por reordenamiento de nombre/apellido, y match fuzzy con umbral de similitud. Las filas sin match en la primera pasada fueron reintentadas con una normalización más agresiva y umbral reducido. Los puntos que persistían sin comuna fueron resueltos mediante intersección espacial con los polígonos oficiales de barrios de CABA. Se logró geocodificar correctamente el 90,3% de las propiedades en venta y el 91,9% de las de alquiler. Las filas sin coordenadas fueron marcadas con </w:t>
      </w:r>
      <w:r w:rsidDel="00000000" w:rsidR="00000000" w:rsidRPr="00000000">
        <w:rPr>
          <w:rFonts w:ascii="Roboto Mono" w:cs="Roboto Mono" w:eastAsia="Roboto Mono" w:hAnsi="Roboto Mono"/>
          <w:color w:val="188038"/>
          <w:rtl w:val="0"/>
        </w:rPr>
        <w:t xml:space="preserve">geo_ok = False</w:t>
      </w:r>
      <w:r w:rsidDel="00000000" w:rsidR="00000000" w:rsidRPr="00000000">
        <w:rPr>
          <w:rtl w:val="0"/>
        </w:rPr>
        <w:t xml:space="preserve"> y conservadas en el dataset, pero excluidas de los joins espaciales posteriores para no introducir sesgos.</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Con las coordenadas disponibles, se calcularon las distancias a la estación de subte más cercana y al parque más cercano mediante la fórmula haversine, usando fuentes oficiales de BA Data. La distancia media al subte resultó de 1,1 km y al parque de 1,8 km, valores coherentes con la densidad de infraestructura urbana de CABA. Estas variables son insumos directos para la validación de H1 (efecto del subte en precio) y H3 (efecto de parques en precio/m²) en el EDA.</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Se incorporó información contextual de delitos a nivel comunal, construyendo la </w:t>
      </w:r>
      <w:r w:rsidDel="00000000" w:rsidR="00000000" w:rsidRPr="00000000">
        <w:rPr>
          <w:rFonts w:ascii="Roboto Mono" w:cs="Roboto Mono" w:eastAsia="Roboto Mono" w:hAnsi="Roboto Mono"/>
          <w:color w:val="188038"/>
          <w:rtl w:val="0"/>
        </w:rPr>
        <w:t xml:space="preserve">Tasa_delitos_comuna</w:t>
      </w:r>
      <w:r w:rsidDel="00000000" w:rsidR="00000000" w:rsidRPr="00000000">
        <w:rPr>
          <w:rtl w:val="0"/>
        </w:rPr>
        <w:t xml:space="preserve"> como cociente entre delitos acumulados 2017-2024 y población comunal (Censo 2022). A partir de esta tasa se generó la variable </w:t>
      </w:r>
      <w:r w:rsidDel="00000000" w:rsidR="00000000" w:rsidRPr="00000000">
        <w:rPr>
          <w:rFonts w:ascii="Roboto Mono" w:cs="Roboto Mono" w:eastAsia="Roboto Mono" w:hAnsi="Roboto Mono"/>
          <w:color w:val="188038"/>
          <w:rtl w:val="0"/>
        </w:rPr>
        <w:t xml:space="preserve">Zona_riesgo</w:t>
      </w:r>
      <w:r w:rsidDel="00000000" w:rsidR="00000000" w:rsidRPr="00000000">
        <w:rPr>
          <w:rFonts w:ascii="Arial Unicode MS" w:cs="Arial Unicode MS" w:eastAsia="Arial Unicode MS" w:hAnsi="Arial Unicode MS"/>
          <w:rtl w:val="0"/>
        </w:rPr>
        <w:t xml:space="preserve"> ∈ {bajo, medio, alto} por terciles, para su uso como variable de segmentación en H5. La distribución resultante es equilibrada entre las tres zonas, lo que garantiza comparaciones estadísticamente válidas en el EDA.</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En cuanto a las features de propiedad, se construyeron tres variables: </w:t>
      </w:r>
      <w:r w:rsidDel="00000000" w:rsidR="00000000" w:rsidRPr="00000000">
        <w:rPr>
          <w:rFonts w:ascii="Roboto Mono" w:cs="Roboto Mono" w:eastAsia="Roboto Mono" w:hAnsi="Roboto Mono"/>
          <w:color w:val="188038"/>
          <w:rtl w:val="0"/>
        </w:rPr>
        <w:t xml:space="preserve">Tipologia</w:t>
      </w:r>
      <w:r w:rsidDel="00000000" w:rsidR="00000000" w:rsidRPr="00000000">
        <w:rPr>
          <w:rtl w:val="0"/>
        </w:rPr>
        <w:t xml:space="preserve"> (monoamb, 2A, 3A, 4+A) a partir de la cantidad de ambientes, </w:t>
      </w:r>
      <w:r w:rsidDel="00000000" w:rsidR="00000000" w:rsidRPr="00000000">
        <w:rPr>
          <w:rFonts w:ascii="Roboto Mono" w:cs="Roboto Mono" w:eastAsia="Roboto Mono" w:hAnsi="Roboto Mono"/>
          <w:color w:val="188038"/>
          <w:rtl w:val="0"/>
        </w:rPr>
        <w:t xml:space="preserve">A_estrenar</w:t>
      </w:r>
      <w:r w:rsidDel="00000000" w:rsidR="00000000" w:rsidRPr="00000000">
        <w:rPr>
          <w:rtl w:val="0"/>
        </w:rPr>
        <w:t xml:space="preserve"> como indicador binario para propiedades con antigüedad cero, e </w:t>
      </w:r>
      <w:r w:rsidDel="00000000" w:rsidR="00000000" w:rsidRPr="00000000">
        <w:rPr>
          <w:rFonts w:ascii="Roboto Mono" w:cs="Roboto Mono" w:eastAsia="Roboto Mono" w:hAnsi="Roboto Mono"/>
          <w:color w:val="188038"/>
          <w:rtl w:val="0"/>
        </w:rPr>
        <w:t xml:space="preserve">Indice_amenities</w:t>
      </w:r>
      <w:r w:rsidDel="00000000" w:rsidR="00000000" w:rsidRPr="00000000">
        <w:rPr>
          <w:rtl w:val="0"/>
        </w:rPr>
        <w:t xml:space="preserve"> como suma de los binarios de servicios presentes (pileta, gimnasio, SUM, sauna, laundry, seguridad 24hs, smart amenities, ascensor, parrilla). Se observó que en ventas predominan los departamentos de 3 y 2 ambientes, mientras que en alquileres el mercado está más concentrado en 2 ambientes y monoambientes, lo que representa un primer indicio para la validación de H2. Los 9 departamentos a estrenar en ventas son insuficientes para validar H4 estadísticamente, limitación que deberá advertirse en el EDA.</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Se materializaron los KPIs de precio definidos en el plan de trabajo. El </w:t>
      </w:r>
      <w:r w:rsidDel="00000000" w:rsidR="00000000" w:rsidRPr="00000000">
        <w:rPr>
          <w:rFonts w:ascii="Roboto Mono" w:cs="Roboto Mono" w:eastAsia="Roboto Mono" w:hAnsi="Roboto Mono"/>
          <w:color w:val="188038"/>
          <w:rtl w:val="0"/>
        </w:rPr>
        <w:t xml:space="preserve">Precio_ajustado_USD</w:t>
      </w:r>
      <w:r w:rsidDel="00000000" w:rsidR="00000000" w:rsidRPr="00000000">
        <w:rPr>
          <w:rtl w:val="0"/>
        </w:rPr>
        <w:t xml:space="preserve"> aplica la brecha de cierre del 4,91% documentada por UCEMA/RE/MAX/Reporte Inmobiliario (marzo 2026), que refleja la diferencia sistemática entre precio de publicación y valor efectivo de cierre en CABA. El precio mediano ajustado resultó de USD 126.707 y el precio mediano por m² de USD 2.472. Se detectaron 2 registros con superficie cubierta igual a cero, cuyos KPIs de m² fueron nuleados para evitar distorsiones. La </w:t>
      </w:r>
      <w:r w:rsidDel="00000000" w:rsidR="00000000" w:rsidRPr="00000000">
        <w:rPr>
          <w:rFonts w:ascii="Roboto Mono" w:cs="Roboto Mono" w:eastAsia="Roboto Mono" w:hAnsi="Roboto Mono"/>
          <w:color w:val="188038"/>
          <w:rtl w:val="0"/>
        </w:rPr>
        <w:t xml:space="preserve">Volatilidad_Precio_m2_comuna</w:t>
      </w:r>
      <w:r w:rsidDel="00000000" w:rsidR="00000000" w:rsidRPr="00000000">
        <w:rPr>
          <w:rtl w:val="0"/>
        </w:rPr>
        <w:t xml:space="preserve"> evidencia una brecha de casi 3x entre la comuna más barata (USD 1.077/m²) y la más cara (USD 3.077/m²), confirmando la heterogeneidad territorial planteada en el plan de trabajo.</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Para estimar la renta esperada de cada propiedad en venta se construyó una tabla puente de medianas de alquiler agrupada por (Comuna, Tipología, banda de superficie), con 193 combinaciones y una mediana de 8 comparables por celda. La renta mediana resultante fue de USD 608 mensuales y USD 12,26 por m². Para las combinaciones sin match por banda de superficie (49 propiedades en comunas de baja oferta) se aplicó un fallback que relaja la banda y usa la mediana comunal por (Comuna, Tipología), logrando cobertura del 100% sobre las propiedades geocodificadas. Se generó la variable </w:t>
      </w:r>
      <w:r w:rsidDel="00000000" w:rsidR="00000000" w:rsidRPr="00000000">
        <w:rPr>
          <w:rFonts w:ascii="Roboto Mono" w:cs="Roboto Mono" w:eastAsia="Roboto Mono" w:hAnsi="Roboto Mono"/>
          <w:color w:val="188038"/>
          <w:rtl w:val="0"/>
        </w:rPr>
        <w:t xml:space="preserve">confianza_renta</w:t>
      </w:r>
      <w:r w:rsidDel="00000000" w:rsidR="00000000" w:rsidRPr="00000000">
        <w:rPr>
          <w:rFonts w:ascii="Arial Unicode MS" w:cs="Arial Unicode MS" w:eastAsia="Arial Unicode MS" w:hAnsi="Arial Unicode MS"/>
          <w:rtl w:val="0"/>
        </w:rPr>
        <w:t xml:space="preserve"> ∈ {alta, media, baja} según el número de comparables usados: el 57% de las estimaciones tienen confianza alta (≥ 20 comparables), el 31% media y el 18% baja. Las propiedades con confianza baja deben señalizarse en el dashboard para que el fondo no tome decisiones basadas en estimaciones de renta con pocos comparables.</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Se calcularon los KPIs de retorno sobre el precio ajustado: rentabilidad bruta anual mediana de 6,23%, rentabilidad neta de 2,61% (descontando ABL, mantenimiento y vacancia), payback mediano de 16,1 años y yield gap de -3,77% respecto a bonos soberanos en USD. El gap negativo indica que en la mediana el mercado inmobiliario no supera al bono en retorno puro, aunque el inmueble ofrece preservación de capital y diversificación que el bono no provee. Identificar los segmentos con payback inferior a 12 años será uno de los objetivos del EDA.</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Finalmente, se calculó la </w:t>
      </w:r>
      <w:r w:rsidDel="00000000" w:rsidR="00000000" w:rsidRPr="00000000">
        <w:rPr>
          <w:rFonts w:ascii="Roboto Mono" w:cs="Roboto Mono" w:eastAsia="Roboto Mono" w:hAnsi="Roboto Mono"/>
          <w:color w:val="188038"/>
          <w:rtl w:val="0"/>
        </w:rPr>
        <w:t xml:space="preserve">Liquidez_oferta_comuna</w:t>
      </w:r>
      <w:r w:rsidDel="00000000" w:rsidR="00000000" w:rsidRPr="00000000">
        <w:rPr>
          <w:rtl w:val="0"/>
        </w:rPr>
        <w:t xml:space="preserve"> como publicaciones por habitante. Las comunas 14, 1 y 13 presentan la mayor densidad de oferta, posicionándose como las más escalables para el fondo. La comuna 8, con solo 27 publicaciones, no es invertible a escala independientemente de su rentabilidad. Este indicador será cruzado con rentabilidad y zona de riesgo en el EDA para construir una matriz de priorización de comunas.</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Los datasets finales — </w:t>
      </w:r>
      <w:r w:rsidDel="00000000" w:rsidR="00000000" w:rsidRPr="00000000">
        <w:rPr>
          <w:rFonts w:ascii="Roboto Mono" w:cs="Roboto Mono" w:eastAsia="Roboto Mono" w:hAnsi="Roboto Mono"/>
          <w:color w:val="188038"/>
          <w:rtl w:val="0"/>
        </w:rPr>
        <w:t xml:space="preserve">dataset_ventas_features.csv</w:t>
      </w:r>
      <w:r w:rsidDel="00000000" w:rsidR="00000000" w:rsidRPr="00000000">
        <w:rPr>
          <w:rtl w:val="0"/>
        </w:rPr>
        <w:t xml:space="preserve"> (3.868 filas, 91 columnas) y </w:t>
      </w:r>
      <w:r w:rsidDel="00000000" w:rsidR="00000000" w:rsidRPr="00000000">
        <w:rPr>
          <w:rFonts w:ascii="Roboto Mono" w:cs="Roboto Mono" w:eastAsia="Roboto Mono" w:hAnsi="Roboto Mono"/>
          <w:color w:val="188038"/>
          <w:rtl w:val="0"/>
        </w:rPr>
        <w:t xml:space="preserve">dataset_alquileres_features.csv</w:t>
      </w:r>
      <w:r w:rsidDel="00000000" w:rsidR="00000000" w:rsidRPr="00000000">
        <w:rPr>
          <w:rtl w:val="0"/>
        </w:rPr>
        <w:t xml:space="preserve"> (3.645 filas, 80 columnas) — contienen todos los KPIs definidos en el plan de trabajo, con trazabilidad completa de la calidad de cada estimación vía </w:t>
      </w:r>
      <w:r w:rsidDel="00000000" w:rsidR="00000000" w:rsidRPr="00000000">
        <w:rPr>
          <w:rFonts w:ascii="Roboto Mono" w:cs="Roboto Mono" w:eastAsia="Roboto Mono" w:hAnsi="Roboto Mono"/>
          <w:color w:val="188038"/>
          <w:rtl w:val="0"/>
        </w:rPr>
        <w:t xml:space="preserve">geo_ok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confianza_renta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geo_method</w:t>
      </w:r>
      <w:r w:rsidDel="00000000" w:rsidR="00000000" w:rsidRPr="00000000">
        <w:rPr>
          <w:rtl w:val="0"/>
        </w:rPr>
        <w:t xml:space="preserve">, y están listos para el EDA.</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