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ДОГОВОР № {contractNumber}</w:t>
      </w:r>
    </w:p>
    <w:p>
      <w:pPr>
        <w:pStyle w:val="Normal"/>
        <w:shd w:fill="FFFFFF" w:val="clear"/>
        <w:autoSpaceDE w:val="false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W w:w="967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2"/>
        <w:gridCol w:w="4891"/>
      </w:tblGrid>
      <w:tr>
        <w:trPr>
          <w:trHeight w:val="303" w:hRule="atLeast"/>
        </w:trPr>
        <w:tc>
          <w:tcPr>
            <w:tcW w:w="4782" w:type="dxa"/>
            <w:tcBorders/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г. Москва</w:t>
            </w:r>
          </w:p>
        </w:tc>
        <w:tc>
          <w:tcPr>
            <w:tcW w:w="4891" w:type="dxa"/>
            <w:tcBorders/>
          </w:tcPr>
          <w:p>
            <w:pPr>
              <w:pStyle w:val="Normal"/>
              <w:autoSpaceDE w:val="false"/>
              <w:jc w:val="end"/>
              <w:rPr/>
            </w:pPr>
            <w:r>
              <w:rPr/>
              <w:t>{contractDate}</w:t>
            </w:r>
          </w:p>
        </w:tc>
      </w:tr>
    </w:tbl>
    <w:p>
      <w:pPr>
        <w:pStyle w:val="Normal"/>
        <w:shd w:fill="FFFFFF" w:val="clear"/>
        <w:autoSpaceDE w:val="false"/>
        <w:ind w:start="-284" w:end="0"/>
        <w:jc w:val="both"/>
        <w:rPr/>
      </w:pPr>
      <w:r>
        <w:rPr/>
        <w:t xml:space="preserve"> </w:t>
      </w:r>
    </w:p>
    <w:p>
      <w:pPr>
        <w:pStyle w:val="Normal"/>
        <w:shd w:fill="FFFFFF" w:val="clear"/>
        <w:autoSpaceDE w:val="false"/>
        <w:ind w:firstLine="208" w:start="-284" w:end="0"/>
        <w:jc w:val="both"/>
        <w:rPr>
          <w:color w:val="000000"/>
        </w:rPr>
      </w:pPr>
      <w:r>
        <w:rPr>
          <w:rFonts w:cs="Arial" w:ascii="Arial" w:hAnsi="Arial" w:eastAsia="Arial"/>
          <w:b/>
          <w:bCs/>
          <w:sz w:val="23"/>
          <w:szCs w:val="23"/>
          <w:shd w:fill="FFFFFF" w:val="clear"/>
        </w:rPr>
        <w:t>{recipient}, именуемое в дальнейшем «Покупатель», {buyerRepresentative}{recipientAuthority}, с одной стороны и {sender}, именуемое в дальнейшем «Исполнитель», {sellerRepresentative}{senderAuthority}, с другой стороны, заключили настоящий Договор о нижеследующем:</w:t>
      </w:r>
      <w:r>
        <w:rPr>
          <w:rFonts w:cs="Arial" w:ascii="Arial" w:hAnsi="Arial" w:eastAsia="Arial"/>
          <w:sz w:val="23"/>
          <w:szCs w:val="23"/>
          <w:shd w:fill="FFFFFF" w:val="clear"/>
        </w:rPr>
        <w:t/>
      </w:r>
      <w:r>
        <w:rPr>
          <w:rFonts w:cs="Arial" w:ascii="Arial" w:hAnsi="Arial" w:eastAsia="Arial"/>
          <w:b/>
          <w:bCs/>
          <w:sz w:val="23"/>
          <w:szCs w:val="23"/>
          <w:shd w:fill="FFFFFF" w:val="clear"/>
        </w:rPr>
        <w:t/>
      </w:r>
      <w:r>
        <w:rPr>
          <w:rFonts w:cs="Arial" w:ascii="Arial" w:hAnsi="Arial" w:eastAsia="Arial"/>
          <w:sz w:val="23"/>
          <w:szCs w:val="23"/>
          <w:shd w:fill="FFFFFF" w:val="clear"/>
        </w:rPr>
        <w:t/>
      </w:r>
      <w:r>
        <w:rPr>
          <w:rFonts w:cs="Arial" w:ascii="Arial" w:hAnsi="Arial" w:eastAsia="Arial"/>
          <w:b/>
          <w:bCs/>
          <w:sz w:val="23"/>
          <w:szCs w:val="23"/>
          <w:shd w:fill="FFFFFF" w:val="clear"/>
        </w:rPr>
        <w:t/>
      </w:r>
      <w:r>
        <w:rPr>
          <w:rFonts w:cs="Arial" w:ascii="Arial" w:hAnsi="Arial" w:eastAsia="Arial"/>
          <w:sz w:val="23"/>
          <w:szCs w:val="23"/>
          <w:shd w:fill="FFFFFF" w:val="clear"/>
        </w:rPr>
        <w:t/>
      </w:r>
      <w:r>
        <w:rPr>
          <w:rFonts w:cs="Arial" w:ascii="Arial" w:hAnsi="Arial" w:eastAsia="Arial"/>
          <w:color w:val="002060"/>
          <w:sz w:val="23"/>
          <w:szCs w:val="23"/>
          <w:shd w:fill="FFFFFF" w:val="clear"/>
        </w:rPr>
        <w:t/>
      </w:r>
      <w:r>
        <w:rPr/>
        <w:t/>
      </w:r>
      <w:r>
        <w:rPr>
          <w:b/>
        </w:rPr>
        <w:t xml:space="preserve"/>
      </w:r>
      <w:r>
        <w:rPr/>
        <w:t xml:space="preserve"/>
      </w:r>
      <w:r>
        <w:rPr>
          <w:b/>
        </w:rPr>
        <w:t/>
      </w:r>
      <w:r>
        <w:rPr/>
        <w:t xml:space="preserve"/>
      </w:r>
      <w:r>
        <w:rPr>
          <w:color w:val="000000"/>
        </w:rPr>
        <w:t/>
      </w:r>
    </w:p>
    <w:p>
      <w:pPr>
        <w:pStyle w:val="Normal"/>
        <w:shd w:fill="FFFFFF" w:val="clear"/>
        <w:autoSpaceDE w:val="false"/>
        <w:ind w:start="-284" w:end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5"/>
        </w:numPr>
        <w:shd w:fill="FFFFFF" w:val="clear"/>
        <w:spacing w:before="223" w:after="0"/>
        <w:ind w:hanging="360" w:start="284" w:end="0"/>
        <w:jc w:val="center"/>
        <w:rPr>
          <w:b/>
          <w:bCs/>
          <w:spacing w:val="-2"/>
        </w:rPr>
      </w:pPr>
      <w:r>
        <w:rPr>
          <w:b/>
          <w:bCs/>
          <w:spacing w:val="-2"/>
        </w:rPr>
        <w:t>Предмет договора</w:t>
      </w:r>
    </w:p>
    <w:p>
      <w:pPr>
        <w:pStyle w:val="Normal"/>
        <w:shd w:fill="FFFFFF" w:val="clear"/>
        <w:spacing w:before="223" w:after="0"/>
        <w:ind w:start="720" w:end="0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Arial" w:hAnsi="Arial" w:eastAsia="Arial" w:cs="Arial"/>
          <w:bCs/>
          <w:color w:val="000000"/>
          <w:sz w:val="24"/>
          <w:szCs w:val="24"/>
        </w:rPr>
      </w:pPr>
      <w:r>
        <w:rPr>
          <w:rFonts w:eastAsia="Arial" w:cs="Arial" w:ascii="Arial" w:hAnsi="Arial"/>
          <w:bCs/>
          <w:color w:val="000000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Arial" w:hAnsi="Arial" w:eastAsia="Arial" w:cs="Arial"/>
          <w:bCs/>
          <w:color w:val="000000"/>
          <w:sz w:val="24"/>
          <w:szCs w:val="24"/>
        </w:rPr>
      </w:pPr>
      <w:r>
        <w:rPr>
          <w:rFonts w:eastAsia="Arial" w:cs="Arial" w:ascii="Arial" w:hAnsi="Arial"/>
          <w:bCs/>
          <w:color w:val="000000"/>
          <w:sz w:val="24"/>
          <w:szCs w:val="24"/>
        </w:rPr>
        <w:t>1.1. Исполнитель обязуется по заданию Заказчика оказать комплекс возмездных услуг по организации и проведению культурно-массового мероприятия,  с показом спектакля «{event}» на сцене {venue}  и продажей театральных билетов в количестве {count} ({countWords}) штук, на сумму {amount} руб. ({amountWords}), НДС не облагается в связи с применением упрощенной системы налогообложения в соответствии с п. 1 ст.145 Налогового Кодекса Российской Федерации.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bCs/>
          <w:color w:val="000000"/>
          <w:sz w:val="24"/>
          <w:szCs w:val="24"/>
        </w:rPr>
        <w:t/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color w:val="000000"/>
          <w:sz w:val="24"/>
          <w:szCs w:val="24"/>
        </w:rPr>
        <w:t xml:space="preserve"/>
      </w:r>
      <w:r>
        <w:rPr>
          <w:rFonts w:cs="Arial" w:ascii="Arial" w:hAnsi="Arial" w:eastAsia="Arial"/>
          <w:bCs/>
          <w:sz w:val="24"/>
          <w:szCs w:val="24"/>
        </w:rPr>
        <w:t xml:space="preserve"/>
      </w:r>
      <w:r>
        <w:rPr>
          <w:rFonts w:eastAsia="Arial" w:cs="Arial" w:ascii="Arial" w:hAnsi="Arial"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color w:val="000000"/>
          <w:sz w:val="24"/>
          <w:szCs w:val="24"/>
        </w:rPr>
        <w:t xml:space="preserve"/>
      </w:r>
      <w:r>
        <w:rPr>
          <w:bCs/>
          <w:color w:val="000000"/>
          <w:sz w:val="24"/>
          <w:szCs w:val="24"/>
          <w:lang w:eastAsia="ar-SA"/>
        </w:rPr>
        <w:t/>
      </w:r>
      <w:r>
        <w:rPr>
          <w:color w:val="000000"/>
          <w:sz w:val="24"/>
          <w:szCs w:val="24"/>
          <w:lang w:eastAsia="ar-SA"/>
        </w:rPr>
        <w:t xml:space="preserve"/>
      </w:r>
      <w:r>
        <w:rPr>
          <w:rFonts w:eastAsia="Arial" w:cs="Arial" w:ascii="Arial" w:hAnsi="Arial"/>
          <w:color w:val="000000"/>
          <w:sz w:val="24"/>
          <w:szCs w:val="24"/>
        </w:rPr>
        <w:t/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Cs/>
          <w:color w:val="000000"/>
          <w:sz w:val="24"/>
          <w:szCs w:val="24"/>
        </w:rPr>
        <w:t xml:space="preserve">Дата мероприятий – {eventDate}.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/>
      </w:r>
      <w:r>
        <w:rPr>
          <w:rFonts w:eastAsia="Arial" w:cs="Arial" w:ascii="Arial" w:hAnsi="Arial"/>
          <w:bCs/>
          <w:color w:val="000000"/>
          <w:sz w:val="24"/>
          <w:szCs w:val="24"/>
        </w:rPr>
        <w:t xml:space="preserve"/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1.2. Хронометраж Мероприятия включает продолжительность спектакля – 2.20 (два часа двадцать минут) часа, (с антрактом).</w:t>
      </w:r>
      <w:r>
        <w:rPr>
          <w:rFonts w:eastAsia="Arial" w:cs="Arial" w:ascii="Arial" w:hAnsi="Arial"/>
          <w:sz w:val="24"/>
          <w:szCs w:val="24"/>
        </w:rPr>
        <w:t/>
      </w:r>
      <w:r>
        <w:rPr>
          <w:rFonts w:eastAsia="Arial" w:cs="Arial" w:ascii="Arial" w:hAnsi="Arial"/>
          <w:color w:val="000000"/>
          <w:sz w:val="24"/>
          <w:szCs w:val="24"/>
        </w:rPr>
        <w:t/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Arial" w:hAnsi="Arial" w:eastAsia="Arial" w:cs="Arial"/>
          <w:b/>
          <w:bCs/>
          <w:color w:val="000000"/>
          <w:spacing w:val="-1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Arial" w:hAnsi="Arial" w:cs="Arial" w:eastAsia="Arial"/>
          <w:b/>
          <w:bCs/>
          <w:spacing w:val="-1"/>
          <w:sz w:val="24"/>
        </w:rPr>
      </w:pPr>
      <w:r>
        <w:rPr>
          <w:rFonts w:cs="Arial" w:ascii="Arial" w:hAnsi="Arial" w:eastAsia="Arial"/>
          <w:b/>
          <w:bCs/>
          <w:spacing w:val="-1"/>
          <w:sz w:val="24"/>
        </w:rPr>
        <w:t>2. Обязанности сторон</w:t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Arial" w:hAnsi="Arial" w:eastAsia="Arial" w:cs="Arial"/>
          <w:b/>
          <w:bCs/>
          <w:color w:val="000000"/>
          <w:spacing w:val="-1"/>
          <w:sz w:val="28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28"/>
          <w:szCs w:val="24"/>
        </w:rPr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>
          <w:spacing w:val="-1"/>
        </w:rPr>
        <w:t>Исполнитель обязуется:</w:t>
      </w:r>
    </w:p>
    <w:p>
      <w:pPr>
        <w:pStyle w:val="Normal"/>
        <w:widowControl w:val="false"/>
        <w:numPr>
          <w:ilvl w:val="2"/>
          <w:numId w:val="7"/>
        </w:numPr>
        <w:shd w:fill="FFFFFF" w:val="clear"/>
        <w:tabs>
          <w:tab w:val="clear" w:pos="708"/>
          <w:tab w:val="left" w:pos="461" w:leader="none"/>
        </w:tabs>
        <w:autoSpaceDE w:val="false"/>
        <w:spacing w:before="194" w:after="0"/>
        <w:jc w:val="both"/>
        <w:rPr>
          <w:spacing w:val="-6"/>
        </w:rPr>
      </w:pPr>
      <w:r>
        <w:rPr>
          <w:spacing w:val="-1"/>
        </w:rPr>
        <w:t>Организовать и провести мероприятие спектакль «{event}» на сцене {venue}, после поступления денежных средств на расчетный счет Исполнителя.</w:t>
      </w:r>
      <w:r>
        <w:rPr/>
        <w:t xml:space="preserve"/>
      </w:r>
    </w:p>
    <w:p>
      <w:pPr>
        <w:pStyle w:val="Normal"/>
        <w:widowControl w:val="false"/>
        <w:numPr>
          <w:ilvl w:val="2"/>
          <w:numId w:val="4"/>
        </w:numPr>
        <w:shd w:fill="FFFFFF" w:val="clear"/>
        <w:tabs>
          <w:tab w:val="clear" w:pos="708"/>
          <w:tab w:val="left" w:pos="461" w:leader="none"/>
          <w:tab w:val="left" w:pos="851" w:leader="none"/>
        </w:tabs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/>
        <w:t>Передать Заказчику входные билеты на спектакль не позднее 10 (десяти) календарных дней до даты проведения спектакля.</w:t>
      </w:r>
    </w:p>
    <w:p>
      <w:pPr>
        <w:pStyle w:val="Normal"/>
        <w:widowControl w:val="false"/>
        <w:numPr>
          <w:ilvl w:val="2"/>
          <w:numId w:val="4"/>
        </w:numPr>
        <w:shd w:fill="FFFFFF" w:val="clear"/>
        <w:tabs>
          <w:tab w:val="clear" w:pos="708"/>
          <w:tab w:val="left" w:pos="461" w:leader="none"/>
          <w:tab w:val="left" w:pos="851" w:leader="none"/>
        </w:tabs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/>
        <w:t>Предоставить по факту передачи входных билетов Заказчику Акт сдачи-приемки услуг и товарную накладную.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  <w:t>2.2. Заказчик обязуется: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  <w:t xml:space="preserve">2.2.1. Произвести оплату услуг Исполнителя в сумме: {amount} руб. ({amountWords}), за количеством билетов {count} ({countWords}) штук. Перечень театральных (входных) билетов (место, ряд) приобретаемых Покупателем и их стоимость указаны в Приложении № 1 к настоящему Договору, которое является его неотъемлемой частью договора № {contractNumber} от {contractDate}</w:t>
      </w:r>
      <w:r>
        <w:rPr>
          <w:color w:val="2C2D2E"/>
          <w:shd w:fill="FFFFFF" w:val="clear"/>
        </w:rPr>
        <w:t xml:space="preserve"/>
      </w:r>
      <w:r>
        <w:rPr>
          <w:spacing w:val="-6"/>
        </w:rPr>
        <w:t> Оплата производится не позднее 3 дней с момента выставления счёта.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</w:r>
    </w:p>
    <w:p>
      <w:pPr>
        <w:pStyle w:val="Normal"/>
        <w:ind w:firstLine="360" w:end="0"/>
        <w:jc w:val="both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</w:r>
    </w:p>
    <w:p>
      <w:pPr>
        <w:pStyle w:val="Normal"/>
        <w:ind w:firstLine="360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360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center"/>
        <w:rPr>
          <w:b/>
        </w:rPr>
        <w:keepNext/>
      </w:pPr>
      <w:r>
        <w:rPr>
          <w:b/>
        </w:rPr>
        <w:t>Обстоятельства непреодолимой силы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start="-284" w:end="0"/>
        <w:jc w:val="both"/>
        <w:rPr/>
      </w:pPr>
      <w:r>
        <w:rPr/>
        <w:t xml:space="preserve">3.1. Стороны освобождаются от ответственности за неисполнение или ненадлежащее исполнение своих обязательств по настоящему Договору в случае действия обстоятельств непреодолимой силы, прямо или косвенно препятствующих   исполнению   настоящего   Договора, то   есть    таких обстоятельств, которые независимы от воли Сторон, не могли быть ими предвидены в момент заключения Договора и предотвращены   разумными средствами при их наступлении.</w:t>
      </w:r>
      <w:r>
        <w:rPr>
          <w:color w:val="000000"/>
        </w:rPr>
        <w:t/>
      </w:r>
    </w:p>
    <w:p>
      <w:pPr>
        <w:pStyle w:val="21"/>
        <w:spacing w:lineRule="auto" w:line="240" w:before="0" w:after="0"/>
        <w:ind w:start="-284" w:end="0"/>
        <w:jc w:val="both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ind w:start="-284" w:end="0"/>
        <w:jc w:val="both"/>
        <w:rPr/>
      </w:pPr>
      <w:r>
        <w:rPr>
          <w:color w:val="000000"/>
        </w:rPr>
        <w:t>3.2. Сторона, подвергшаяся  действию  таких  обстоятельств,  обязана немедленно в письменном виде уведомить другую  Сторону  о  возникновении, виде   и    возможной    продолжительности    действия    соответствующих обстоятельств. Если эта Сторона не сообщит  о  наступлении  обстоятельств непреодолимой силы, она лишается права ссылаться на него, разве что  само такое обстоятельство препятствовало отправлению такого сообщения.</w:t>
      </w:r>
    </w:p>
    <w:p>
      <w:pPr>
        <w:pStyle w:val="21"/>
        <w:spacing w:lineRule="auto" w:line="240" w:before="0" w:after="0"/>
        <w:ind w:start="-284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start="-284" w:end="0"/>
        <w:jc w:val="both"/>
        <w:rPr/>
      </w:pPr>
      <w:r>
        <w:rPr>
          <w:color w:val="000000"/>
          <w:lang w:val="ru-RU"/>
        </w:rPr>
        <w:t>3.3 В связи с повышенной угрозой распространения новой короновирусной инфекции или какой либо другой инфекции, возникнет необходимость отмены всех мероприятий, {sender} обязуется перенести мероприятие на другую дату. В случае отказа о переносе, {sender} обязуется вернуть оплату Заказчика в размере 100 (сто) %.</w:t>
      </w:r>
    </w:p>
    <w:p>
      <w:pPr>
        <w:pStyle w:val="21"/>
        <w:ind w:firstLine="360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/>
        <w:keepNext/>
      </w:pPr>
      <w:r>
        <w:rPr>
          <w:b/>
          <w:color w:val="000000"/>
        </w:rPr>
        <w:t>4. Порядок разрешения споров</w:t>
      </w:r>
    </w:p>
    <w:p>
      <w:pPr>
        <w:pStyle w:val="21"/>
        <w:spacing w:lineRule="auto" w:line="240"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>4.1. Все споры и разногласия между Сторонами, возникающие в период действия настоящего договора, разрешаются путем переговоров.</w:t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4.2. В случае не возможности разрешения споров и разногласий путем переговоров, они подлежат разрешению в судебном порядке в соответствии с действующим законодательством РФ.</w:t>
      </w:r>
    </w:p>
    <w:p>
      <w:pPr>
        <w:pStyle w:val="21"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  <w:keepNext/>
      </w:pPr>
      <w:r>
        <w:rPr>
          <w:b/>
          <w:color w:val="000000"/>
        </w:rPr>
        <w:t>5. Ответственность сторон</w:t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5.1. Стороны несут ответственность за неисполнение либо ненадлежащее исполнение обязательств по настоящему Договору в соответствии с гражданским, а также иным действующим законодательством Российской Федерации и условиями Настоящего Договора.</w:t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5.2. Уплата пеней не освобождает Стороны от исполнения своих обязательств по настоящему Договору и от возмещения убытков, причиненных неисполнением или ненадлежащим исполнением своих обязательств.</w:t>
      </w:r>
    </w:p>
    <w:p>
      <w:pPr>
        <w:pStyle w:val="21"/>
        <w:spacing w:lineRule="auto" w:line="240" w:before="0" w:after="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5.3. В случае не предоставления билетов на спектакль или если спектакль не состоится, Исполнитель обязуется вернуть полученную стоимость услуг (п.2.2.1.) в течении 5 (пяти) банковских дней со дня получения требования от Заказчика.</w:t>
      </w:r>
    </w:p>
    <w:p>
      <w:pPr>
        <w:pStyle w:val="21"/>
        <w:spacing w:lineRule="auto" w:line="240" w:before="0" w:after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firstLine="360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  <w:keepNext/>
      </w:pPr>
      <w:r>
        <w:rPr>
          <w:b/>
          <w:color w:val="000000"/>
        </w:rPr>
        <w:t>6. Прочие условия.</w:t>
      </w:r>
    </w:p>
    <w:p>
      <w:pPr>
        <w:pStyle w:val="ConsNormal"/>
        <w:widowControl/>
        <w:ind w:hanging="0" w:end="0"/>
        <w:jc w:val="both"/>
        <w:rPr/>
      </w:pPr>
      <w:r>
        <w:rPr>
          <w:rFonts w:cs="Arial" w:ascii="Arial" w:hAnsi="Arial" w:eastAsia="Arial"/>
          <w:color w:val="000000"/>
          <w:sz w:val="24"/>
          <w:szCs w:val="24"/>
        </w:rPr>
        <w:t xml:space="preserve">6.1. Договор вступает в силу с момента его подписания и действует до 31 декабря 2026 года. Изменения, дополнения, а также продление срока действия настоящего Договора оформляются путем подписания Сторонами дополнительного соглашения, кроме изменения цены, объемов и сроков оказания услуг.</w:t>
      </w:r>
      <w:r>
        <w:rPr>
          <w:rFonts w:cs="Arial" w:ascii="Arial" w:hAnsi="Arial" w:eastAsia="Arial"/>
          <w:sz w:val="24"/>
          <w:szCs w:val="24"/>
        </w:rPr>
        <w:t xml:space="preserve"/>
      </w:r>
      <w:r>
        <w:rPr>
          <w:rFonts w:cs="Arial" w:ascii="Arial" w:hAnsi="Arial" w:eastAsia="Arial"/>
          <w:color w:val="000000"/>
          <w:sz w:val="24"/>
          <w:szCs w:val="24"/>
        </w:rPr>
        <w:t/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6.2. Настоящий договор составлен в 2-х экземплярах, имеющих одинаковую юридическую силу, по одному экземпляру для каждой из Сторон.</w:t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  <w:keepNext/>
      </w:pPr>
      <w:r>
        <w:rPr>
          <w:b/>
          <w:bCs/>
        </w:rPr>
        <w:t>7. Адреса и реквизиты сторон.</w:t>
      </w:r>
    </w:p>
    <w:p>
      <w:pPr>
        <w:pStyle w:val="Normal"/>
        <w:shd w:fill="FFFFFF" w:val="clear"/>
        <w:spacing w:lineRule="exact" w:line="274"/>
        <w:rPr>
          <w:b/>
          <w:bCs/>
          <w:u w:val="single"/>
        </w:rPr>
      </w:pPr>
      <w:r>
        <w:rPr>
          <w:b/>
          <w:bCs/>
          <w:u w:val="single"/>
        </w:rPr>
      </w:r>
    </w:p>
    <w:tbl>
      <w:tblPr>
        <w:tblW w:w="9600" w:type="dxa"/>
      </w:tblPr>
      <w:tblGrid>
        <w:gridCol w:w="4800"/>
        <w:gridCol w:w="4800"/>
      </w:tblGrid>
      <w:tr>
        <w:tc>
          <w:p>
            <w:r>
              <w:t>Исполнитель</w:t>
            </w:r>
          </w:p>
          <w:p>
            <w:r>
              <w:t>{senderDetails}</w:t>
            </w:r>
          </w:p>
        </w:tc>
        <w:tc>
          <w:p>
            <w:r>
              <w:t>Покупатель</w:t>
            </w:r>
          </w:p>
          <w:p>
            <w:r>
              <w:t>{recipientDetails}</w:t>
            </w:r>
          </w:p>
        </w:tc>
      </w:tr>
      <w:tr>
        <w:trPr>
          <w:cantSplit/>
        </w:trPr>
        <w:tc>
          <w:p>
            <w:r>
              <w:rPr>
                <w:rFonts w:ascii="Arial" w:hAnsi="Arial"/>
                <w:sz w:val="22"/>
              </w:rPr>
              <w:t>{senderPosition} {senderSignatory}</w:t>
            </w:r>
          </w:p>
        </w:tc>
        <w:tc>
          <w:p>
            <w:r>
              <w:rPr>
                <w:rFonts w:ascii="Arial" w:hAnsi="Arial"/>
                <w:sz w:val="22"/>
              </w:rPr>
              <w:t>{recipientPosition} {recipientSignatory}</w:t>
            </w:r>
          </w:p>
        </w:tc>
      </w:tr>
      <w:tr>
        <w:trPr>
          <w:cantSplit/>
        </w:trPr>
        <w:tc>
          <w:p>
            <w:r>
              <w:rPr>
                <w:rFonts w:ascii="Arial" w:hAnsi="Arial"/>
                <w:sz w:val="22"/>
              </w:rPr>
              <w:t>________________________</w:t>
            </w:r>
          </w:p>
        </w:tc>
        <w:tc>
          <w:p>
            <w:r>
              <w:rPr>
                <w:rFonts w:ascii="Arial" w:hAnsi="Arial"/>
                <w:sz w:val="22"/>
              </w:rPr>
              <w:t>________________________</w:t>
            </w:r>
          </w:p>
        </w:tc>
      </w:tr>
    </w:tbl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Arial" w:hAnsi="Arial" w:cs="Arial" w:eastAsia="Arial"/>
    </w:rPr>
  </w:style>
  <w:style w:type="character" w:styleId="WW8Num1z1">
    <w:name w:val="WW8Num1z1"/>
    <w:qFormat/>
    <w:rPr>
      <w:rFonts w:ascii="Arial" w:hAnsi="Arial" w:cs="Arial" w:eastAsia="Arial"/>
    </w:rPr>
  </w:style>
  <w:style w:type="character" w:styleId="WW8Num1z2">
    <w:name w:val="WW8Num1z2"/>
    <w:qFormat/>
    <w:rPr>
      <w:rFonts w:ascii="Arial" w:hAnsi="Arial" w:cs="Arial" w:eastAsia="Arial"/>
    </w:rPr>
  </w:style>
  <w:style w:type="character" w:styleId="WW8Num2z0">
    <w:name w:val="WW8Num2z0"/>
    <w:qFormat/>
    <w:rPr>
      <w:rFonts w:ascii="Arial" w:hAnsi="Arial" w:cs="Arial" w:eastAsia="Arial"/>
    </w:rPr>
  </w:style>
  <w:style w:type="character" w:styleId="WW8Num2z1">
    <w:name w:val="WW8Num2z1"/>
    <w:qFormat/>
    <w:rPr>
      <w:rFonts w:ascii="Arial" w:hAnsi="Arial" w:cs="Arial" w:eastAsia="Arial"/>
    </w:rPr>
  </w:style>
  <w:style w:type="character" w:styleId="WW8Num2z2">
    <w:name w:val="WW8Num2z2"/>
    <w:qFormat/>
    <w:rPr>
      <w:rFonts w:ascii="Arial" w:hAnsi="Arial" w:cs="Arial" w:eastAsia="Aria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cs="Arial" w:eastAsia="Arial"/>
    </w:rPr>
  </w:style>
  <w:style w:type="character" w:styleId="WW8Num5z1">
    <w:name w:val="WW8Num5z1"/>
    <w:qFormat/>
    <w:rPr>
      <w:rFonts w:ascii="Arial" w:hAnsi="Arial" w:cs="Arial" w:eastAsia="Arial"/>
    </w:rPr>
  </w:style>
  <w:style w:type="character" w:styleId="WW8Num5z2">
    <w:name w:val="WW8Num5z2"/>
    <w:qFormat/>
    <w:rPr>
      <w:rFonts w:ascii="Arial" w:hAnsi="Arial" w:cs="Arial" w:eastAsia="Aria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Arial" w:hAnsi="Arial" w:cs="Arial" w:eastAsia="Arial"/>
    </w:rPr>
  </w:style>
  <w:style w:type="character" w:styleId="WW8Num9z0">
    <w:name w:val="WW8Num9z0"/>
    <w:qFormat/>
    <w:rPr>
      <w:rFonts w:ascii="Arial" w:hAnsi="Arial" w:cs="Arial" w:eastAsia="Arial"/>
    </w:rPr>
  </w:style>
  <w:style w:type="character" w:styleId="WW8Num9z1">
    <w:name w:val="WW8Num9z1"/>
    <w:qFormat/>
    <w:rPr>
      <w:rFonts w:ascii="Arial" w:hAnsi="Arial" w:cs="Arial" w:eastAsia="Arial"/>
    </w:rPr>
  </w:style>
  <w:style w:type="character" w:styleId="WW8Num9z2">
    <w:name w:val="WW8Num9z2"/>
    <w:qFormat/>
    <w:rPr>
      <w:rFonts w:ascii="Arial" w:hAnsi="Arial" w:cs="Arial" w:eastAsia="Arial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Arial" w:hAnsi="Arial" w:cs="Arial" w:eastAsia="Arial"/>
    </w:rPr>
  </w:style>
  <w:style w:type="character" w:styleId="WW8Num13z1">
    <w:name w:val="WW8Num13z1"/>
    <w:qFormat/>
    <w:rPr>
      <w:rFonts w:ascii="Arial" w:hAnsi="Arial" w:cs="Arial" w:eastAsia="Arial"/>
    </w:rPr>
  </w:style>
  <w:style w:type="character" w:styleId="WW8Num13z2">
    <w:name w:val="WW8Num13z2"/>
    <w:qFormat/>
    <w:rPr>
      <w:rFonts w:ascii="Arial" w:hAnsi="Arial" w:cs="Arial" w:eastAsia="Arial"/>
    </w:rPr>
  </w:style>
  <w:style w:type="character" w:styleId="WW8Num14z0">
    <w:name w:val="WW8Num14z0"/>
    <w:qFormat/>
    <w:rPr>
      <w:rFonts w:ascii="Arial" w:hAnsi="Arial" w:cs="Arial" w:eastAsia="Arial"/>
    </w:rPr>
  </w:style>
  <w:style w:type="character" w:styleId="WW8Num14z1">
    <w:name w:val="WW8Num14z1"/>
    <w:qFormat/>
    <w:rPr>
      <w:rFonts w:ascii="Arial" w:hAnsi="Arial" w:cs="Arial" w:eastAsia="Arial"/>
    </w:rPr>
  </w:style>
  <w:style w:type="character" w:styleId="WW8Num14z2">
    <w:name w:val="WW8Num14z2"/>
    <w:qFormat/>
    <w:rPr>
      <w:rFonts w:ascii="Arial" w:hAnsi="Arial" w:cs="Arial" w:eastAsia="Arial"/>
    </w:rPr>
  </w:style>
  <w:style w:type="character" w:styleId="WW8Num15z0">
    <w:name w:val="WW8Num15z0"/>
    <w:qFormat/>
    <w:rPr>
      <w:rFonts w:eastAsia="Arial" w:ascii="Arial" w:hAnsi="Arial" w:cs="Arial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Arial" w:ascii="Arial" w:hAnsi="Arial" w:cs="Arial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Arial" w:hAnsi="Arial" w:cs="Arial" w:eastAsia="Arial"/>
    </w:rPr>
  </w:style>
  <w:style w:type="character" w:styleId="WW8Num22z1">
    <w:name w:val="WW8Num22z1"/>
    <w:qFormat/>
    <w:rPr>
      <w:rFonts w:ascii="Arial" w:hAnsi="Arial" w:cs="Arial" w:eastAsia="Arial"/>
    </w:rPr>
  </w:style>
  <w:style w:type="character" w:styleId="WW8Num22z2">
    <w:name w:val="WW8Num22z2"/>
    <w:qFormat/>
    <w:rPr>
      <w:rFonts w:ascii="Arial" w:hAnsi="Arial" w:cs="Arial" w:eastAsia="Arial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Arial" w:hAnsi="Arial" w:cs="Arial" w:eastAsia="Arial"/>
      <w:sz w:val="16"/>
      <w:szCs w:val="16"/>
    </w:rPr>
  </w:style>
  <w:style w:type="character" w:styleId="FontStyle26">
    <w:name w:val="Font Style26"/>
    <w:qFormat/>
    <w:rPr>
      <w:rFonts w:ascii="Arial" w:hAnsi="Arial" w:cs="Arial" w:eastAsia="Arial"/>
      <w:b/>
      <w:bCs/>
      <w:sz w:val="14"/>
      <w:szCs w:val="14"/>
    </w:rPr>
  </w:style>
  <w:style w:type="character" w:styleId="FontStyle31">
    <w:name w:val="Font Style31"/>
    <w:qFormat/>
    <w:rPr>
      <w:rFonts w:ascii="Arial" w:hAnsi="Arial" w:cs="Arial" w:eastAsia="Arial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Arial" w:hAnsi="Arial" w:cs="Arial" w:eastAsia="Arial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Arial" w:hAnsi="Arial" w:eastAsia="Arial" w:cs="Arial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Arial" w:hAnsi="Arial" w:cs="Arial" w:eastAsia="Arial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Arial" w:hAnsi="Arial" w:cs="Arial" w:eastAsia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Arial" w:hAnsi="Arial" w:eastAsia="Arial" w:cs="Arial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Arial" w:hAnsi="Arial" w:eastAsia="Arial" w:cs="Arial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Arial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