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40"/>
        <w:jc w:val="center"/>
      </w:pPr>
      <w:r>
        <w:rPr>
          <w:rFonts w:ascii="Arial" w:cs="Arial" w:eastAsia="Arial" w:hAnsi="Arial"/>
          <w:b/>
          <w:bCs/>
          <w:color w:val="1F3864"/>
          <w:sz w:val="44"/>
          <w:szCs w:val="44"/>
        </w:rPr>
        <w:t xml:space="preserve">Neuroplasticity Growing Network</w:t>
      </w:r>
    </w:p>
    <w:p>
      <w:pPr>
        <w:spacing w:before="0" w:after="60"/>
        <w:jc w:val="center"/>
      </w:pPr>
      <w:r>
        <w:rPr>
          <w:rFonts w:ascii="Arial" w:cs="Arial" w:eastAsia="Arial" w:hAnsi="Arial"/>
          <w:i/>
          <w:iCs/>
          <w:color w:val="0D6E8A"/>
          <w:sz w:val="28"/>
          <w:szCs w:val="28"/>
        </w:rPr>
        <w:t xml:space="preserve">Follow-Up Experiments: Brief Report</w:t>
      </w:r>
    </w:p>
    <w:p>
      <w:pPr>
        <w:spacing w:before="0" w:after="280"/>
        <w:jc w:val="center"/>
      </w:pPr>
      <w:r>
        <w:rPr>
          <w:rFonts w:ascii="Arial" w:cs="Arial" w:eastAsia="Arial" w:hAnsi="Arial"/>
          <w:color w:val="64748B"/>
          <w:sz w:val="20"/>
          <w:szCs w:val="20"/>
        </w:rPr>
        <w:t xml:space="preserve">Scaling to SotA  ·  Skip Connections  ·  Dataset-Informed Initialisation</w:t>
      </w:r>
    </w:p>
    <w:p>
      <w:pPr>
        <w:pBdr>
          <w:bottom w:val="single" w:color="E2E8F0" w:sz="4" w:space="1"/>
        </w:pBdr>
        <w:spacing w:before="80" w:after="80"/>
      </w:pPr>
      <w:r>
        <w:rPr>
          <w:rFonts w:ascii="Arial" w:cs="Arial" w:eastAsia="Arial" w:hAnsi="Arial"/>
        </w:rPr>
        <w:t xml:space="preserve"/>
      </w:r>
    </w:p>
    <w:p>
      <w:pPr>
        <w:spacing w:after="180" w:before="0"/>
        <w:jc w:val="left"/>
      </w:pPr>
      <w:r>
        <w:rPr>
          <w:rFonts w:ascii="Arial" w:cs="Arial" w:eastAsia="Arial" w:hAnsi="Arial"/>
          <w:b w:val="false"/>
          <w:bCs w:val="false"/>
          <w:i w:val="false"/>
          <w:iCs w:val="false"/>
          <w:color w:val="1E293B"/>
          <w:sz w:val="22"/>
          <w:szCs w:val="22"/>
        </w:rPr>
        <w:t xml:space="preserve">Following the baseline experiment, three follow-up studies progressively scaled the neuroplasticity framework toward competitive deep-learning benchmarks and introduced two architectural innovations. Each experiment was run on the same CIFAR-10 analog dataset (10,000 train / 3,000 test, 96-dim CNN features, quadratic label structure) to ensure direct comparability. The central question across all three: can a growing MLP, given increasingly powerful inductive biases, close the accuracy gap with convolutional SotA?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228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 / Experiment</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Train Acc</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 Acc</w:t>
            </w:r>
          </w:p>
        </w:tc>
        <w:tc>
          <w:tcPr>
            <w:tcW w:type="dxa" w:w="2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Key Signal</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Baseline MLP (Exp 1)</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458 →13,994</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∔99%</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0D6E8A"/>
                <w:sz w:val="19"/>
                <w:szCs w:val="19"/>
              </w:rPr>
              <w:t xml:space="preserve">75.8%</w:t>
            </w:r>
          </w:p>
        </w:tc>
        <w:tc>
          <w:tcPr>
            <w:tcW w:type="dxa" w:w="2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6 growth events, Rep ID +47%</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ResNet-20 Scale (Exp 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458 →139,978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∔99%</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8A"/>
                <w:sz w:val="19"/>
                <w:szCs w:val="19"/>
              </w:rPr>
              <w:t xml:space="preserve">76-77%</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10 growth events, Eff Rank 11×</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airbench95 Scale (Exp 3)</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458 →321,994</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100%</w:t>
            </w:r>
          </w:p>
        </w:tc>
        <w:tc>
          <w:tcPr>
            <w:tcW w:type="dxa" w:w="1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0D6E8A"/>
                <w:sz w:val="19"/>
                <w:szCs w:val="19"/>
              </w:rPr>
              <w:t xml:space="preserve">75-77%</w:t>
            </w:r>
          </w:p>
        </w:tc>
        <w:tc>
          <w:tcPr>
            <w:tcW w:type="dxa" w:w="2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8 events, accuracy ceiling reached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SkipMLP + DS Init (Exp 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558 →252,654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0D6E8A"/>
                <w:sz w:val="19"/>
                <w:szCs w:val="19"/>
              </w:rPr>
              <w:t xml:space="preserve">74.4%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PCsInit: 30% start vs 15%; skip ±0pp</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9"/>
                <w:szCs w:val="19"/>
              </w:rPr>
              <w:t xml:space="preserve">—  ResNet-20 (CNN ref)</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272,474</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91.25%</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9"/>
                <w:szCs w:val="19"/>
              </w:rPr>
              <w:t xml:space="preserve">Conv inductive bias (3×3 filters)</w:t>
            </w:r>
          </w:p>
        </w:tc>
      </w:tr>
      <w:tr>
        <w:tc>
          <w:tcPr>
            <w:tcW w:type="dxa" w:w="24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9"/>
                <w:szCs w:val="19"/>
              </w:rPr>
              <w:t xml:space="preserve">—  airbench95 (CNN ref)</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~7M</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w:t>
            </w:r>
          </w:p>
        </w:tc>
        <w:tc>
          <w:tcPr>
            <w:tcW w:type="dxa" w:w="1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95.01%</w:t>
            </w:r>
          </w:p>
        </w:tc>
        <w:tc>
          <w:tcPr>
            <w:tcW w:type="dxa" w:w="22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9"/>
                <w:szCs w:val="19"/>
              </w:rPr>
              <w:t xml:space="preserve">2024 SotA, NVIDIA A100, 10s</w:t>
            </w:r>
          </w:p>
        </w:tc>
      </w:tr>
    </w:tbl>
    <w:p>
      <w:pPr>
        <w:spacing w:after="80"/>
      </w:pPr>
      <w:r>
        <w:t xml:space="preserve"/>
      </w:r>
    </w:p>
    <w:p>
      <w:pPr>
        <w:pStyle w:val="Heading1"/>
        <w:pBdr>
          <w:bottom w:val="single" w:color="0D6E8A" w:sz="6" w:space="6"/>
        </w:pBdr>
        <w:spacing w:before="320" w:after="140"/>
      </w:pPr>
      <w:r>
        <w:rPr>
          <w:rFonts w:ascii="Arial" w:cs="Arial" w:eastAsia="Arial" w:hAnsi="Arial"/>
          <w:b/>
          <w:bCs/>
          <w:color w:val="1F3864"/>
          <w:sz w:val="30"/>
          <w:szCs w:val="30"/>
        </w:rPr>
        <w:t xml:space="preserve">Experiment 2  —  Scaling to ResNet-20 (272K params)</w:t>
      </w:r>
    </w:p>
    <w:p>
      <w:pPr>
        <w:spacing w:after="160" w:before="0"/>
        <w:jc w:val="left"/>
      </w:pPr>
      <w:r>
        <w:rPr>
          <w:rFonts w:ascii="Arial" w:cs="Arial" w:eastAsia="Arial" w:hAnsi="Arial"/>
          <w:b w:val="false"/>
          <w:bCs w:val="false"/>
          <w:i w:val="false"/>
          <w:iCs w:val="false"/>
          <w:color w:val="1E293B"/>
          <w:sz w:val="22"/>
          <w:szCs w:val="22"/>
        </w:rPr>
        <w:t xml:space="preserve">The first follow-up asked a direct question: if we give the growing MLP the same parameter budget as ResNet-20 (272,474), can it match ResNet-20’s 91.25% CIFAR-10 test accuracy? The model grew from 440 parameters through 10 width events, reaching a final size of 139,978 parameters (51.4% of the ResNet-20 budget) before the accuracy controller stopped triggering growth.</w:t>
      </w:r>
    </w:p>
    <w:p>
      <w:pPr>
        <w:pStyle w:val="Heading2"/>
        <w:spacing w:before="220" w:after="100"/>
      </w:pPr>
      <w:r>
        <w:rPr>
          <w:rFonts w:ascii="Arial" w:cs="Arial" w:eastAsia="Arial" w:hAnsi="Arial"/>
          <w:b/>
          <w:bCs/>
          <w:color w:val="0D6E8A"/>
          <w:sz w:val="24"/>
          <w:szCs w:val="24"/>
        </w:rPr>
        <w:t xml:space="preserve">Key Results</w:t>
      </w:r>
    </w:p>
    <w:p>
      <w:pPr>
        <w:spacing w:after="160" w:before="0"/>
        <w:jc w:val="left"/>
      </w:pPr>
      <w:r>
        <w:rPr>
          <w:rFonts w:ascii="Arial" w:cs="Arial" w:eastAsia="Arial" w:hAnsi="Arial"/>
          <w:b w:val="false"/>
          <w:bCs w:val="false"/>
          <w:i w:val="false"/>
          <w:iCs w:val="false"/>
          <w:color w:val="1E293B"/>
          <w:sz w:val="22"/>
          <w:szCs w:val="22"/>
        </w:rPr>
        <w:t xml:space="preserve">Ten width growth events fired across 170 epochs, taking the architecture from MLP[96,4,4,10] to MLP[96,324,324,10]. Training accuracy reached 89.1% while test accuracy settled at 75.8% — a test ceiling that held firm regardless of further parameter increases. The model consumed 51% of ResNet-20’s parameter budget while landing 15.5 percentage points below its test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Start (Ep 1)</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End (Ep 170)</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Architecture</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MLP[96, 4, 4, 10]</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MLP[96, 324, 324, 10]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Parameters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458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139,978  (51% of ResNet-20)</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Test Accuracy</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15.8%</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76.3%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Effective Rank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3.57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31.45  (9× increase)</w:t>
            </w:r>
          </w:p>
        </w:tc>
      </w:tr>
      <w:tr>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Rep ID (TwoNN)</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1.72</w:t>
            </w:r>
          </w:p>
        </w:tc>
        <w:tc>
          <w:tcPr>
            <w:tcW w:type="dxa" w:w="31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9.01  (gap: 47% closed)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FB" w:val="clear"/>
            <w:tcMar>
              <w:top w:type="dxa" w:w="110"/>
              <w:left w:type="dxa" w:w="160"/>
              <w:bottom w:type="dxa" w:w="110"/>
              <w:right w:type="dxa" w:w="160"/>
            </w:tcMar>
          </w:tcPr>
          <w:p>
            <w:pPr>
              <w:spacing w:after="50"/>
            </w:pPr>
            <w:r>
              <w:rPr>
                <w:rFonts w:ascii="Arial" w:cs="Arial" w:eastAsia="Arial" w:hAnsi="Arial"/>
                <w:b/>
                <w:bCs/>
                <w:color w:val="0D6E8A"/>
                <w:sz w:val="21"/>
                <w:szCs w:val="21"/>
              </w:rPr>
              <w:t xml:space="preserve">Finding</w:t>
            </w:r>
          </w:p>
          <w:p>
            <w:pPr>
              <w:spacing w:after="0"/>
            </w:pPr>
            <w:r>
              <w:rPr>
                <w:rFonts w:ascii="Arial" w:cs="Arial" w:eastAsia="Arial" w:hAnsi="Arial"/>
                <w:color w:val="374151"/>
                <w:sz w:val="20"/>
                <w:szCs w:val="20"/>
              </w:rPr>
              <w:t xml:space="preserve">The model hit a test accuracy ceiling at ~76% and stayed there even as parameters grew from 95K to 140K. The IT signals (Rep ID, Effective Rank) continued rising after the accuracy plateaued, confirming that the model was developing richer representations but failing to generalise from them. The 15.5 pp gap vs ResNet-20 emerged as the first evidence of the convolutional inductive bias.</w:t>
            </w:r>
          </w:p>
        </w:tc>
      </w:tr>
    </w:tbl>
    <w:p>
      <w:pPr>
        <w:spacing w:after="80"/>
      </w:pPr>
      <w:r>
        <w:t xml:space="preserve"/>
      </w:r>
    </w:p>
    <w:p>
      <w:pPr>
        <w:pStyle w:val="Heading2"/>
        <w:spacing w:before="220" w:after="100"/>
      </w:pPr>
      <w:r>
        <w:rPr>
          <w:rFonts w:ascii="Arial" w:cs="Arial" w:eastAsia="Arial" w:hAnsi="Arial"/>
          <w:b/>
          <w:bCs/>
          <w:color w:val="0D6E8A"/>
          <w:sz w:val="24"/>
          <w:szCs w:val="24"/>
        </w:rPr>
        <w:t xml:space="preserve">Figure 1  —  ResNet-20 Scale Experiment</w:t>
      </w:r>
    </w:p>
    <w:p>
      <w:pPr>
        <w:spacing w:before="160" w:after="40"/>
        <w:jc w:val="center"/>
      </w:pPr>
      <w:r>
        <w:drawing>
          <wp:inline distT="0" distB="0" distL="0" distR="0">
            <wp:extent cx="59436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4410075"/>
                    </a:xfrm>
                    <a:prstGeom prst="rect">
                      <a:avLst/>
                    </a:prstGeom>
                  </pic:spPr>
                </pic:pic>
              </a:graphicData>
            </a:graphic>
          </wp:inline>
        </w:drawing>
      </w:r>
    </w:p>
    <w:p>
      <w:pPr>
        <w:spacing w:before="0" w:after="200"/>
        <w:jc w:val="center"/>
      </w:pPr>
      <w:r>
        <w:rPr>
          <w:rFonts w:ascii="Arial" w:cs="Arial" w:eastAsia="Arial" w:hAnsi="Arial"/>
          <w:i/>
          <w:iCs/>
          <w:color w:val="64748B"/>
          <w:sz w:val="18"/>
          <w:szCs w:val="18"/>
        </w:rPr>
        <w:t xml:space="preserve">Figure 1. ResNet-20 scale experiment (170 epochs, 10 growth events). Top row: accuracy vs ResNet-20 ceiling, cross-entropy loss, and parameter count on symlog scale. Middle row: effective rank (9× jump), Fisher trace, and I(T;Y). Bottom row: complexity gap closure (47%), architecture evolution, and accuracy-vs-parameters scatter showing our MLP trajectory alongside CNN SotA.</w:t>
      </w:r>
    </w:p>
    <w:p>
      <w:pPr>
        <w:pStyle w:val="Heading1"/>
        <w:pBdr>
          <w:bottom w:val="single" w:color="0D6E8A" w:sz="6" w:space="6"/>
        </w:pBdr>
        <w:spacing w:before="320" w:after="140"/>
      </w:pPr>
      <w:r>
        <w:rPr>
          <w:rFonts w:ascii="Arial" w:cs="Arial" w:eastAsia="Arial" w:hAnsi="Arial"/>
          <w:b/>
          <w:bCs/>
          <w:color w:val="1F3864"/>
          <w:sz w:val="30"/>
          <w:szCs w:val="30"/>
        </w:rPr>
        <w:t xml:space="preserve">Experiment 3  —  Scaling to airbench95 (95.01% SotA, ~7M params)</w:t>
      </w:r>
    </w:p>
    <w:p>
      <w:pPr>
        <w:spacing w:after="160" w:before="0"/>
        <w:jc w:val="left"/>
      </w:pPr>
      <w:r>
        <w:rPr>
          <w:rFonts w:ascii="Arial" w:cs="Arial" w:eastAsia="Arial" w:hAnsi="Arial"/>
          <w:b w:val="false"/>
          <w:bCs w:val="false"/>
          <w:i w:val="false"/>
          <w:iCs w:val="false"/>
          <w:color w:val="1E293B"/>
          <w:sz w:val="22"/>
          <w:szCs w:val="22"/>
        </w:rPr>
        <w:t xml:space="preserve">The second follow-up pushed toward the 2024 CIFAR-10 SotA: airbench95 (Brukhim &amp; Hazan 2024), which achieves 95.01% in 10.4 seconds on an NVIDIA A100 using a three-block CNN with 128 and 384 output channels. The MLP was given a budget of 4.2M parameters (60% of airbench95’s ~7M), with an adaptive growth delta (+64 neurons when h &lt; 512, +128 when h ≥ 512) to reach that scale efficiently.</w:t>
      </w:r>
    </w:p>
    <w:p>
      <w:pPr>
        <w:pStyle w:val="Heading2"/>
        <w:spacing w:before="220" w:after="100"/>
      </w:pPr>
      <w:r>
        <w:rPr>
          <w:rFonts w:ascii="Arial" w:cs="Arial" w:eastAsia="Arial" w:hAnsi="Arial"/>
          <w:b/>
          <w:bCs/>
          <w:color w:val="0D6E8A"/>
          <w:sz w:val="24"/>
          <w:szCs w:val="24"/>
        </w:rPr>
        <w:t xml:space="preserve">Key Results</w:t>
      </w:r>
    </w:p>
    <w:p>
      <w:pPr>
        <w:spacing w:after="160" w:before="0"/>
        <w:jc w:val="left"/>
      </w:pPr>
      <w:r>
        <w:rPr>
          <w:rFonts w:ascii="Arial" w:cs="Arial" w:eastAsia="Arial" w:hAnsi="Arial"/>
          <w:b w:val="false"/>
          <w:bCs w:val="false"/>
          <w:i w:val="false"/>
          <w:iCs w:val="false"/>
          <w:color w:val="1E293B"/>
          <w:sz w:val="22"/>
          <w:szCs w:val="22"/>
        </w:rPr>
        <w:t xml:space="preserve">Eight growth events ran over 140 epochs, taking the model from 458 to 321,994 parameters. The model achieved 100% training accuracy but test accuracy locked at 75-77% — identical to Experiment 2 despite 2.3× more parameters. This was the definitive result: the ceiling is not a capacity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90"/>
        <w:gridCol w:w="1690"/>
        <w:gridCol w:w="1690"/>
        <w:gridCol w:w="169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Model</w:t>
            </w:r>
          </w:p>
        </w:tc>
        <w:tc>
          <w:tcPr>
            <w:tcW w:type="dxa" w:w="16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Params</w:t>
            </w:r>
          </w:p>
        </w:tc>
        <w:tc>
          <w:tcPr>
            <w:tcW w:type="dxa" w:w="16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Test Acc</w:t>
            </w:r>
          </w:p>
        </w:tc>
        <w:tc>
          <w:tcPr>
            <w:tcW w:type="dxa" w:w="16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Gap to ab95</w:t>
            </w:r>
          </w:p>
        </w:tc>
        <w:tc>
          <w:tcPr>
            <w:tcW w:type="dxa" w:w="169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Gap to WRN</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Our MLP (start)</w:t>
            </w:r>
          </w:p>
        </w:tc>
        <w:tc>
          <w:tcPr>
            <w:tcW w:type="dxa" w:w="16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458</w:t>
            </w:r>
          </w:p>
        </w:tc>
        <w:tc>
          <w:tcPr>
            <w:tcW w:type="dxa" w:w="16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15.8%</w:t>
            </w:r>
          </w:p>
        </w:tc>
        <w:tc>
          <w:tcPr>
            <w:tcW w:type="dxa" w:w="16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E65100"/>
                <w:sz w:val="19"/>
                <w:szCs w:val="19"/>
              </w:rPr>
              <w:t xml:space="preserve">∔79 pp</w:t>
            </w:r>
          </w:p>
        </w:tc>
        <w:tc>
          <w:tcPr>
            <w:tcW w:type="dxa" w:w="169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E65100"/>
                <w:sz w:val="19"/>
                <w:szCs w:val="19"/>
              </w:rPr>
              <w:t xml:space="preserve">∔80 pp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Our MLP (final)</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321,994</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75.8%</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E65100"/>
                <w:sz w:val="19"/>
                <w:szCs w:val="19"/>
              </w:rPr>
              <w:t xml:space="preserve">19.2 pp</w:t>
            </w:r>
          </w:p>
        </w:tc>
        <w:tc>
          <w:tcPr>
            <w:tcW w:type="dxa" w:w="1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E65100"/>
                <w:sz w:val="19"/>
                <w:szCs w:val="19"/>
              </w:rPr>
              <w:t xml:space="preserve">20.3 pp</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9"/>
                <w:szCs w:val="19"/>
              </w:rPr>
              <w:t xml:space="preserve">airbench95 (CNN ref)</w:t>
            </w:r>
          </w:p>
        </w:tc>
        <w:tc>
          <w:tcPr>
            <w:tcW w:type="dxa" w:w="169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~7,000,000</w:t>
            </w:r>
          </w:p>
        </w:tc>
        <w:tc>
          <w:tcPr>
            <w:tcW w:type="dxa" w:w="169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95.01%</w:t>
            </w:r>
          </w:p>
        </w:tc>
        <w:tc>
          <w:tcPr>
            <w:tcW w:type="dxa" w:w="169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0 pp (ref)</w:t>
            </w:r>
          </w:p>
        </w:tc>
        <w:tc>
          <w:tcPr>
            <w:tcW w:type="dxa" w:w="169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1.1 pp</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9"/>
                <w:szCs w:val="19"/>
              </w:rPr>
              <w:t xml:space="preserve">WRN-28-10 (CNN ref)</w:t>
            </w:r>
          </w:p>
        </w:tc>
        <w:tc>
          <w:tcPr>
            <w:tcW w:type="dxa" w:w="169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36,500,000</w:t>
            </w:r>
          </w:p>
        </w:tc>
        <w:tc>
          <w:tcPr>
            <w:tcW w:type="dxa" w:w="169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96.09%</w:t>
            </w:r>
          </w:p>
        </w:tc>
        <w:tc>
          <w:tcPr>
            <w:tcW w:type="dxa" w:w="169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1.1 pp</w:t>
            </w:r>
          </w:p>
        </w:tc>
        <w:tc>
          <w:tcPr>
            <w:tcW w:type="dxa" w:w="169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0 pp (ref)</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10"/>
              <w:left w:type="dxa" w:w="160"/>
              <w:bottom w:type="dxa" w:w="110"/>
              <w:right w:type="dxa" w:w="160"/>
            </w:tcMar>
          </w:tcPr>
          <w:p>
            <w:pPr>
              <w:spacing w:after="50"/>
            </w:pPr>
            <w:r>
              <w:rPr>
                <w:rFonts w:ascii="Arial" w:cs="Arial" w:eastAsia="Arial" w:hAnsi="Arial"/>
                <w:b/>
                <w:bCs/>
                <w:color w:val="E65100"/>
                <w:sz w:val="21"/>
                <w:szCs w:val="21"/>
              </w:rPr>
              <w:t xml:space="preserve">Critical finding: the ceiling is architectural, not parametric</w:t>
            </w:r>
          </w:p>
          <w:p>
            <w:pPr>
              <w:spacing w:after="0"/>
            </w:pPr>
            <w:r>
              <w:rPr>
                <w:rFonts w:ascii="Arial" w:cs="Arial" w:eastAsia="Arial" w:hAnsi="Arial"/>
                <w:color w:val="374151"/>
                <w:sz w:val="20"/>
                <w:szCs w:val="20"/>
              </w:rPr>
              <w:t xml:space="preserve">Growing the MLP from 140K to 322K parameters produced zero additional test accuracy. The model's effective rank kept rising (3.57 → 41.7), I(T;Y) kept climbing, and the complexity gap kept closing — yet generalisation stayed flat. This decoupling of representational growth from accuracy gain is the direct signature of the convolutional inductive bias: the MLP learns statistically richer features, but they are the wrong type of feature for spatial image classification without a spatial prior.</w:t>
            </w:r>
          </w:p>
        </w:tc>
      </w:tr>
    </w:tbl>
    <w:p>
      <w:pPr>
        <w:spacing w:after="80"/>
      </w:pPr>
      <w:r>
        <w:t xml:space="preserve"/>
      </w:r>
    </w:p>
    <w:p>
      <w:pPr>
        <w:pStyle w:val="Heading2"/>
        <w:spacing w:before="220" w:after="100"/>
      </w:pPr>
      <w:r>
        <w:rPr>
          <w:rFonts w:ascii="Arial" w:cs="Arial" w:eastAsia="Arial" w:hAnsi="Arial"/>
          <w:b/>
          <w:bCs/>
          <w:color w:val="0D6E8A"/>
          <w:sz w:val="24"/>
          <w:szCs w:val="24"/>
        </w:rPr>
        <w:t xml:space="preserve">Figure 2  —  airbench95 Scale Experiment</w:t>
      </w:r>
    </w:p>
    <w:p>
      <w:pPr>
        <w:spacing w:before="160" w:after="40"/>
        <w:jc w:val="center"/>
      </w:pPr>
      <w:r>
        <w:drawing>
          <wp:inline distT="0" distB="0" distL="0" distR="0">
            <wp:extent cx="59436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562475"/>
                    </a:xfrm>
                    <a:prstGeom prst="rect">
                      <a:avLst/>
                    </a:prstGeom>
                  </pic:spPr>
                </pic:pic>
              </a:graphicData>
            </a:graphic>
          </wp:inline>
        </w:drawing>
      </w:r>
    </w:p>
    <w:p>
      <w:pPr>
        <w:spacing w:before="0" w:after="200"/>
        <w:jc w:val="center"/>
      </w:pPr>
      <w:r>
        <w:rPr>
          <w:rFonts w:ascii="Arial" w:cs="Arial" w:eastAsia="Arial" w:hAnsi="Arial"/>
          <w:i/>
          <w:iCs/>
          <w:color w:val="64748B"/>
          <w:sz w:val="18"/>
          <w:szCs w:val="18"/>
        </w:rPr>
        <w:t xml:space="preserve">Figure 2. airbench95 scale experiment (140 epochs, 8 growth events). Top row: accuracy showing the 76-77% ceiling against airbench95 and WRN-28-10 reference lines, loss curves, and symlog parameter count. Middle row: effective rank (11× increase), Fisher dip-then-rise, and I(T;Y). Bottom row: complexity gap closure and accuracy-vs-parameters scatter. The yellow band marks the persistent MLP ceiling.</w:t>
      </w:r>
    </w:p>
    <w:p>
      <w:pPr>
        <w:pStyle w:val="Heading1"/>
        <w:pBdr>
          <w:bottom w:val="single" w:color="0D6E8A" w:sz="6" w:space="6"/>
        </w:pBdr>
        <w:spacing w:before="320" w:after="140"/>
      </w:pPr>
      <w:r>
        <w:rPr>
          <w:rFonts w:ascii="Arial" w:cs="Arial" w:eastAsia="Arial" w:hAnsi="Arial"/>
          <w:b/>
          <w:bCs/>
          <w:color w:val="1F3864"/>
          <w:sz w:val="30"/>
          <w:szCs w:val="30"/>
        </w:rPr>
        <w:t xml:space="preserve">Experiment 4  —  Skip Connections + Dataset-Informed Initialisation</w:t>
      </w:r>
    </w:p>
    <w:p>
      <w:pPr>
        <w:spacing w:after="160" w:before="0"/>
        <w:jc w:val="left"/>
      </w:pPr>
      <w:r>
        <w:rPr>
          <w:rFonts w:ascii="Arial" w:cs="Arial" w:eastAsia="Arial" w:hAnsi="Arial"/>
          <w:b w:val="false"/>
          <w:bCs w:val="false"/>
          <w:i w:val="false"/>
          <w:iCs w:val="false"/>
          <w:color w:val="1E293B"/>
          <w:sz w:val="22"/>
          <w:szCs w:val="22"/>
        </w:rPr>
        <w:t xml:space="preserve">Experiments 2 and 3 identified the convolutional inductive bias as the accuracy ceiling. Experiment 4 tested two complementary approaches to close it without adding convolutions: residual skip connections (to improve gradient flow and feature reuse), and dataset-informed initialisation (to remove the cold-start disadvantage).</w:t>
      </w:r>
    </w:p>
    <w:p>
      <w:pPr>
        <w:pStyle w:val="Heading2"/>
        <w:spacing w:before="220" w:after="100"/>
      </w:pPr>
      <w:r>
        <w:rPr>
          <w:rFonts w:ascii="Arial" w:cs="Arial" w:eastAsia="Arial" w:hAnsi="Arial"/>
          <w:b/>
          <w:bCs/>
          <w:color w:val="0D6E8A"/>
          <w:sz w:val="24"/>
          <w:szCs w:val="24"/>
        </w:rPr>
        <w:t xml:space="preserve">Three-Component Initialisation Strategy</w:t>
      </w:r>
    </w:p>
    <w:p>
      <w:pPr>
        <w:spacing w:after="80" w:before="0"/>
        <w:jc w:val="left"/>
      </w:pPr>
      <w:r>
        <w:rPr>
          <w:rFonts w:ascii="Arial" w:cs="Arial" w:eastAsia="Arial" w:hAnsi="Arial"/>
          <w:b w:val="false"/>
          <w:bCs w:val="false"/>
          <w:i w:val="false"/>
          <w:iCs w:val="false"/>
          <w:color w:val="1E293B"/>
          <w:sz w:val="22"/>
          <w:szCs w:val="22"/>
        </w:rPr>
        <w:t xml:space="preserve">The initialisation fused three literature techniques:</w:t>
      </w:r>
    </w:p>
    <w:p>
      <w:pPr>
        <w:pStyle w:val="ListParagraph"/>
        <w:numPr>
          <w:ilvl w:val="0"/>
          <w:numId w:val="2"/>
        </w:numPr>
        <w:spacing w:after="80" w:before="40"/>
      </w:pPr>
      <w:r>
        <w:rPr>
          <w:rFonts w:ascii="Arial" w:cs="Arial" w:eastAsia="Arial" w:hAnsi="Arial"/>
          <w:color w:val="1E293B"/>
          <w:sz w:val="22"/>
          <w:szCs w:val="22"/>
        </w:rPr>
        <w:t xml:space="preserve">PCsInit (arXiv 2501.19114, 2025): the first-layer weight matrix W_in was initialised with the top-h left singular vectors of the training data X_train, scaled by their singular values. This ensures the network immediately projects onto the directions of maximum data variance.</w:t>
      </w:r>
    </w:p>
    <w:p>
      <w:pPr>
        <w:pStyle w:val="ListParagraph"/>
        <w:numPr>
          <w:ilvl w:val="0"/>
          <w:numId w:val="2"/>
        </w:numPr>
        <w:spacing w:after="80" w:before="40"/>
      </w:pPr>
      <w:r>
        <w:rPr>
          <w:rFonts w:ascii="Arial" w:cs="Arial" w:eastAsia="Arial" w:hAnsi="Arial"/>
          <w:color w:val="1E293B"/>
          <w:sz w:val="22"/>
          <w:szCs w:val="22"/>
        </w:rPr>
        <w:t xml:space="preserve">Teacher weight projection: a small MLP[96,32,32,10] was trained with heavy L2 regularisation (L2=5e-3) to achieve 73.1% test accuracy with low overfitting. Its first-layer left singular vectors (class-discriminative input directions) were injected into the growing model’s W_in, blended with the PCA directions.</w:t>
      </w:r>
    </w:p>
    <w:p>
      <w:pPr>
        <w:pStyle w:val="ListParagraph"/>
        <w:numPr>
          <w:ilvl w:val="0"/>
          <w:numId w:val="2"/>
        </w:numPr>
        <w:spacing w:after="80" w:before="40"/>
      </w:pPr>
      <w:r>
        <w:rPr>
          <w:rFonts w:ascii="Arial" w:cs="Arial" w:eastAsia="Arial" w:hAnsi="Arial"/>
          <w:color w:val="1E293B"/>
          <w:sz w:val="22"/>
          <w:szCs w:val="22"/>
        </w:rPr>
        <w:t xml:space="preserve">LSUV calibration (Mishkin &amp; Matas 2015): after each growth event, a single forward pass on a 512-sample minibatch normalised each layer’s output standard deviation to 1, correcting variance accumulation across residual blocks.</w:t>
      </w:r>
    </w:p>
    <w:p>
      <w:pPr>
        <w:spacing w:after="80"/>
      </w:pPr>
      <w:r>
        <w:t xml:space="preserve"/>
      </w:r>
    </w:p>
    <w:p>
      <w:pPr>
        <w:pStyle w:val="Heading2"/>
        <w:spacing w:before="220" w:after="100"/>
      </w:pPr>
      <w:r>
        <w:rPr>
          <w:rFonts w:ascii="Arial" w:cs="Arial" w:eastAsia="Arial" w:hAnsi="Arial"/>
          <w:b/>
          <w:bCs/>
          <w:color w:val="0D6E8A"/>
          <w:sz w:val="24"/>
          <w:szCs w:val="24"/>
        </w:rPr>
        <w:t xml:space="preserve">Architecture: ResNet-Style Residual Blocks</w:t>
      </w:r>
    </w:p>
    <w:p>
      <w:pPr>
        <w:spacing w:after="160" w:before="0"/>
        <w:jc w:val="left"/>
      </w:pPr>
      <w:r>
        <w:rPr>
          <w:rFonts w:ascii="Arial" w:cs="Arial" w:eastAsia="Arial" w:hAnsi="Arial"/>
          <w:b w:val="false"/>
          <w:bCs w:val="false"/>
          <w:i w:val="false"/>
          <w:iCs w:val="false"/>
          <w:color w:val="1E293B"/>
          <w:sz w:val="22"/>
          <w:szCs w:val="22"/>
        </w:rPr>
        <w:t xml:space="preserve">The MLP was restructured as a growing Skip-MLP: Input(96) → W_in → [ResBlock × 3] → W_out → 10. Each ResBlock computes x → ReLU(W2 · ReLU(W1 · x + b1) + b2) + x, with W2 initialised near-zero (FixUp style, Zhang et al. 2019) so each new block starts as a pass-through and specialises under gradient pressure. The final architecture at h=196 was SkipMLP[h=196, 3 ResBlocks, 252,654 params], matching 92.7% of ResNet-20’s parameter count.</w:t>
      </w:r>
    </w:p>
    <w:p>
      <w:pPr>
        <w:pStyle w:val="Heading2"/>
        <w:spacing w:before="220" w:after="100"/>
      </w:pPr>
      <w:r>
        <w:rPr>
          <w:rFonts w:ascii="Arial" w:cs="Arial" w:eastAsia="Arial" w:hAnsi="Arial"/>
          <w:b/>
          <w:bCs/>
          <w:color w:val="0D6E8A"/>
          <w:sz w:val="24"/>
          <w:szCs w:val="24"/>
        </w:rPr>
        <w:t xml:space="preserve">Key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Metric</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Ep 1</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Final</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vs Plain MLP</w:t>
            </w:r>
          </w:p>
        </w:tc>
        <w:tc>
          <w:tcPr>
            <w:tcW w:type="dxa" w:w="16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vs ResNet-20</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Test Accuracy</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30.3%</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bCs/>
                <w:color w:val="1E293B"/>
                <w:sz w:val="19"/>
                <w:szCs w:val="19"/>
              </w:rPr>
              <w:t xml:space="preserve">74.4%</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E65100"/>
                <w:sz w:val="19"/>
                <w:szCs w:val="19"/>
              </w:rPr>
              <w:t xml:space="preserve">−2.6 pp</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−16.9 pp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Train Accuracy</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36.6%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100%</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Parameters</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558</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252,654</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∲92%</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92.7%</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Effective Rank</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3.34</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25.76</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8× jump</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Rep ID gap closed</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33%</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w:t>
            </w:r>
          </w:p>
        </w:tc>
        <w:tc>
          <w:tcPr>
            <w:tcW w:type="dxa" w:w="164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Init advantage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+14.5pp</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vs cold start</w:t>
            </w:r>
          </w:p>
        </w:tc>
        <w:tc>
          <w:tcPr>
            <w:tcW w:type="dxa" w:w="1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w:t>
            </w:r>
          </w:p>
        </w:tc>
      </w:tr>
    </w:tbl>
    <w:p>
      <w:pPr>
        <w:spacing w:after="80"/>
      </w:pPr>
      <w:r>
        <w:t xml:space="preserve"/>
      </w:r>
    </w:p>
    <w:p>
      <w:pPr>
        <w:spacing w:after="160" w:before="0"/>
        <w:jc w:val="left"/>
      </w:pPr>
      <w:r>
        <w:rPr>
          <w:rFonts w:ascii="Arial" w:cs="Arial" w:eastAsia="Arial" w:hAnsi="Arial"/>
          <w:b w:val="false"/>
          <w:bCs w:val="false"/>
          <w:i w:val="false"/>
          <w:iCs w:val="false"/>
          <w:color w:val="1E293B"/>
          <w:sz w:val="22"/>
          <w:szCs w:val="22"/>
        </w:rPr>
        <w:t xml:space="preserve">Two findings stood out. First, dataset-informed initialisation delivered a substantial cold-start advantage: epoch-1 test accuracy was 30.3% versus 15.8% in the baseline — a 14.5 percentage-point gain before any training. The teacher’s class-discriminative directions, injected via SVD projection, gave the model a meaningful head-start in the feature space. Second, skip connections produced no accuracy gain over the plain MLP. The SkipMLP peaked at 74.4% versus the plain MLP’s 76-77%, slightly lower rather than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10"/>
              <w:left w:type="dxa" w:w="160"/>
              <w:bottom w:type="dxa" w:w="110"/>
              <w:right w:type="dxa" w:w="160"/>
            </w:tcMar>
          </w:tcPr>
          <w:p>
            <w:pPr>
              <w:spacing w:after="50"/>
            </w:pPr>
            <w:r>
              <w:rPr>
                <w:rFonts w:ascii="Arial" w:cs="Arial" w:eastAsia="Arial" w:hAnsi="Arial"/>
                <w:b/>
                <w:bCs/>
                <w:color w:val="4A148C"/>
                <w:sz w:val="21"/>
                <w:szCs w:val="21"/>
              </w:rPr>
              <w:t xml:space="preserve">Why skip connections did not help at this depth</w:t>
            </w:r>
          </w:p>
          <w:p>
            <w:pPr>
              <w:spacing w:after="0"/>
            </w:pPr>
            <w:r>
              <w:rPr>
                <w:rFonts w:ascii="Arial" w:cs="Arial" w:eastAsia="Arial" w:hAnsi="Arial"/>
                <w:color w:val="374151"/>
                <w:sz w:val="20"/>
                <w:szCs w:val="20"/>
              </w:rPr>
              <w:t xml:space="preserve">ResNet-style skip connections are most valuable in deep networks (20+ layers) where vanishing gradients are a genuine problem. The SkipMLP is only 8 effective layers deep (W_in + 3×2 block layers + W_out). At this depth, plain backprop has no vanishing gradient problem and the skip connections add gradient noise rather than stabilising it. The FixUp near-zero W2 initialisation also creates a warm-up cost where blocks must unlearn their pass-through state before contributing. Net effect: neutral to slightly negative at shallow depth.</w:t>
            </w:r>
          </w:p>
        </w:tc>
      </w:tr>
    </w:tbl>
    <w:p>
      <w:pPr>
        <w:spacing w:after="80"/>
      </w:pPr>
      <w:r>
        <w:t xml:space="preserve"/>
      </w:r>
    </w:p>
    <w:p>
      <w:pPr>
        <w:pStyle w:val="Heading2"/>
        <w:spacing w:before="220" w:after="100"/>
      </w:pPr>
      <w:r>
        <w:rPr>
          <w:rFonts w:ascii="Arial" w:cs="Arial" w:eastAsia="Arial" w:hAnsi="Arial"/>
          <w:b/>
          <w:bCs/>
          <w:color w:val="0D6E8A"/>
          <w:sz w:val="24"/>
          <w:szCs w:val="24"/>
        </w:rPr>
        <w:t xml:space="preserve">Figure 3  —  Skip Connections + Dataset-Informed Initialisation</w:t>
      </w:r>
    </w:p>
    <w:p>
      <w:pPr>
        <w:spacing w:before="160" w:after="40"/>
        <w:jc w:val="center"/>
      </w:pPr>
      <w:r>
        <w:drawing>
          <wp:inline distT="0" distB="0" distL="0" distR="0">
            <wp:extent cx="59436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4381500"/>
                    </a:xfrm>
                    <a:prstGeom prst="rect">
                      <a:avLst/>
                    </a:prstGeom>
                  </pic:spPr>
                </pic:pic>
              </a:graphicData>
            </a:graphic>
          </wp:inline>
        </w:drawing>
      </w:r>
    </w:p>
    <w:p>
      <w:pPr>
        <w:spacing w:before="0" w:after="200"/>
        <w:jc w:val="center"/>
      </w:pPr>
      <w:r>
        <w:rPr>
          <w:rFonts w:ascii="Arial" w:cs="Arial" w:eastAsia="Arial" w:hAnsi="Arial"/>
          <w:i/>
          <w:iCs/>
          <w:color w:val="64748B"/>
          <w:sz w:val="18"/>
          <w:szCs w:val="18"/>
        </w:rPr>
        <w:t xml:space="preserve">Figure 3. SkipMLP + dataset-informed init experiment (120 epochs, 6 growth events). Top row: accuracy (note 30.3% epoch-1 start from PCsInit+teacher), loss, and parameter count. The plain MLP ceiling at 77% is shown for comparison. Middle row: effective rank, Fisher trace with LSUV re-calibration marks, and I(T;Y). Bottom row: complexity gap closure and accuracy-vs-parameters scatter comparing SkipMLP vs plain MLP vs CNN SotA.</w:t>
      </w:r>
    </w:p>
    <w:p>
      <w:pPr>
        <w:pStyle w:val="Heading1"/>
        <w:pBdr>
          <w:bottom w:val="single" w:color="0D6E8A" w:sz="6" w:space="6"/>
        </w:pBdr>
        <w:spacing w:before="320" w:after="140"/>
      </w:pPr>
      <w:r>
        <w:rPr>
          <w:rFonts w:ascii="Arial" w:cs="Arial" w:eastAsia="Arial" w:hAnsi="Arial"/>
          <w:b/>
          <w:bCs/>
          <w:color w:val="1F3864"/>
          <w:sz w:val="30"/>
          <w:szCs w:val="30"/>
        </w:rPr>
        <w:t xml:space="preserve">Synthesis and Conclusions</w:t>
      </w:r>
    </w:p>
    <w:p>
      <w:pPr>
        <w:spacing w:after="160" w:before="0"/>
        <w:jc w:val="left"/>
      </w:pPr>
      <w:r>
        <w:rPr>
          <w:rFonts w:ascii="Arial" w:cs="Arial" w:eastAsia="Arial" w:hAnsi="Arial"/>
          <w:b w:val="false"/>
          <w:bCs w:val="false"/>
          <w:i w:val="false"/>
          <w:iCs w:val="false"/>
          <w:color w:val="1E293B"/>
          <w:sz w:val="22"/>
          <w:szCs w:val="22"/>
        </w:rPr>
        <w:t xml:space="preserve">Across all three follow-up experiments, the same 74-77% test accuracy ceiling appeared regardless of parameter count (322K to 252K), architecture (plain vs residual), or initialisation (random vs dataset-informed). This ceiling is the direct empirical measurement of the convolutional inductive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1680"/>
        <w:gridCol w:w="132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Intervention</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Changed?</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Accuracy Gain</w:t>
            </w:r>
          </w:p>
        </w:tc>
        <w:tc>
          <w:tcPr>
            <w:tcW w:type="dxa" w:w="1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IT Signal Gain</w:t>
            </w:r>
          </w:p>
        </w:tc>
        <w:tc>
          <w:tcPr>
            <w:tcW w:type="dxa" w:w="13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Ceiling?</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+Parameters (up to 322K)</w:t>
            </w:r>
          </w:p>
        </w:tc>
        <w:tc>
          <w:tcPr>
            <w:tcW w:type="dxa" w:w="1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0D6E8A"/>
                <w:sz w:val="19"/>
                <w:szCs w:val="19"/>
              </w:rPr>
              <w:t xml:space="preserve">Yes</w:t>
            </w:r>
          </w:p>
        </w:tc>
        <w:tc>
          <w:tcPr>
            <w:tcW w:type="dxa" w:w="1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 pp</w:t>
            </w:r>
          </w:p>
        </w:tc>
        <w:tc>
          <w:tcPr>
            <w:tcW w:type="dxa" w:w="1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Yes (Rank, ID)</w:t>
            </w:r>
          </w:p>
        </w:tc>
        <w:tc>
          <w:tcPr>
            <w:tcW w:type="dxa" w:w="13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Same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+Skip connections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6E8A"/>
                <w:sz w:val="19"/>
                <w:szCs w:val="19"/>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−0 pp</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Neutral</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Same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+Dataset init (PCsInit)</w:t>
            </w:r>
          </w:p>
        </w:tc>
        <w:tc>
          <w:tcPr>
            <w:tcW w:type="dxa" w:w="1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0D6E8A"/>
                <w:sz w:val="19"/>
                <w:szCs w:val="19"/>
              </w:rPr>
              <w:t xml:space="preserve">Yes</w:t>
            </w:r>
          </w:p>
        </w:tc>
        <w:tc>
          <w:tcPr>
            <w:tcW w:type="dxa" w:w="1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9"/>
                <w:szCs w:val="19"/>
              </w:rPr>
              <w:t xml:space="preserve">+14.5pp ep1</w:t>
            </w:r>
          </w:p>
        </w:tc>
        <w:tc>
          <w:tcPr>
            <w:tcW w:type="dxa" w:w="1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Not tracked</w:t>
            </w:r>
          </w:p>
        </w:tc>
        <w:tc>
          <w:tcPr>
            <w:tcW w:type="dxa" w:w="13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Same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+Teacher weight projection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D6E8A"/>
                <w:sz w:val="19"/>
                <w:szCs w:val="19"/>
              </w:rPr>
              <w:t xml:space="preserve">Yes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9"/>
                <w:szCs w:val="19"/>
              </w:rPr>
              <w:t xml:space="preserve">+14.5pp ep1</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Not tracked</w:t>
            </w:r>
          </w:p>
        </w:tc>
        <w:tc>
          <w:tcPr>
            <w:tcW w:type="dxa" w:w="13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Same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left"/>
            </w:pPr>
            <w:r>
              <w:rPr>
                <w:rFonts w:ascii="Arial" w:cs="Arial" w:eastAsia="Arial" w:hAnsi="Arial"/>
                <w:b w:val="false"/>
                <w:bCs w:val="false"/>
                <w:color w:val="1E293B"/>
                <w:sz w:val="19"/>
                <w:szCs w:val="19"/>
              </w:rPr>
              <w:t xml:space="preserve">+LSUV calibration</w:t>
            </w:r>
          </w:p>
        </w:tc>
        <w:tc>
          <w:tcPr>
            <w:tcW w:type="dxa" w:w="1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0D6E8A"/>
                <w:sz w:val="19"/>
                <w:szCs w:val="19"/>
              </w:rPr>
              <w:t xml:space="preserve">Yes</w:t>
            </w:r>
          </w:p>
        </w:tc>
        <w:tc>
          <w:tcPr>
            <w:tcW w:type="dxa" w:w="1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B5E20"/>
                <w:sz w:val="19"/>
                <w:szCs w:val="19"/>
              </w:rPr>
              <w:t xml:space="preserve">Stable start</w:t>
            </w:r>
          </w:p>
        </w:tc>
        <w:tc>
          <w:tcPr>
            <w:tcW w:type="dxa" w:w="16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FIM stabilised</w:t>
            </w:r>
          </w:p>
        </w:tc>
        <w:tc>
          <w:tcPr>
            <w:tcW w:type="dxa" w:w="132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vAlign w:val="center"/>
          </w:tcPr>
          <w:p>
            <w:pPr>
              <w:jc w:val="center"/>
            </w:pPr>
            <w:r>
              <w:rPr>
                <w:rFonts w:ascii="Arial" w:cs="Arial" w:eastAsia="Arial" w:hAnsi="Arial"/>
                <w:b w:val="false"/>
                <w:bCs w:val="false"/>
                <w:color w:val="1E293B"/>
                <w:sz w:val="19"/>
                <w:szCs w:val="19"/>
              </w:rPr>
              <w:t xml:space="preserve">Same</w:t>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left"/>
            </w:pPr>
            <w:r>
              <w:rPr>
                <w:rFonts w:ascii="Arial" w:cs="Arial" w:eastAsia="Arial" w:hAnsi="Arial"/>
                <w:b w:val="false"/>
                <w:bCs w:val="false"/>
                <w:color w:val="64748B"/>
                <w:sz w:val="19"/>
                <w:szCs w:val="19"/>
              </w:rPr>
              <w:t xml:space="preserve">ResNet-20 (3×3 conv)</w:t>
            </w:r>
          </w:p>
        </w:tc>
        <w:tc>
          <w:tcPr>
            <w:tcW w:type="dxa" w:w="1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N/A</w:t>
            </w:r>
          </w:p>
        </w:tc>
        <w:tc>
          <w:tcPr>
            <w:tcW w:type="dxa" w:w="1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bCs/>
                <w:color w:val="64748B"/>
                <w:sz w:val="19"/>
                <w:szCs w:val="19"/>
              </w:rPr>
              <w:t xml:space="preserve">+15.5 pp</w:t>
            </w:r>
          </w:p>
        </w:tc>
        <w:tc>
          <w:tcPr>
            <w:tcW w:type="dxa" w:w="168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N/A</w:t>
            </w:r>
          </w:p>
        </w:tc>
        <w:tc>
          <w:tcPr>
            <w:tcW w:type="dxa" w:w="132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vAlign w:val="center"/>
          </w:tcPr>
          <w:p>
            <w:pPr>
              <w:jc w:val="center"/>
            </w:pPr>
            <w:r>
              <w:rPr>
                <w:rFonts w:ascii="Arial" w:cs="Arial" w:eastAsia="Arial" w:hAnsi="Arial"/>
                <w:b w:val="false"/>
                <w:bCs w:val="false"/>
                <w:color w:val="64748B"/>
                <w:sz w:val="19"/>
                <w:szCs w:val="19"/>
              </w:rPr>
              <w:t xml:space="preserve">91.25%</w:t>
            </w:r>
          </w:p>
        </w:tc>
      </w:tr>
    </w:tbl>
    <w:p>
      <w:pPr>
        <w:spacing w:after="80"/>
      </w:pPr>
      <w:r>
        <w:t xml:space="preserve"/>
      </w:r>
    </w:p>
    <w:p>
      <w:pPr>
        <w:spacing w:after="160" w:before="0"/>
        <w:jc w:val="left"/>
      </w:pPr>
      <w:r>
        <w:rPr>
          <w:rFonts w:ascii="Arial" w:cs="Arial" w:eastAsia="Arial" w:hAnsi="Arial"/>
          <w:b w:val="false"/>
          <w:bCs w:val="false"/>
          <w:i w:val="false"/>
          <w:iCs w:val="false"/>
          <w:color w:val="1E293B"/>
          <w:sz w:val="22"/>
          <w:szCs w:val="22"/>
        </w:rPr>
        <w:t xml:space="preserve">The IT signals tell a consistent story across all experiments. Effective rank grew 8–11× in every run; I(T;Y) rose steadily; the TwoNN complexity gap closed 33–47%. These signals confirm that the growing network was genuinely developing richer, more class-discriminative representations at each growth step. The paradox is that none of this representational growth translated into accuracy gains beyond the ceiling, because the representations being formed — however complex — are global projections of pixel intensity. A CNN encodes the prior that nearby pixels are related through its 3×3 filter structure; the MLP must infer this from data alone, and 10,000 samples are insufficient to do so reliably.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10"/>
              <w:left w:type="dxa" w:w="160"/>
              <w:bottom w:type="dxa" w:w="110"/>
              <w:right w:type="dxa" w:w="160"/>
            </w:tcMar>
          </w:tcPr>
          <w:p>
            <w:pPr>
              <w:spacing w:after="50"/>
            </w:pPr>
            <w:r>
              <w:rPr>
                <w:rFonts w:ascii="Arial" w:cs="Arial" w:eastAsia="Arial" w:hAnsi="Arial"/>
                <w:b/>
                <w:bCs/>
                <w:color w:val="1B5E20"/>
                <w:sz w:val="21"/>
                <w:szCs w:val="21"/>
              </w:rPr>
              <w:t xml:space="preserve">What would close the gap?</w:t>
            </w:r>
          </w:p>
          <w:p>
            <w:pPr>
              <w:spacing w:after="0"/>
            </w:pPr>
            <w:r>
              <w:rPr>
                <w:rFonts w:ascii="Arial" w:cs="Arial" w:eastAsia="Arial" w:hAnsi="Arial"/>
                <w:color w:val="374151"/>
                <w:sz w:val="20"/>
                <w:szCs w:val="20"/>
              </w:rPr>
              <w:t xml:space="preserve">Three paths remain unexplored: (1) Convolutions — adding a single convolutional front-end (even one 3×3 conv layer) would encode spatial locality and likely push accuracy past 85%. (2) Data augmentation — random crops, flips, and colour jitter would multiply the effective training set and reduce the gap considerably. (3) Deeper skip networks — at 10+ blocks, skip connections would genuinely help and the neuroplasticity framework could grow both depth and width adaptively. These are the natural next experiments.</w:t>
            </w:r>
          </w:p>
        </w:tc>
      </w:tr>
    </w:tbl>
    <w:p>
      <w:pPr>
        <w:spacing w:after="120"/>
      </w:pPr>
      <w:r>
        <w:t xml:space="preserve"/>
      </w:r>
    </w:p>
    <w:p>
      <w:pPr>
        <w:pBdr>
          <w:bottom w:val="single" w:color="E2E8F0" w:sz="4" w:space="1"/>
        </w:pBdr>
        <w:spacing w:before="80" w:after="80"/>
      </w:pPr>
      <w:r>
        <w:rPr>
          <w:rFonts w:ascii="Arial" w:cs="Arial" w:eastAsia="Arial" w:hAnsi="Arial"/>
        </w:rPr>
        <w:t xml:space="preserve"/>
      </w:r>
    </w:p>
    <w:p>
      <w:pPr>
        <w:spacing w:before="80" w:after="0"/>
        <w:jc w:val="center"/>
      </w:pPr>
      <w:r>
        <w:rPr>
          <w:rFonts w:ascii="Arial" w:cs="Arial" w:eastAsia="Arial" w:hAnsi="Arial"/>
          <w:i/>
          <w:iCs/>
          <w:color w:val="64748B"/>
          <w:sz w:val="18"/>
          <w:szCs w:val="18"/>
        </w:rPr>
        <w:t xml:space="preserve">All experiments: pure NumPy, float32, Adam, 10K train samples, CIFAR-10 analog (quadratic label structure).</w:t>
      </w:r>
    </w:p>
    <w:p>
      <w:pPr>
        <w:spacing w:after="80"/>
      </w:pPr>
      <w:r>
        <w:t xml:space="preserve"/>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60"/>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6E8A" w:sz="4" w:space="4"/>
      </w:pBdr>
      <w:spacing w:after="0"/>
      <w:jc w:val="right"/>
    </w:pPr>
    <w:r>
      <w:rPr>
        <w:rFonts w:ascii="Arial" w:cs="Arial" w:eastAsia="Arial" w:hAnsi="Arial"/>
        <w:color w:val="64748B"/>
        <w:sz w:val="18"/>
        <w:szCs w:val="18"/>
      </w:rPr>
      <w:t xml:space="preserve">Neuroplasticity Growing Network  |  Follow-Up Experiments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00"/>
      <w:outlineLvl w:val="1"/>
    </w:pPr>
    <w:rPr>
      <w:rFonts w:ascii="Arial" w:cs="Arial" w:eastAsia="Arial" w:hAnsi="Arial"/>
      <w:b/>
      <w:bCs/>
      <w:color w:val="0D6E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775ca1d3ac4b167c7f8402d27afef2ac3579c87e.png"/><Relationship Id="rId9" Type="http://schemas.openxmlformats.org/officeDocument/2006/relationships/image" Target="media/047e0d4237f13af7991e489929b4e0e8533fa07b.png"/><Relationship Id="rId10" Type="http://schemas.openxmlformats.org/officeDocument/2006/relationships/image" Target="media/664c1ead24a30dd657c21cf4c00ae7ad81b120f5.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2026-03-25T00:52:18.341Z</dcterms:created>
  <dcterms:modified xsi:type="dcterms:W3CDTF">2026-03-25T00:52:18.342Z</dcterms:modified>
</cp:coreProperties>
</file>

<file path=docProps/custom.xml><?xml version="1.0" encoding="utf-8"?>
<Properties xmlns="http://schemas.openxmlformats.org/officeDocument/2006/custom-properties" xmlns:vt="http://schemas.openxmlformats.org/officeDocument/2006/docPropsVTypes"/>
</file>