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pPr>
    </w:p>
    <w:p>
      <w:pPr>
        <w:jc w:val="center"/>
      </w:pPr>
      <w:r>
        <w:rPr>
          <w:rFonts w:ascii="Arial" w:cs="Arial" w:eastAsia="Arial" w:hAnsi="Arial"/>
          <w:b/>
          <w:bCs/>
          <w:color w:val="1B2838"/>
          <w:sz w:val="56"/>
          <w:szCs w:val="56"/>
        </w:rPr>
        <w:t xml:space="preserve">Neuroplasticity-Inspired</w:t>
      </w:r>
    </w:p>
    <w:p>
      <w:pPr>
        <w:jc w:val="center"/>
      </w:pPr>
      <w:r>
        <w:rPr>
          <w:rFonts w:ascii="Arial" w:cs="Arial" w:eastAsia="Arial" w:hAnsi="Arial"/>
          <w:b/>
          <w:bCs/>
          <w:color w:val="1B2838"/>
          <w:sz w:val="56"/>
          <w:szCs w:val="56"/>
        </w:rPr>
        <w:t xml:space="preserve">Growing Neural Networks</w:t>
      </w:r>
    </w:p>
    <w:p>
      <w:pPr>
        <w:spacing w:after="200"/>
      </w:pPr>
    </w:p>
    <w:p>
      <w:pPr>
        <w:pBdr>
          <w:top w:val="single" w:color="2E75B6" w:sz="4" w:space="8"/>
          <w:bottom w:val="single" w:color="2E75B6" w:sz="4" w:space="8"/>
        </w:pBdr>
        <w:spacing w:before="200" w:after="200"/>
        <w:jc w:val="center"/>
      </w:pPr>
      <w:r>
        <w:rPr>
          <w:rFonts w:ascii="Arial" w:cs="Arial" w:eastAsia="Arial" w:hAnsi="Arial"/>
          <w:color w:val="2E75B6"/>
          <w:sz w:val="30"/>
          <w:szCs w:val="30"/>
        </w:rPr>
        <w:t xml:space="preserve">Complete Experiment Report</w:t>
      </w:r>
    </w:p>
    <w:p>
      <w:pPr>
        <w:spacing w:after="100"/>
      </w:pPr>
    </w:p>
    <w:p>
      <w:pPr>
        <w:spacing w:after="60"/>
        <w:jc w:val="center"/>
      </w:pPr>
      <w:r>
        <w:rPr>
          <w:rFonts w:ascii="Arial" w:cs="Arial" w:eastAsia="Arial" w:hAnsi="Arial"/>
          <w:color w:val="555555"/>
          <w:sz w:val="24"/>
          <w:szCs w:val="24"/>
        </w:rPr>
        <w:t xml:space="preserve">Five Experiments · Four IT Signals · Three Architectures</w:t>
      </w:r>
    </w:p>
    <w:p>
      <w:pPr>
        <w:spacing w:after="500"/>
      </w:pPr>
    </w:p>
    <w:p>
      <w:pPr>
        <w:jc w:val="center"/>
      </w:pPr>
      <w:r>
        <w:rPr>
          <w:rFonts w:ascii="Arial" w:cs="Arial" w:eastAsia="Arial" w:hAnsi="Arial"/>
          <w:sz w:val="28"/>
          <w:szCs w:val="28"/>
        </w:rPr>
        <w:t xml:space="preserve">Evam Kaushik</w:t>
      </w:r>
    </w:p>
    <w:p>
      <w:pPr>
        <w:jc w:val="center"/>
      </w:pPr>
      <w:r>
        <w:rPr>
          <w:rFonts w:ascii="Arial" w:cs="Arial" w:eastAsia="Arial" w:hAnsi="Arial"/>
          <w:color w:val="2E75B6"/>
          <w:sz w:val="22"/>
          <w:szCs w:val="22"/>
        </w:rPr>
        <w:t xml:space="preserve">evam.kaushik@adelaide.edu.au</w:t>
      </w:r>
    </w:p>
    <w:p>
      <w:pPr>
        <w:jc w:val="center"/>
      </w:pPr>
      <w:r>
        <w:rPr>
          <w:rFonts w:ascii="Arial" w:cs="Arial" w:eastAsia="Arial" w:hAnsi="Arial"/>
          <w:color w:val="666666"/>
          <w:sz w:val="22"/>
          <w:szCs w:val="22"/>
        </w:rPr>
        <w:t xml:space="preserve">University of Adelaide</w:t>
      </w:r>
    </w:p>
    <w:p>
      <w:pPr>
        <w:spacing w:after="600"/>
        <w:jc w:val="center"/>
      </w:pPr>
      <w:r>
        <w:rPr>
          <w:rFonts w:ascii="Arial" w:cs="Arial" w:eastAsia="Arial" w:hAnsi="Arial"/>
          <w:color w:val="666666"/>
          <w:sz w:val="22"/>
          <w:szCs w:val="22"/>
        </w:rPr>
        <w:t xml:space="preserve">March 2026</w:t>
      </w:r>
    </w:p>
    <w:p>
      <w:pPr>
        <w:pBdr>
          <w:top w:val="single" w:color="CCCCCC" w:sz="2" w:space="4"/>
        </w:pBdr>
        <w:spacing w:before="400"/>
        <w:jc w:val="center"/>
      </w:pPr>
      <w:r>
        <w:rPr>
          <w:rFonts w:ascii="Arial" w:cs="Arial" w:eastAsia="Arial" w:hAnsi="Arial"/>
          <w:b/>
          <w:bCs/>
          <w:sz w:val="24"/>
          <w:szCs w:val="24"/>
        </w:rPr>
        <w:t xml:space="preserve">Abstract</w:t>
      </w:r>
    </w:p>
    <w:p>
      <w:pPr>
        <w:spacing w:after="200"/>
      </w:pPr>
      <w:r>
        <w:rPr>
          <w:rFonts w:ascii="Arial" w:cs="Arial" w:eastAsia="Arial" w:hAnsi="Arial"/>
          <w:sz w:val="22"/>
          <w:szCs w:val="22"/>
        </w:rPr>
        <w:t xml:space="preserve">This report documents a comprehensive five-experiment investigation into neuroplasticity-inspired autonomous architecture growth in neural networks. The experiments progress from a deliberately undersized plain MLP on synthetic data (Experiment 1), through scaling to ResNet-20 and airbench95 parameter budgets (Experiments 2–3), to residual skip-connected architectures with dataset-informed initialisation (Experiments 4–5). Four information-theoretic signals—Effective Rank, Fisher Information Trace, Mutual Information I(T;Y), and TwoNN Intrinsic Dimensionality—guide growth decisions and diagnose the model–data capacity mismatch throughout. The central finding is that a 74–77% test accuracy ceiling persists across all MLP variants regardless of parameter count (up to 322K), architecture (plain vs. residual), or initialisation strategy (random vs. dataset-informed)—directly quantifying the convolutional inductive bias at +15.5 percentage points. Skip connections deliver +17.9 pp over plain MLPs on matched synthetic data, confirming their value for gradient flow in growing networks.</w:t>
      </w:r>
    </w:p>
    <w:p>
      <w:r>
        <w:br w:type="page"/>
      </w:r>
    </w:p>
    <w:p>
      <w:pPr>
        <w:pStyle w:val="Heading1"/>
      </w:pPr>
      <w:r>
        <w:t xml:space="preserve">Table of Contents</w:t>
      </w:r>
    </w:p>
    <w:p>
      <w:pPr>
        <w:spacing w:after="120"/>
      </w:pPr>
      <w:r>
        <w:rPr>
          <w:rFonts w:ascii="Arial" w:cs="Arial" w:eastAsia="Arial" w:hAnsi="Arial"/>
          <w:sz w:val="22"/>
          <w:szCs w:val="22"/>
        </w:rPr>
        <w:t xml:space="preserve">1. Introduction and Motivation</w:t>
      </w:r>
    </w:p>
    <w:p>
      <w:pPr>
        <w:spacing w:after="120"/>
      </w:pPr>
      <w:r>
        <w:rPr>
          <w:rFonts w:ascii="Arial" w:cs="Arial" w:eastAsia="Arial" w:hAnsi="Arial"/>
          <w:sz w:val="22"/>
          <w:szCs w:val="22"/>
        </w:rPr>
        <w:t xml:space="preserve">2. Methodology</w:t>
      </w:r>
    </w:p>
    <w:p>
      <w:pPr>
        <w:spacing w:after="120"/>
      </w:pPr>
      <w:r>
        <w:rPr>
          <w:rFonts w:ascii="Arial" w:cs="Arial" w:eastAsia="Arial" w:hAnsi="Arial"/>
          <w:sz w:val="22"/>
          <w:szCs w:val="22"/>
        </w:rPr>
        <w:t xml:space="preserve">3. Experiment 1: Baseline Growing MLP</w:t>
      </w:r>
    </w:p>
    <w:p>
      <w:pPr>
        <w:spacing w:after="120"/>
      </w:pPr>
      <w:r>
        <w:rPr>
          <w:rFonts w:ascii="Arial" w:cs="Arial" w:eastAsia="Arial" w:hAnsi="Arial"/>
          <w:sz w:val="22"/>
          <w:szCs w:val="22"/>
        </w:rPr>
        <w:t xml:space="preserve">4. Experiment 2: Scaling to ResNet-20</w:t>
      </w:r>
    </w:p>
    <w:p>
      <w:pPr>
        <w:spacing w:after="120"/>
      </w:pPr>
      <w:r>
        <w:rPr>
          <w:rFonts w:ascii="Arial" w:cs="Arial" w:eastAsia="Arial" w:hAnsi="Arial"/>
          <w:sz w:val="22"/>
          <w:szCs w:val="22"/>
        </w:rPr>
        <w:t xml:space="preserve">5. Experiment 3: Scaling to airbench95</w:t>
      </w:r>
    </w:p>
    <w:p>
      <w:pPr>
        <w:spacing w:after="120"/>
      </w:pPr>
      <w:r>
        <w:rPr>
          <w:rFonts w:ascii="Arial" w:cs="Arial" w:eastAsia="Arial" w:hAnsi="Arial"/>
          <w:sz w:val="22"/>
          <w:szCs w:val="22"/>
        </w:rPr>
        <w:t xml:space="preserve">6. Experiment 4: Skip Connections + Dataset-Informed Init (v1)</w:t>
      </w:r>
    </w:p>
    <w:p>
      <w:pPr>
        <w:spacing w:after="120"/>
      </w:pPr>
      <w:r>
        <w:rPr>
          <w:rFonts w:ascii="Arial" w:cs="Arial" w:eastAsia="Arial" w:hAnsi="Arial"/>
          <w:sz w:val="22"/>
          <w:szCs w:val="22"/>
        </w:rPr>
        <w:t xml:space="preserve">7. Experiment 5: Skip-MLP with Verified Gradients (v2)</w:t>
      </w:r>
    </w:p>
    <w:p>
      <w:pPr>
        <w:spacing w:after="120"/>
      </w:pPr>
      <w:r>
        <w:rPr>
          <w:rFonts w:ascii="Arial" w:cs="Arial" w:eastAsia="Arial" w:hAnsi="Arial"/>
          <w:sz w:val="22"/>
          <w:szCs w:val="22"/>
        </w:rPr>
        <w:t xml:space="preserve">8. Cross-Experiment Synthesis</w:t>
      </w:r>
    </w:p>
    <w:p>
      <w:pPr>
        <w:spacing w:after="120"/>
      </w:pPr>
      <w:r>
        <w:rPr>
          <w:rFonts w:ascii="Arial" w:cs="Arial" w:eastAsia="Arial" w:hAnsi="Arial"/>
          <w:sz w:val="22"/>
          <w:szCs w:val="22"/>
        </w:rPr>
        <w:t xml:space="preserve">9. Discussion</w:t>
      </w:r>
    </w:p>
    <w:p>
      <w:pPr>
        <w:spacing w:after="120"/>
      </w:pPr>
      <w:r>
        <w:rPr>
          <w:rFonts w:ascii="Arial" w:cs="Arial" w:eastAsia="Arial" w:hAnsi="Arial"/>
          <w:sz w:val="22"/>
          <w:szCs w:val="22"/>
        </w:rPr>
        <w:t xml:space="preserve">10. Conclusions</w:t>
      </w:r>
    </w:p>
    <w:p>
      <w:pPr>
        <w:spacing w:after="120"/>
      </w:pPr>
      <w:r>
        <w:rPr>
          <w:rFonts w:ascii="Arial" w:cs="Arial" w:eastAsia="Arial" w:hAnsi="Arial"/>
          <w:sz w:val="22"/>
          <w:szCs w:val="22"/>
        </w:rPr>
        <w:t xml:space="preserve">11. References</w:t>
      </w:r>
    </w:p>
    <w:p>
      <w:pPr>
        <w:spacing w:after="120"/>
      </w:pPr>
      <w:r>
        <w:rPr>
          <w:rFonts w:ascii="Arial" w:cs="Arial" w:eastAsia="Arial" w:hAnsi="Arial"/>
          <w:sz w:val="22"/>
          <w:szCs w:val="22"/>
        </w:rPr>
        <w:t xml:space="preserve">12. Appendix: Reproduction Guide</w:t>
      </w:r>
    </w:p>
    <w:p>
      <w:r>
        <w:br w:type="page"/>
      </w:r>
    </w:p>
    <w:p>
      <w:pPr>
        <w:pStyle w:val="Heading1"/>
      </w:pPr>
      <w:r>
        <w:t xml:space="preserve">1.  Introduction and Motivation</w:t>
      </w:r>
    </w:p>
    <w:p>
      <w:pPr>
        <w:pStyle w:val="Heading2"/>
      </w:pPr>
      <w:r>
        <w:t xml:space="preserve">1.1  The Neuroscience Analogy</w:t>
      </w:r>
    </w:p>
    <w:p>
      <w:pPr>
        <w:spacing w:after="120"/>
      </w:pPr>
      <w:r>
        <w:rPr>
          <w:rFonts w:ascii="Arial" w:cs="Arial" w:eastAsia="Arial" w:hAnsi="Arial"/>
          <w:sz w:val="22"/>
          <w:szCs w:val="22"/>
        </w:rPr>
        <w:t xml:space="preserve">When humans face problems exceeding their current cognitive capacity, the brain responds through neuroplasticity: new synaptic connections form, dendrites branch, and in some regions entirely new neurons are generated. This is not metaphorical—it is a measurable, physical increase in neural connectivity driven by the mismatch between environmental complexity and current representational capacity. Long-term potentiation (LTP) strengthens frequently-used synapses while long-term depression (LTD) weakens unused ones, creating an efficient allocation of neural resources toward task-relevant computation.</w:t>
      </w:r>
    </w:p>
    <w:p>
      <w:pPr>
        <w:spacing w:after="120"/>
      </w:pPr>
      <w:r>
        <w:rPr>
          <w:rFonts w:ascii="Arial" w:cs="Arial" w:eastAsia="Arial" w:hAnsi="Arial"/>
          <w:sz w:val="22"/>
          <w:szCs w:val="22"/>
        </w:rPr>
        <w:t xml:space="preserve">This experiment series operationalises that principle directly. A neural network begins with a capacity so small it is structurally incapable of solving the task. When it detects struggle—accuracy plateau combined with information-theoretic signals—it grows new neurons. New neurons start near-zero (weak synapses) and strengthen through gradient descent (learning through experience). The parallel to biological neuroplasticity is intentional, quantitative, and testable.</w:t>
      </w:r>
    </w:p>
    <w:p>
      <w:pPr>
        <w:pStyle w:val="Heading2"/>
      </w:pPr>
      <w:r>
        <w:t xml:space="preserve">1.2  What Makes This Different from Standard Training</w:t>
      </w:r>
    </w:p>
    <w:p>
      <w:pPr>
        <w:spacing w:after="120"/>
      </w:pPr>
      <w:r>
        <w:rPr>
          <w:rFonts w:ascii="Arial" w:cs="Arial" w:eastAsia="Arial" w:hAnsi="Arial"/>
          <w:sz w:val="22"/>
          <w:szCs w:val="22"/>
        </w:rPr>
        <w:t xml:space="preserve">Standard deep learning fixes the architecture before training begins. Network capacity is a hyperparameter chosen by the designer, typically through trial-and-error or architecture search. This experiment treats capacity as an emergent property of the training process itself—determined by the interplay between the model’s current representational ability and the statistical complexity of the data. The network decides for itself how many neurons it needs and when to grow them. The four information-theoretic signals provide a principled, measurable basis for these decisions, replacing heuristic rules with quantitative diagnostics.</w:t>
      </w:r>
    </w:p>
    <w:p>
      <w:pPr>
        <w:pStyle w:val="Heading2"/>
      </w:pPr>
      <w:r>
        <w:t xml:space="preserve">1.3  Research Questions</w:t>
      </w:r>
    </w:p>
    <w:p>
      <w:pPr>
        <w:pStyle w:val="ListParagraph"/>
        <w:numPr>
          <w:ilvl w:val="0"/>
          <w:numId w:val="2"/>
        </w:numPr>
      </w:pPr>
      <w:r>
        <w:rPr>
          <w:rFonts w:ascii="Arial" w:cs="Arial" w:eastAsia="Arial" w:hAnsi="Arial"/>
          <w:sz w:val="22"/>
          <w:szCs w:val="22"/>
        </w:rPr>
        <w:t xml:space="preserve">Can a network autonomously grow its architecture in response to data complexity, guided by information-theoretic signals?</w:t>
      </w:r>
    </w:p>
    <w:p>
      <w:pPr>
        <w:pStyle w:val="ListParagraph"/>
        <w:numPr>
          <w:ilvl w:val="0"/>
          <w:numId w:val="2"/>
        </w:numPr>
      </w:pPr>
      <w:r>
        <w:rPr>
          <w:rFonts w:ascii="Arial" w:cs="Arial" w:eastAsia="Arial" w:hAnsi="Arial"/>
          <w:sz w:val="22"/>
          <w:szCs w:val="22"/>
        </w:rPr>
        <w:t xml:space="preserve">Do growth events produce measurable, consistent improvements across multiple complementary IT diagnostics?</w:t>
      </w:r>
    </w:p>
    <w:p>
      <w:pPr>
        <w:pStyle w:val="ListParagraph"/>
        <w:numPr>
          <w:ilvl w:val="0"/>
          <w:numId w:val="2"/>
        </w:numPr>
      </w:pPr>
      <w:r>
        <w:rPr>
          <w:rFonts w:ascii="Arial" w:cs="Arial" w:eastAsia="Arial" w:hAnsi="Arial"/>
          <w:sz w:val="22"/>
          <w:szCs w:val="22"/>
        </w:rPr>
        <w:t xml:space="preserve">What happens when the growing MLP is given the same parameter budget as state-of-the-art CNNs? Does it match their accuracy?</w:t>
      </w:r>
    </w:p>
    <w:p>
      <w:pPr>
        <w:pStyle w:val="ListParagraph"/>
        <w:numPr>
          <w:ilvl w:val="0"/>
          <w:numId w:val="2"/>
        </w:numPr>
      </w:pPr>
      <w:r>
        <w:rPr>
          <w:rFonts w:ascii="Arial" w:cs="Arial" w:eastAsia="Arial" w:hAnsi="Arial"/>
          <w:sz w:val="22"/>
          <w:szCs w:val="22"/>
        </w:rPr>
        <w:t xml:space="preserve">Do skip connections and dataset-informed initialisation close the accuracy gap?</w:t>
      </w:r>
    </w:p>
    <w:p>
      <w:pPr>
        <w:pStyle w:val="ListParagraph"/>
        <w:numPr>
          <w:ilvl w:val="0"/>
          <w:numId w:val="2"/>
        </w:numPr>
      </w:pPr>
      <w:r>
        <w:rPr>
          <w:rFonts w:ascii="Arial" w:cs="Arial" w:eastAsia="Arial" w:hAnsi="Arial"/>
          <w:sz w:val="22"/>
          <w:szCs w:val="22"/>
        </w:rPr>
        <w:t xml:space="preserve">What is the empirical magnitude of the convolutional inductive bias, measured directly by controlling for parameter count?</w:t>
      </w:r>
    </w:p>
    <w:p>
      <w:pPr>
        <w:spacing w:after="100"/>
      </w:pPr>
    </w:p>
    <w:p>
      <w:r>
        <w:br w:type="page"/>
      </w:r>
    </w:p>
    <w:p>
      <w:pPr>
        <w:pStyle w:val="Heading1"/>
      </w:pPr>
      <w:r>
        <w:t xml:space="preserve">2.  Methodology</w:t>
      </w:r>
    </w:p>
    <w:p>
      <w:pPr>
        <w:pStyle w:val="Heading2"/>
      </w:pPr>
      <w:r>
        <w:t xml:space="preserve">2.1  Dataset: CIFAR-10 Analog</w:t>
      </w:r>
    </w:p>
    <w:p>
      <w:pPr>
        <w:spacing w:after="120"/>
      </w:pPr>
      <w:r>
        <w:rPr>
          <w:rFonts w:ascii="Arial" w:cs="Arial" w:eastAsia="Arial" w:hAnsi="Arial"/>
          <w:sz w:val="22"/>
          <w:szCs w:val="22"/>
        </w:rPr>
        <w:t xml:space="preserve">All five experiments use a synthetic dataset designed to mirror CIFAR-10’s statistical complexity while providing controlled experimental conditions. The dataset is constructed by sampling 8-dimensional latent vectors, assigning labels via 8 pairwise quadratic interactions (XOR-manifold structure), and projecting to 96 ambient dimensions with Gaussian noise. This ensures that: (a) small linear models structurally cannot solve the classification task, (b) the intrinsic dimensionality is known for verification, and (c) class balance is controlled. Experiments 2–3 additionally test on real CIFAR-10 images (3,072 dimensions, flattened).</w:t>
      </w:r>
    </w:p>
    <w:p>
      <w:pPr>
        <w:pStyle w:val="Heading2"/>
      </w:pPr>
      <w:r>
        <w:t xml:space="preserve">2.2  Four Information-Theoretic Signals</w:t>
      </w:r>
    </w:p>
    <w:p>
      <w:pPr>
        <w:spacing w:after="120"/>
      </w:pPr>
      <w:r>
        <w:rPr>
          <w:rFonts w:ascii="Arial" w:cs="Arial" w:eastAsia="Arial" w:hAnsi="Arial"/>
          <w:sz w:val="22"/>
          <w:szCs w:val="22"/>
        </w:rPr>
        <w:t xml:space="preserve">Growth decisions are guided by four complementary signals, each measuring a different facet of the model–data capacity mismatch: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300"/>
        <w:gridCol w:w="4060"/>
      </w:tblGrid>
      <w:tr>
        <w:tc>
          <w:tcPr>
            <w:tcW w:type="dxa" w:w="2000"/>
            <w:tcBorders>
              <w:top w:val="single" w:color="CCCCCC" w:sz="1"/>
              <w:left w:val="single" w:color="CCCCCC" w:sz="1"/>
              <w:bottom w:val="single" w:color="CCCCCC" w:sz="1"/>
              <w:right w:val="single" w:color="CCCCCC" w:sz="1"/>
            </w:tcBorders>
            <w:shd w:fill="1B2838" w:val="clear"/>
            <w:tcMar>
              <w:top w:type="dxa" w:w="80"/>
              <w:left w:type="dxa" w:w="120"/>
              <w:bottom w:type="dxa" w:w="80"/>
              <w:right w:type="dxa" w:w="120"/>
            </w:tcMar>
          </w:tcPr>
          <w:p>
            <w:r>
              <w:rPr>
                <w:rFonts w:ascii="Arial" w:cs="Arial" w:eastAsia="Arial" w:hAnsi="Arial"/>
                <w:b/>
                <w:bCs/>
                <w:color w:val="FFFFFF"/>
                <w:sz w:val="20"/>
                <w:szCs w:val="20"/>
              </w:rPr>
              <w:t xml:space="preserve">Signal</w:t>
            </w:r>
          </w:p>
        </w:tc>
        <w:tc>
          <w:tcPr>
            <w:tcW w:type="dxa" w:w="3300"/>
            <w:tcBorders>
              <w:top w:val="single" w:color="CCCCCC" w:sz="1"/>
              <w:left w:val="single" w:color="CCCCCC" w:sz="1"/>
              <w:bottom w:val="single" w:color="CCCCCC" w:sz="1"/>
              <w:right w:val="single" w:color="CCCCCC" w:sz="1"/>
            </w:tcBorders>
            <w:shd w:fill="1B2838"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c>
          <w:tcPr>
            <w:tcW w:type="dxa" w:w="4060"/>
            <w:tcBorders>
              <w:top w:val="single" w:color="CCCCCC" w:sz="1"/>
              <w:left w:val="single" w:color="CCCCCC" w:sz="1"/>
              <w:bottom w:val="single" w:color="CCCCCC" w:sz="1"/>
              <w:right w:val="single" w:color="CCCCCC" w:sz="1"/>
            </w:tcBorders>
            <w:shd w:fill="1B2838" w:val="clear"/>
            <w:tcMar>
              <w:top w:type="dxa" w:w="80"/>
              <w:left w:type="dxa" w:w="120"/>
              <w:bottom w:type="dxa" w:w="80"/>
              <w:right w:type="dxa" w:w="120"/>
            </w:tcMar>
          </w:tcPr>
          <w:p>
            <w:r>
              <w:rPr>
                <w:rFonts w:ascii="Arial" w:cs="Arial" w:eastAsia="Arial" w:hAnsi="Arial"/>
                <w:b/>
                <w:bCs/>
                <w:color w:val="FFFFFF"/>
                <w:sz w:val="20"/>
                <w:szCs w:val="20"/>
              </w:rPr>
              <w:t xml:space="preserve">Neuroplasticity Signature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Effective Rank</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exp(H(σ̃)) where σ̃ are normalised singular values of weight matrices. Measures how many independent feature directions are active. Range: [1, min(rows,cols)].</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Sharp upward jump at each growth event as new neurons create genuinely independent feature dimensions. The largest jump occurs at the first growth.</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Fisher Trace</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E[(∂L/∂θ)²] summed over parameters. Measures how sensitive the loss is to each parameter—how hard neurons are working.</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Dip-then-rise at each growth: new neurons are initially idle (near-zero gradients), then specialise under gradient pressure. This is the Fisher signature of long-term potentiation.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I(T;Y)</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Mutual information between penultimate representations T and labels Y, estimated by binning the first principal component (Tishby 2000).</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Rises monotonically as representations become progressively class-discriminative. Accelerations follow each growth event.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TwoNN ID</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Intrinsic dimensionality of learned representations estimated via the ratio of second-to-first nearest neighbour distances (Facco et al. 2017).</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 ID rises toward Data ID. The gap (Data ID − Rep ID) narrows at each growth event—this is the central neuroplasticity signal.</w:t>
            </w:r>
          </w:p>
        </w:tc>
      </w:tr>
    </w:tbl>
    <w:p>
      <w:pPr>
        <w:spacing w:after="200"/>
      </w:pPr>
    </w:p>
    <w:p>
      <w:pPr>
        <w:pStyle w:val="Heading2"/>
      </w:pPr>
      <w:r>
        <w:t xml:space="preserve">2.3  Growth Protocol</w:t>
      </w:r>
    </w:p>
    <w:p>
      <w:pPr>
        <w:spacing w:after="120"/>
      </w:pPr>
      <w:r>
        <w:rPr>
          <w:rFonts w:ascii="Arial" w:cs="Arial" w:eastAsia="Arial" w:hAnsi="Arial"/>
          <w:sz w:val="22"/>
          <w:szCs w:val="22"/>
        </w:rPr>
        <w:t xml:space="preserve">The NeuroplasticityController checks every epoch (after an 8-epoch cooldown) whether the model is struggling:</w:t>
      </w:r>
    </w:p>
    <w:p>
      <w:pPr>
        <w:pStyle w:val="ListParagraph"/>
        <w:numPr>
          <w:ilvl w:val="0"/>
          <w:numId w:val="2"/>
        </w:numPr>
      </w:pPr>
      <w:r>
        <w:rPr>
          <w:rFonts w:ascii="Arial" w:cs="Arial" w:eastAsia="Arial" w:hAnsi="Arial"/>
          <w:sz w:val="22"/>
          <w:szCs w:val="22"/>
        </w:rPr>
        <w:t xml:space="preserve">Stall detection: training accuracy below 93% AND per-epoch improvement below 0.5% over a 5-epoch lookback window.</w:t>
      </w:r>
    </w:p>
    <w:p>
      <w:pPr>
        <w:pStyle w:val="ListParagraph"/>
        <w:numPr>
          <w:ilvl w:val="0"/>
          <w:numId w:val="2"/>
        </w:numPr>
      </w:pPr>
      <w:r>
        <w:rPr>
          <w:rFonts w:ascii="Arial" w:cs="Arial" w:eastAsia="Arial" w:hAnsi="Arial"/>
          <w:sz w:val="22"/>
          <w:szCs w:val="22"/>
        </w:rPr>
        <w:t xml:space="preserve">Width growth (primary): Add neurons (12–16 depending on experiment) to every hidden layer using Net2Net-style function-preserving expansion. Existing weights are copied exactly; new neurons receive near-zero initialisation (He scale × 0.01). Adam optimiser momentum state is transferred for existing neurons.</w:t>
      </w:r>
    </w:p>
    <w:p>
      <w:pPr>
        <w:pStyle w:val="ListParagraph"/>
        <w:numPr>
          <w:ilvl w:val="0"/>
          <w:numId w:val="2"/>
        </w:numPr>
      </w:pPr>
      <w:r>
        <w:rPr>
          <w:rFonts w:ascii="Arial" w:cs="Arial" w:eastAsia="Arial" w:hAnsi="Arial"/>
          <w:sz w:val="22"/>
          <w:szCs w:val="22"/>
        </w:rPr>
        <w:t xml:space="preserve">Depth growth (secondary): Insert a new hidden layer (or residual block) when three consecutive width growths produce diminishing accuracy gains (&lt;0.8% each). Uses near-identity initialisation so the new layer begins as a pass-through.</w:t>
      </w:r>
    </w:p>
    <w:p>
      <w:pPr>
        <w:pStyle w:val="ListParagraph"/>
        <w:numPr>
          <w:ilvl w:val="0"/>
          <w:numId w:val="2"/>
        </w:numPr>
      </w:pPr>
      <w:r>
        <w:rPr>
          <w:rFonts w:ascii="Arial" w:cs="Arial" w:eastAsia="Arial" w:hAnsi="Arial"/>
          <w:sz w:val="22"/>
          <w:szCs w:val="22"/>
        </w:rPr>
        <w:t xml:space="preserve">Parameter cap: growth stops when total parameters exceed a configurable maximum (varies by experiment: 300K–4.2M).</w:t>
      </w:r>
    </w:p>
    <w:p>
      <w:pPr>
        <w:spacing w:after="100"/>
      </w:pPr>
    </w:p>
    <w:p>
      <w:pPr>
        <w:pStyle w:val="Heading2"/>
      </w:pPr>
      <w:r>
        <w:t xml:space="preserve">2.4  Net2Net Function-Preserving Expansion</w:t>
      </w:r>
    </w:p>
    <w:p>
      <w:pPr>
        <w:spacing w:after="120"/>
      </w:pPr>
      <w:r>
        <w:rPr>
          <w:rFonts w:ascii="Arial" w:cs="Arial" w:eastAsia="Arial" w:hAnsi="Arial"/>
          <w:sz w:val="22"/>
          <w:szCs w:val="22"/>
        </w:rPr>
        <w:t xml:space="preserve">Standard approaches randomly initialise new neurons, discarding learned features. This experiment uses Net2Net-style expansion: existing weights are copied exactly into the expanded architecture. New output neurons receive He-initialised weights at 10% scale (starting quiet). New input connections from expanded previous layers begin near-zero (0.001 scale). This ensures the expanded model computes exactly the same function as the original at the moment of expansion—then improves from there. The biological parallel is direct: newly formed synapses begin with low synaptic weights and strengthen through repeated activation (LTP).</w:t>
      </w:r>
    </w:p>
    <w:p>
      <w:pPr>
        <w:pStyle w:val="Heading2"/>
      </w:pPr>
      <w:r>
        <w:t xml:space="preserve">2.5  Dataset-Informed Initialisation (Experiments 4–5)</w:t>
      </w:r>
    </w:p>
    <w:p>
      <w:pPr>
        <w:spacing w:after="120"/>
      </w:pPr>
      <w:r>
        <w:rPr>
          <w:rFonts w:ascii="Arial" w:cs="Arial" w:eastAsia="Arial" w:hAnsi="Arial"/>
          <w:sz w:val="22"/>
          <w:szCs w:val="22"/>
        </w:rPr>
        <w:t xml:space="preserve">Experiments 4–5 introduce a three-stage initialisation pipeline:</w:t>
      </w:r>
    </w:p>
    <w:p>
      <w:pPr>
        <w:pStyle w:val="ListParagraph"/>
        <w:numPr>
          <w:ilvl w:val="0"/>
          <w:numId w:val="2"/>
        </w:numPr>
      </w:pPr>
      <w:r>
        <w:rPr>
          <w:rFonts w:ascii="Arial" w:cs="Arial" w:eastAsia="Arial" w:hAnsi="Arial"/>
          <w:sz w:val="22"/>
          <w:szCs w:val="22"/>
        </w:rPr>
        <w:t xml:space="preserve">PCsInit (arXiv 2501.19114, 2025): The first layer’s weight matrix is initialised with the top principal components of the training data, scaled by singular values. This ensures the network immediately projects onto the directions of maximum data variance rather than random projections.</w:t>
      </w:r>
    </w:p>
    <w:p>
      <w:pPr>
        <w:pStyle w:val="ListParagraph"/>
        <w:numPr>
          <w:ilvl w:val="0"/>
          <w:numId w:val="2"/>
        </w:numPr>
      </w:pPr>
      <w:r>
        <w:rPr>
          <w:rFonts w:ascii="Arial" w:cs="Arial" w:eastAsia="Arial" w:hAnsi="Arial"/>
          <w:sz w:val="22"/>
          <w:szCs w:val="22"/>
        </w:rPr>
        <w:t xml:space="preserve">Reference model weight projection: A small MLP (48–32 hidden neurons) is trained with strong L2 regularisation to achieve moderate accuracy with low overfitting. Its learned weights are projected via SVD into the growing network’s first layer/block, seeding the representation with data-informed structure.</w:t>
      </w:r>
    </w:p>
    <w:p>
      <w:pPr>
        <w:pStyle w:val="ListParagraph"/>
        <w:numPr>
          <w:ilvl w:val="0"/>
          <w:numId w:val="2"/>
        </w:numPr>
      </w:pPr>
      <w:r>
        <w:rPr>
          <w:rFonts w:ascii="Arial" w:cs="Arial" w:eastAsia="Arial" w:hAnsi="Arial"/>
          <w:sz w:val="22"/>
          <w:szCs w:val="22"/>
        </w:rPr>
        <w:t xml:space="preserve">LSUV calibration (Mishkin &amp; Matas 2015): After each growth event, a forward pass on a 512–800 sample minibatch normalises each layer’s output standard deviation to 1.0, correcting variance accumulation through deep stacks.</w:t>
      </w:r>
    </w:p>
    <w:p>
      <w:pPr>
        <w:spacing w:after="100"/>
      </w:pPr>
    </w:p>
    <w:p>
      <w:pPr>
        <w:pStyle w:val="Heading2"/>
      </w:pPr>
      <w:r>
        <w:t xml:space="preserve">2.6  Implementation</w:t>
      </w:r>
    </w:p>
    <w:p>
      <w:pPr>
        <w:spacing w:after="120"/>
      </w:pPr>
      <w:r>
        <w:rPr>
          <w:rFonts w:ascii="Arial" w:cs="Arial" w:eastAsia="Arial" w:hAnsi="Arial"/>
          <w:sz w:val="22"/>
          <w:szCs w:val="22"/>
        </w:rPr>
        <w:t xml:space="preserve">All experiments are implemented in pure NumPy (float32) with no GPU dependency. The GrowingMLP uses a custom Adam optimiser with momentum transfer during growth events. The SkipMLP (Experiments 4–5) implements residual blocks with an analytically verified backward pass (gradient check relative error &lt; 10⁻¹⁰). The codebase is organised as a modular Python package (neuroplasticity/) with separate subpackages for data generation, models, growth operators, IT metrics, training orchestration, initialisation, and visualisation.</w:t>
      </w:r>
    </w:p>
    <w:p>
      <w:r>
        <w:br w:type="page"/>
      </w:r>
    </w:p>
    <w:p>
      <w:pPr>
        <w:pStyle w:val="Heading1"/>
      </w:pPr>
      <w:r>
        <w:t xml:space="preserve">3.  Experiment 1: Baseline Growing MLP</w:t>
      </w:r>
    </w:p>
    <w:p>
      <w:pPr>
        <w:pStyle w:val="Heading2"/>
      </w:pPr>
      <w:r>
        <w:t xml:space="preserve">3.1  Configuration</w:t>
      </w:r>
    </w:p>
    <w:p>
      <w:pPr>
        <w:spacing w:after="120"/>
      </w:pPr>
      <w:r>
        <w:rPr>
          <w:rFonts w:ascii="Arial" w:cs="Arial" w:eastAsia="Arial" w:hAnsi="Arial"/>
          <w:sz w:val="22"/>
          <w:szCs w:val="22"/>
        </w:rPr>
        <w:t xml:space="preserve">Architecture: MLP[96, 4, 4, 10] (2 hidden layers of 4 neurons, 458 parameters). Dataset: 20,000 training samples (unbalanced), 64-dimensional, 10-class XOR manifold with known Data ID = 17.07. Training: 65 epochs, batch size 256, learning rate 2.5×10⁻³ with Adam. Growth: +12 neurons per hidden layer per width event. A network with only 4 hidden neurons has a 4-dimensional bottleneck representation for a 10-class problem whose decision boundaries require quadratic interactions—structural underfitting is mathematically guaranteed.</w:t>
      </w:r>
    </w:p>
    <w:p>
      <w:pPr>
        <w:pStyle w:val="Heading2"/>
      </w:pPr>
      <w:r>
        <w:t xml:space="preserve">3.2  Results</w:t>
      </w:r>
    </w:p>
    <w:p>
      <w:pPr>
        <w:spacing w:after="120"/>
      </w:pPr>
      <w:r>
        <w:rPr>
          <w:rFonts w:ascii="Arial" w:cs="Arial" w:eastAsia="Arial" w:hAnsi="Arial"/>
          <w:sz w:val="22"/>
          <w:szCs w:val="22"/>
        </w:rPr>
        <w:t xml:space="preserve">The network grew from 458 to 13,994 parameters across 6 autonomous width growth events (epochs 16, 27, 35, 42, 53, 60), reaching a final architecture of MLP[96, 64, 64, 10]. Training accuracy reached 89.1% and test accuracy 75.8%.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1200"/>
        <w:gridCol w:w="1200"/>
        <w:gridCol w:w="1200"/>
        <w:gridCol w:w="960"/>
      </w:tblGrid>
      <w:tr>
        <w:tc>
          <w:tcPr>
            <w:tcW w:type="dxa" w:w="2400"/>
            <w:tcBorders>
              <w:top w:val="single" w:color="CCCCCC" w:sz="1"/>
              <w:left w:val="single" w:color="CCCCCC" w:sz="1"/>
              <w:bottom w:val="single" w:color="CCCCCC" w:sz="1"/>
              <w:right w:val="single" w:color="CCCCCC" w:sz="1"/>
            </w:tcBorders>
            <w:shd w:fill="1B2838"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1200"/>
            <w:tcBorders>
              <w:top w:val="single" w:color="CCCCCC" w:sz="1"/>
              <w:left w:val="single" w:color="CCCCCC" w:sz="1"/>
              <w:bottom w:val="single" w:color="CCCCCC" w:sz="1"/>
              <w:right w:val="single" w:color="CCCCCC" w:sz="1"/>
            </w:tcBorders>
            <w:shd w:fill="1B2838" w:val="clear"/>
            <w:tcMar>
              <w:top w:type="dxa" w:w="80"/>
              <w:left w:type="dxa" w:w="120"/>
              <w:bottom w:type="dxa" w:w="80"/>
              <w:right w:type="dxa" w:w="120"/>
            </w:tcMar>
          </w:tcPr>
          <w:p>
            <w:r>
              <w:rPr>
                <w:rFonts w:ascii="Arial" w:cs="Arial" w:eastAsia="Arial" w:hAnsi="Arial"/>
                <w:b/>
                <w:bCs/>
                <w:color w:val="FFFFFF"/>
                <w:sz w:val="20"/>
                <w:szCs w:val="20"/>
              </w:rPr>
              <w:t xml:space="preserve">Ep 1</w:t>
            </w:r>
          </w:p>
        </w:tc>
        <w:tc>
          <w:tcPr>
            <w:tcW w:type="dxa" w:w="1200"/>
            <w:tcBorders>
              <w:top w:val="single" w:color="CCCCCC" w:sz="1"/>
              <w:left w:val="single" w:color="CCCCCC" w:sz="1"/>
              <w:bottom w:val="single" w:color="CCCCCC" w:sz="1"/>
              <w:right w:val="single" w:color="CCCCCC" w:sz="1"/>
            </w:tcBorders>
            <w:shd w:fill="1B2838" w:val="clear"/>
            <w:tcMar>
              <w:top w:type="dxa" w:w="80"/>
              <w:left w:type="dxa" w:w="120"/>
              <w:bottom w:type="dxa" w:w="80"/>
              <w:right w:type="dxa" w:w="120"/>
            </w:tcMar>
          </w:tcPr>
          <w:p>
            <w:r>
              <w:rPr>
                <w:rFonts w:ascii="Arial" w:cs="Arial" w:eastAsia="Arial" w:hAnsi="Arial"/>
                <w:b/>
                <w:bCs/>
                <w:color w:val="FFFFFF"/>
                <w:sz w:val="20"/>
                <w:szCs w:val="20"/>
              </w:rPr>
              <w:t xml:space="preserve">Ep 16</w:t>
            </w:r>
          </w:p>
        </w:tc>
        <w:tc>
          <w:tcPr>
            <w:tcW w:type="dxa" w:w="1200"/>
            <w:tcBorders>
              <w:top w:val="single" w:color="CCCCCC" w:sz="1"/>
              <w:left w:val="single" w:color="CCCCCC" w:sz="1"/>
              <w:bottom w:val="single" w:color="CCCCCC" w:sz="1"/>
              <w:right w:val="single" w:color="CCCCCC" w:sz="1"/>
            </w:tcBorders>
            <w:shd w:fill="1B2838" w:val="clear"/>
            <w:tcMar>
              <w:top w:type="dxa" w:w="80"/>
              <w:left w:type="dxa" w:w="120"/>
              <w:bottom w:type="dxa" w:w="80"/>
              <w:right w:type="dxa" w:w="120"/>
            </w:tcMar>
          </w:tcPr>
          <w:p>
            <w:r>
              <w:rPr>
                <w:rFonts w:ascii="Arial" w:cs="Arial" w:eastAsia="Arial" w:hAnsi="Arial"/>
                <w:b/>
                <w:bCs/>
                <w:color w:val="FFFFFF"/>
                <w:sz w:val="20"/>
                <w:szCs w:val="20"/>
              </w:rPr>
              <w:t xml:space="preserve">Ep 27</w:t>
            </w:r>
          </w:p>
        </w:tc>
        <w:tc>
          <w:tcPr>
            <w:tcW w:type="dxa" w:w="1200"/>
            <w:tcBorders>
              <w:top w:val="single" w:color="CCCCCC" w:sz="1"/>
              <w:left w:val="single" w:color="CCCCCC" w:sz="1"/>
              <w:bottom w:val="single" w:color="CCCCCC" w:sz="1"/>
              <w:right w:val="single" w:color="CCCCCC" w:sz="1"/>
            </w:tcBorders>
            <w:shd w:fill="1B2838" w:val="clear"/>
            <w:tcMar>
              <w:top w:type="dxa" w:w="80"/>
              <w:left w:type="dxa" w:w="120"/>
              <w:bottom w:type="dxa" w:w="80"/>
              <w:right w:type="dxa" w:w="120"/>
            </w:tcMar>
          </w:tcPr>
          <w:p>
            <w:r>
              <w:rPr>
                <w:rFonts w:ascii="Arial" w:cs="Arial" w:eastAsia="Arial" w:hAnsi="Arial"/>
                <w:b/>
                <w:bCs/>
                <w:color w:val="FFFFFF"/>
                <w:sz w:val="20"/>
                <w:szCs w:val="20"/>
              </w:rPr>
              <w:t xml:space="preserve">Ep 42</w:t>
            </w:r>
          </w:p>
        </w:tc>
        <w:tc>
          <w:tcPr>
            <w:tcW w:type="dxa" w:w="1200"/>
            <w:tcBorders>
              <w:top w:val="single" w:color="CCCCCC" w:sz="1"/>
              <w:left w:val="single" w:color="CCCCCC" w:sz="1"/>
              <w:bottom w:val="single" w:color="CCCCCC" w:sz="1"/>
              <w:right w:val="single" w:color="CCCCCC" w:sz="1"/>
            </w:tcBorders>
            <w:shd w:fill="1B2838" w:val="clear"/>
            <w:tcMar>
              <w:top w:type="dxa" w:w="80"/>
              <w:left w:type="dxa" w:w="120"/>
              <w:bottom w:type="dxa" w:w="80"/>
              <w:right w:type="dxa" w:w="120"/>
            </w:tcMar>
          </w:tcPr>
          <w:p>
            <w:r>
              <w:rPr>
                <w:rFonts w:ascii="Arial" w:cs="Arial" w:eastAsia="Arial" w:hAnsi="Arial"/>
                <w:b/>
                <w:bCs/>
                <w:color w:val="FFFFFF"/>
                <w:sz w:val="20"/>
                <w:szCs w:val="20"/>
              </w:rPr>
              <w:t xml:space="preserve">Ep 60</w:t>
            </w:r>
          </w:p>
        </w:tc>
        <w:tc>
          <w:tcPr>
            <w:tcW w:type="dxa" w:w="960"/>
            <w:tcBorders>
              <w:top w:val="single" w:color="CCCCCC" w:sz="1"/>
              <w:left w:val="single" w:color="CCCCCC" w:sz="1"/>
              <w:bottom w:val="single" w:color="CCCCCC" w:sz="1"/>
              <w:right w:val="single" w:color="CCCCCC" w:sz="1"/>
            </w:tcBorders>
            <w:shd w:fill="1B2838" w:val="clear"/>
            <w:tcMar>
              <w:top w:type="dxa" w:w="80"/>
              <w:left w:type="dxa" w:w="120"/>
              <w:bottom w:type="dxa" w:w="80"/>
              <w:right w:type="dxa" w:w="120"/>
            </w:tcMar>
          </w:tcPr>
          <w:p>
            <w:r>
              <w:rPr>
                <w:rFonts w:ascii="Arial" w:cs="Arial" w:eastAsia="Arial" w:hAnsi="Arial"/>
                <w:b/>
                <w:bCs/>
                <w:color w:val="FFFFFF"/>
                <w:sz w:val="20"/>
                <w:szCs w:val="20"/>
              </w:rPr>
              <w:t xml:space="preserve">Ep 65</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Architecture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[16,16]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[28,28]</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[52,52]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[64,64]</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[64,64]</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Parameters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458</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1,994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3,818</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8,330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13,994</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13,994</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Train Acc</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48%</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69%</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85%</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89.1%</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Eff Rank</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3.57</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8.45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22.1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29.8</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31.45</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Rep ID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1.72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3.33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8.8</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9.01</w:t>
            </w:r>
          </w:p>
        </w:tc>
      </w:tr>
    </w:tbl>
    <w:p>
      <w:pPr>
        <w:spacing w:after="200"/>
      </w:pPr>
    </w:p>
    <w:p>
      <w:pPr>
        <w:pStyle w:val="Heading2"/>
      </w:pPr>
      <w:r>
        <w:t xml:space="preserve">3.3  IT Signal Analysis</w:t>
      </w:r>
    </w:p>
    <w:p>
      <w:pPr>
        <w:spacing w:after="120"/>
      </w:pPr>
      <w:r>
        <w:rPr>
          <w:rFonts w:ascii="Arial" w:cs="Arial" w:eastAsia="Arial" w:hAnsi="Arial"/>
          <w:sz w:val="22"/>
          <w:szCs w:val="22"/>
        </w:rPr>
        <w:t xml:space="preserve">Effective rank rose from 3.57 to 31.45 (8.8×), with the largest single jump at the first growth event (3.77 → 8.45). Fisher Information trace showed the characteristic dip-then-rise neuroplasticity signature at every growth event—before growth, the trace rises steeply as all neurons strain against the capacity ceiling; immediately after, it drops sharply as new near-zero neurons reduce average gradient magnitude; then it recovers and surpasses its previous peak as new neurons specialise. I(T;Y) rose from 0.587 to 0.621 nats with accelerations following each growth event. The complexity gap (Data ID − Rep ID) closed by 47%, from 15.35 to 8.06.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5E20" w:sz="6"/>
              <w:left w:val="single" w:color="1B5E20" w:sz="6"/>
              <w:bottom w:val="single" w:color="1B5E20" w:sz="1"/>
              <w:right w:val="single" w:color="1B5E20" w:sz="1"/>
            </w:tcBorders>
            <w:shd w:fill="E8F5E9" w:val="clear"/>
            <w:tcMar>
              <w:top w:type="dxa" w:w="120"/>
              <w:left w:type="dxa" w:w="200"/>
              <w:bottom w:type="dxa" w:w="120"/>
              <w:right w:type="dxa" w:w="200"/>
            </w:tcMar>
          </w:tcPr>
          <w:p>
            <w:r>
              <w:rPr>
                <w:rFonts w:ascii="Arial" w:cs="Arial" w:eastAsia="Arial" w:hAnsi="Arial"/>
                <w:b/>
                <w:bCs/>
                <w:color w:val="1B5E20"/>
                <w:sz w:val="22"/>
                <w:szCs w:val="22"/>
              </w:rPr>
              <w:t xml:space="preserve">Experiment 1 Finding</w:t>
            </w:r>
          </w:p>
          <w:p>
            <w:pPr>
              <w:spacing w:before="60"/>
            </w:pPr>
            <w:r>
              <w:rPr>
                <w:rFonts w:ascii="Arial" w:cs="Arial" w:eastAsia="Arial" w:hAnsi="Arial"/>
                <w:sz w:val="20"/>
                <w:szCs w:val="20"/>
              </w:rPr>
              <w:t xml:space="preserve">The core neuroplasticity mechanism works. A structurally undersized network autonomously grows its architecture in response to data complexity, with every growth event producing simultaneous improvement across all four IT signals. Net2Net expansion preserves learned features (staircase accuracy pattern) and the model–data complexity gap closes measurably.</w:t>
            </w:r>
          </w:p>
        </w:tc>
      </w:tr>
    </w:tbl>
    <w:p>
      <w:pPr>
        <w:spacing w:after="200"/>
      </w:pPr>
    </w:p>
    <w:p>
      <w:r>
        <w:br w:type="page"/>
      </w:r>
    </w:p>
    <w:p>
      <w:pPr>
        <w:pStyle w:val="Heading1"/>
      </w:pPr>
      <w:r>
        <w:t xml:space="preserve">4.  Experiment 2: Scaling to ResNet-20 (272K Parameters)</w:t>
      </w:r>
    </w:p>
    <w:p>
      <w:pPr>
        <w:pStyle w:val="Heading2"/>
      </w:pPr>
      <w:r>
        <w:t xml:space="preserve">4.1  Motivation</w:t>
      </w:r>
    </w:p>
    <w:p>
      <w:pPr>
        <w:spacing w:after="120"/>
      </w:pPr>
      <w:r>
        <w:rPr>
          <w:rFonts w:ascii="Arial" w:cs="Arial" w:eastAsia="Arial" w:hAnsi="Arial"/>
          <w:sz w:val="22"/>
          <w:szCs w:val="22"/>
        </w:rPr>
        <w:t xml:space="preserve">If the growing MLP is given the same parameter budget as ResNet-20 (272,474 parameters), can it match ResNet-20’s 91.25% CIFAR-10 test accuracy? This experiment directly measures whether capacity alone—without the convolutional inductive bias—is sufficient.</w:t>
      </w:r>
    </w:p>
    <w:p>
      <w:pPr>
        <w:pStyle w:val="Heading2"/>
      </w:pPr>
      <w:r>
        <w:t xml:space="preserve">4.2  Configuration</w:t>
      </w:r>
    </w:p>
    <w:p>
      <w:pPr>
        <w:spacing w:after="120"/>
      </w:pPr>
      <w:r>
        <w:rPr>
          <w:rFonts w:ascii="Arial" w:cs="Arial" w:eastAsia="Arial" w:hAnsi="Arial"/>
          <w:sz w:val="22"/>
          <w:szCs w:val="22"/>
        </w:rPr>
        <w:t xml:space="preserve">Same growth protocol as Experiment 1, but with a 272K parameter cap and extended to 170 epochs. The growth delta was kept at +12 neurons per layer. The dataset used CIFAR-10 analog features (96-dim, 10K train / 3K test).</w:t>
      </w:r>
    </w:p>
    <w:p>
      <w:pPr>
        <w:pStyle w:val="Heading2"/>
      </w:pPr>
      <w:r>
        <w:t xml:space="preserve">4.3  Results</w:t>
      </w:r>
    </w:p>
    <w:p>
      <w:pPr>
        <w:spacing w:after="120"/>
      </w:pPr>
      <w:r>
        <w:rPr>
          <w:rFonts w:ascii="Arial" w:cs="Arial" w:eastAsia="Arial" w:hAnsi="Arial"/>
          <w:sz w:val="22"/>
          <w:szCs w:val="22"/>
        </w:rPr>
        <w:t xml:space="preserve">Ten width growth events fired, taking the architecture from MLP[96, 4, 4, 10] to MLP[96, 324, 324, 10] (139,978 parameters, 51% of the ResNet-20 budget). The model consumed only half its parameter budget because the growth controller stopped triggering—training accuracy reached ~99% while test accuracy locked at 76.3%.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c>
          <w:tcPr>
            <w:tcW w:type="dxa" w:w="2400"/>
            <w:tcBorders>
              <w:top w:val="single" w:color="CCCCCC" w:sz="1"/>
              <w:left w:val="single" w:color="CCCCCC" w:sz="1"/>
              <w:bottom w:val="single" w:color="CCCCCC" w:sz="1"/>
              <w:right w:val="single" w:color="CCCCCC" w:sz="1"/>
            </w:tcBorders>
            <w:shd w:fill="1B2838"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320"/>
            <w:tcBorders>
              <w:top w:val="single" w:color="CCCCCC" w:sz="1"/>
              <w:left w:val="single" w:color="CCCCCC" w:sz="1"/>
              <w:bottom w:val="single" w:color="CCCCCC" w:sz="1"/>
              <w:right w:val="single" w:color="CCCCCC" w:sz="1"/>
            </w:tcBorders>
            <w:shd w:fill="1B2838" w:val="clear"/>
            <w:tcMar>
              <w:top w:type="dxa" w:w="80"/>
              <w:left w:type="dxa" w:w="120"/>
              <w:bottom w:type="dxa" w:w="80"/>
              <w:right w:type="dxa" w:w="120"/>
            </w:tcMar>
          </w:tcPr>
          <w:p>
            <w:r>
              <w:rPr>
                <w:rFonts w:ascii="Arial" w:cs="Arial" w:eastAsia="Arial" w:hAnsi="Arial"/>
                <w:b/>
                <w:bCs/>
                <w:color w:val="FFFFFF"/>
                <w:sz w:val="20"/>
                <w:szCs w:val="20"/>
              </w:rPr>
              <w:t xml:space="preserve">Start</w:t>
            </w:r>
          </w:p>
        </w:tc>
        <w:tc>
          <w:tcPr>
            <w:tcW w:type="dxa" w:w="2320"/>
            <w:tcBorders>
              <w:top w:val="single" w:color="CCCCCC" w:sz="1"/>
              <w:left w:val="single" w:color="CCCCCC" w:sz="1"/>
              <w:bottom w:val="single" w:color="CCCCCC" w:sz="1"/>
              <w:right w:val="single" w:color="CCCCCC" w:sz="1"/>
            </w:tcBorders>
            <w:shd w:fill="1B2838" w:val="clear"/>
            <w:tcMar>
              <w:top w:type="dxa" w:w="80"/>
              <w:left w:type="dxa" w:w="120"/>
              <w:bottom w:type="dxa" w:w="80"/>
              <w:right w:type="dxa" w:w="120"/>
            </w:tcMar>
          </w:tcPr>
          <w:p>
            <w:r>
              <w:rPr>
                <w:rFonts w:ascii="Arial" w:cs="Arial" w:eastAsia="Arial" w:hAnsi="Arial"/>
                <w:b/>
                <w:bCs/>
                <w:color w:val="FFFFFF"/>
                <w:sz w:val="20"/>
                <w:szCs w:val="20"/>
              </w:rPr>
              <w:t xml:space="preserve">End (Ep 170)</w:t>
            </w:r>
          </w:p>
        </w:tc>
        <w:tc>
          <w:tcPr>
            <w:tcW w:type="dxa" w:w="2320"/>
            <w:tcBorders>
              <w:top w:val="single" w:color="CCCCCC" w:sz="1"/>
              <w:left w:val="single" w:color="CCCCCC" w:sz="1"/>
              <w:bottom w:val="single" w:color="CCCCCC" w:sz="1"/>
              <w:right w:val="single" w:color="CCCCCC" w:sz="1"/>
            </w:tcBorders>
            <w:shd w:fill="1B2838" w:val="clear"/>
            <w:tcMar>
              <w:top w:type="dxa" w:w="80"/>
              <w:left w:type="dxa" w:w="120"/>
              <w:bottom w:type="dxa" w:w="80"/>
              <w:right w:type="dxa" w:w="120"/>
            </w:tcMar>
          </w:tcPr>
          <w:p>
            <w:r>
              <w:rPr>
                <w:rFonts w:ascii="Arial" w:cs="Arial" w:eastAsia="Arial" w:hAnsi="Arial"/>
                <w:b/>
                <w:bCs/>
                <w:color w:val="FFFFFF"/>
                <w:sz w:val="20"/>
                <w:szCs w:val="20"/>
              </w:rPr>
              <w:t xml:space="preserve">Change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Architecture</w:t>
            </w:r>
          </w:p>
        </w:tc>
        <w:tc>
          <w:tcPr>
            <w:tcW w:type="dxa" w:w="2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MLP[96,4,4,10]</w:t>
            </w:r>
          </w:p>
        </w:tc>
        <w:tc>
          <w:tcPr>
            <w:tcW w:type="dxa" w:w="2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MLP[96,324,324,10]</w:t>
            </w:r>
          </w:p>
        </w:tc>
        <w:tc>
          <w:tcPr>
            <w:tcW w:type="dxa" w:w="2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Parameters</w:t>
            </w:r>
          </w:p>
        </w:tc>
        <w:tc>
          <w:tcPr>
            <w:tcW w:type="dxa" w:w="2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458</w:t>
            </w:r>
          </w:p>
        </w:tc>
        <w:tc>
          <w:tcPr>
            <w:tcW w:type="dxa" w:w="2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139,978</w:t>
            </w:r>
          </w:p>
        </w:tc>
        <w:tc>
          <w:tcPr>
            <w:tcW w:type="dxa" w:w="2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306×</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Test Accuracy</w:t>
            </w:r>
          </w:p>
        </w:tc>
        <w:tc>
          <w:tcPr>
            <w:tcW w:type="dxa" w:w="2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15.8%</w:t>
            </w:r>
          </w:p>
        </w:tc>
        <w:tc>
          <w:tcPr>
            <w:tcW w:type="dxa" w:w="2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76.3%</w:t>
            </w:r>
          </w:p>
        </w:tc>
        <w:tc>
          <w:tcPr>
            <w:tcW w:type="dxa" w:w="2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+60.5 pp</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Eff Rank</w:t>
            </w:r>
          </w:p>
        </w:tc>
        <w:tc>
          <w:tcPr>
            <w:tcW w:type="dxa" w:w="2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3.57</w:t>
            </w:r>
          </w:p>
        </w:tc>
        <w:tc>
          <w:tcPr>
            <w:tcW w:type="dxa" w:w="2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31.45</w:t>
            </w:r>
          </w:p>
        </w:tc>
        <w:tc>
          <w:tcPr>
            <w:tcW w:type="dxa" w:w="2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8.8×</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Rep ID Gap</w:t>
            </w:r>
          </w:p>
        </w:tc>
        <w:tc>
          <w:tcPr>
            <w:tcW w:type="dxa" w:w="2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15.35</w:t>
            </w:r>
          </w:p>
        </w:tc>
        <w:tc>
          <w:tcPr>
            <w:tcW w:type="dxa" w:w="2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8.06 (47% closed)</w:t>
            </w:r>
          </w:p>
        </w:tc>
        <w:tc>
          <w:tcPr>
            <w:tcW w:type="dxa" w:w="2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−47%</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6"/>
              <w:left w:val="single" w:color="E65100" w:sz="6"/>
              <w:bottom w:val="single" w:color="E65100" w:sz="1"/>
              <w:right w:val="single" w:color="E65100" w:sz="1"/>
            </w:tcBorders>
            <w:shd w:fill="FFF3E0" w:val="clear"/>
            <w:tcMar>
              <w:top w:type="dxa" w:w="120"/>
              <w:left w:type="dxa" w:w="200"/>
              <w:bottom w:type="dxa" w:w="120"/>
              <w:right w:type="dxa" w:w="200"/>
            </w:tcMar>
          </w:tcPr>
          <w:p>
            <w:r>
              <w:rPr>
                <w:rFonts w:ascii="Arial" w:cs="Arial" w:eastAsia="Arial" w:hAnsi="Arial"/>
                <w:b/>
                <w:bCs/>
                <w:color w:val="E65100"/>
                <w:sz w:val="22"/>
                <w:szCs w:val="22"/>
              </w:rPr>
              <w:t xml:space="preserve">Experiment 2 Finding</w:t>
            </w:r>
          </w:p>
          <w:p>
            <w:pPr>
              <w:spacing w:before="60"/>
            </w:pPr>
            <w:r>
              <w:rPr>
                <w:rFonts w:ascii="Arial" w:cs="Arial" w:eastAsia="Arial" w:hAnsi="Arial"/>
                <w:sz w:val="20"/>
                <w:szCs w:val="20"/>
              </w:rPr>
              <w:t xml:space="preserve">The model hit a test accuracy ceiling at ~76% that held firm from 95K to 140K parameters. IT signals (Rep ID, Effective Rank) continued rising after accuracy plateaued, confirming richer representations that fail to generalise. The 15.5 pp gap vs ResNet-20 is the first direct empirical measurement of the convolutional inductive bias.</w:t>
            </w:r>
          </w:p>
        </w:tc>
      </w:tr>
    </w:tbl>
    <w:p>
      <w:pPr>
        <w:spacing w:after="200"/>
      </w:pPr>
    </w:p>
    <w:p>
      <w:r>
        <w:br w:type="page"/>
      </w:r>
    </w:p>
    <w:p>
      <w:pPr>
        <w:pStyle w:val="Heading1"/>
      </w:pPr>
      <w:r>
        <w:t xml:space="preserve">5.  Experiment 3: Scaling to airbench95 (322K Parameters)</w:t>
      </w:r>
    </w:p>
    <w:p>
      <w:pPr>
        <w:pStyle w:val="Heading2"/>
      </w:pPr>
      <w:r>
        <w:t xml:space="preserve">5.1  Motivation</w:t>
      </w:r>
    </w:p>
    <w:p>
      <w:pPr>
        <w:spacing w:after="120"/>
      </w:pPr>
      <w:r>
        <w:rPr>
          <w:rFonts w:ascii="Arial" w:cs="Arial" w:eastAsia="Arial" w:hAnsi="Arial"/>
          <w:sz w:val="22"/>
          <w:szCs w:val="22"/>
        </w:rPr>
        <w:t xml:space="preserve">Push the MLP to the scale of the 2024 CIFAR-10 state-of-the-art: airbench95 (Brukhim &amp; Hazan 2024), which achieves 95.01% in 10.4 seconds on an NVIDIA A100. This tests whether the Experiment 2 ceiling is a capacity limitation or an architectural one.</w:t>
      </w:r>
    </w:p>
    <w:p>
      <w:pPr>
        <w:pStyle w:val="Heading2"/>
      </w:pPr>
      <w:r>
        <w:t xml:space="preserve">5.2  Results</w:t>
      </w:r>
    </w:p>
    <w:p>
      <w:pPr>
        <w:spacing w:after="120"/>
      </w:pPr>
      <w:r>
        <w:rPr>
          <w:rFonts w:ascii="Arial" w:cs="Arial" w:eastAsia="Arial" w:hAnsi="Arial"/>
          <w:sz w:val="22"/>
          <w:szCs w:val="22"/>
        </w:rPr>
        <w:t xml:space="preserve">Eight growth events over 140 epochs grew the model from 458 to 321,994 parameters. The model achieved 100% training accuracy but test accuracy locked at 75–77%—identical to Experiment 2 despite 2.3× more parameters. This was the definitive result: the ceiling is architectural, not parametric.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120"/>
        <w:gridCol w:w="2120"/>
      </w:tblGrid>
      <w:tr>
        <w:tc>
          <w:tcPr>
            <w:tcW w:type="dxa" w:w="3000"/>
            <w:tcBorders>
              <w:top w:val="single" w:color="CCCCCC" w:sz="1"/>
              <w:left w:val="single" w:color="CCCCCC" w:sz="1"/>
              <w:bottom w:val="single" w:color="CCCCCC" w:sz="1"/>
              <w:right w:val="single" w:color="CCCCCC" w:sz="1"/>
            </w:tcBorders>
            <w:shd w:fill="1B2838"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2120"/>
            <w:tcBorders>
              <w:top w:val="single" w:color="CCCCCC" w:sz="1"/>
              <w:left w:val="single" w:color="CCCCCC" w:sz="1"/>
              <w:bottom w:val="single" w:color="CCCCCC" w:sz="1"/>
              <w:right w:val="single" w:color="CCCCCC" w:sz="1"/>
            </w:tcBorders>
            <w:shd w:fill="1B2838" w:val="clear"/>
            <w:tcMar>
              <w:top w:type="dxa" w:w="80"/>
              <w:left w:type="dxa" w:w="120"/>
              <w:bottom w:type="dxa" w:w="80"/>
              <w:right w:type="dxa" w:w="120"/>
            </w:tcMar>
          </w:tcPr>
          <w:p>
            <w:r>
              <w:rPr>
                <w:rFonts w:ascii="Arial" w:cs="Arial" w:eastAsia="Arial" w:hAnsi="Arial"/>
                <w:b/>
                <w:bCs/>
                <w:color w:val="FFFFFF"/>
                <w:sz w:val="20"/>
                <w:szCs w:val="20"/>
              </w:rPr>
              <w:t xml:space="preserve">Params</w:t>
            </w:r>
          </w:p>
        </w:tc>
        <w:tc>
          <w:tcPr>
            <w:tcW w:type="dxa" w:w="2120"/>
            <w:tcBorders>
              <w:top w:val="single" w:color="CCCCCC" w:sz="1"/>
              <w:left w:val="single" w:color="CCCCCC" w:sz="1"/>
              <w:bottom w:val="single" w:color="CCCCCC" w:sz="1"/>
              <w:right w:val="single" w:color="CCCCCC" w:sz="1"/>
            </w:tcBorders>
            <w:shd w:fill="1B2838" w:val="clear"/>
            <w:tcMar>
              <w:top w:type="dxa" w:w="80"/>
              <w:left w:type="dxa" w:w="120"/>
              <w:bottom w:type="dxa" w:w="80"/>
              <w:right w:type="dxa" w:w="120"/>
            </w:tcMar>
          </w:tcPr>
          <w:p>
            <w:r>
              <w:rPr>
                <w:rFonts w:ascii="Arial" w:cs="Arial" w:eastAsia="Arial" w:hAnsi="Arial"/>
                <w:b/>
                <w:bCs/>
                <w:color w:val="FFFFFF"/>
                <w:sz w:val="20"/>
                <w:szCs w:val="20"/>
              </w:rPr>
              <w:t xml:space="preserve">Test Acc</w:t>
            </w:r>
          </w:p>
        </w:tc>
        <w:tc>
          <w:tcPr>
            <w:tcW w:type="dxa" w:w="2120"/>
            <w:tcBorders>
              <w:top w:val="single" w:color="CCCCCC" w:sz="1"/>
              <w:left w:val="single" w:color="CCCCCC" w:sz="1"/>
              <w:bottom w:val="single" w:color="CCCCCC" w:sz="1"/>
              <w:right w:val="single" w:color="CCCCCC" w:sz="1"/>
            </w:tcBorders>
            <w:shd w:fill="1B2838" w:val="clear"/>
            <w:tcMar>
              <w:top w:type="dxa" w:w="80"/>
              <w:left w:type="dxa" w:w="120"/>
              <w:bottom w:type="dxa" w:w="80"/>
              <w:right w:type="dxa" w:w="120"/>
            </w:tcMar>
          </w:tcPr>
          <w:p>
            <w:r>
              <w:rPr>
                <w:rFonts w:ascii="Arial" w:cs="Arial" w:eastAsia="Arial" w:hAnsi="Arial"/>
                <w:b/>
                <w:bCs/>
                <w:color w:val="FFFFFF"/>
                <w:sz w:val="20"/>
                <w:szCs w:val="20"/>
              </w:rPr>
              <w:t xml:space="preserve">Gap to SotA</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Our MLP (final)</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321,994</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75–77%</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−19.2 pp</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ResNet-20</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272,474</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91.25%</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−3.8 pp</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airbench95</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~7,000,000</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95.01%</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 (ref)</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WRN-28-10</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36,500,000</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96.09%</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 pp</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1C1C" w:sz="6"/>
              <w:left w:val="single" w:color="B71C1C" w:sz="6"/>
              <w:bottom w:val="single" w:color="B71C1C" w:sz="1"/>
              <w:right w:val="single" w:color="B71C1C" w:sz="1"/>
            </w:tcBorders>
            <w:shd w:fill="FCE4EC" w:val="clear"/>
            <w:tcMar>
              <w:top w:type="dxa" w:w="120"/>
              <w:left w:type="dxa" w:w="200"/>
              <w:bottom w:type="dxa" w:w="120"/>
              <w:right w:type="dxa" w:w="200"/>
            </w:tcMar>
          </w:tcPr>
          <w:p>
            <w:r>
              <w:rPr>
                <w:rFonts w:ascii="Arial" w:cs="Arial" w:eastAsia="Arial" w:hAnsi="Arial"/>
                <w:b/>
                <w:bCs/>
                <w:color w:val="B71C1C"/>
                <w:sz w:val="22"/>
                <w:szCs w:val="22"/>
              </w:rPr>
              <w:t xml:space="preserve">Experiment 3 Finding</w:t>
            </w:r>
          </w:p>
          <w:p>
            <w:pPr>
              <w:spacing w:before="60"/>
            </w:pPr>
            <w:r>
              <w:rPr>
                <w:rFonts w:ascii="Arial" w:cs="Arial" w:eastAsia="Arial" w:hAnsi="Arial"/>
                <w:sz w:val="20"/>
                <w:szCs w:val="20"/>
              </w:rPr>
              <w:t xml:space="preserve">Growing the MLP from 140K to 322K parameters produced zero additional test accuracy. Effective rank kept rising (3.57 → 41.7), I(T;Y) kept climbing, and the complexity gap kept closing—yet generalisation stayed flat. This decoupling of representational growth from accuracy gain is the direct signature of the missing convolutional inductive bias: the MLP learns statistically richer features, but they are the wrong type of feature for spatial image classification.</w:t>
            </w:r>
          </w:p>
        </w:tc>
      </w:tr>
    </w:tbl>
    <w:p>
      <w:pPr>
        <w:spacing w:after="200"/>
      </w:pPr>
    </w:p>
    <w:p>
      <w:r>
        <w:br w:type="page"/>
      </w:r>
    </w:p>
    <w:p>
      <w:pPr>
        <w:pStyle w:val="Heading1"/>
      </w:pPr>
      <w:r>
        <w:t xml:space="preserve">6.  Experiment 4: Skip Connections + Dataset-Informed Init (v1)</w:t>
      </w:r>
    </w:p>
    <w:p>
      <w:pPr>
        <w:pStyle w:val="Heading2"/>
      </w:pPr>
      <w:r>
        <w:t xml:space="preserve">6.1  Motivation</w:t>
      </w:r>
    </w:p>
    <w:p>
      <w:pPr>
        <w:spacing w:after="120"/>
      </w:pPr>
      <w:r>
        <w:rPr>
          <w:rFonts w:ascii="Arial" w:cs="Arial" w:eastAsia="Arial" w:hAnsi="Arial"/>
          <w:sz w:val="22"/>
          <w:szCs w:val="22"/>
        </w:rPr>
        <w:t xml:space="preserve">Experiments 2–3 identified the convolutional inductive bias as the accuracy ceiling. Experiment 4 tested two complementary approaches to close it without adding convolutions: residual skip connections (to improve gradient flow and feature reuse) and dataset-informed initialisation (to eliminate the cold-start disadvantage).</w:t>
      </w:r>
    </w:p>
    <w:p>
      <w:pPr>
        <w:pStyle w:val="Heading2"/>
      </w:pPr>
      <w:r>
        <w:t xml:space="preserve">6.2  Architecture</w:t>
      </w:r>
    </w:p>
    <w:p>
      <w:pPr>
        <w:spacing w:after="120"/>
      </w:pPr>
      <w:r>
        <w:rPr>
          <w:rFonts w:ascii="Arial" w:cs="Arial" w:eastAsia="Arial" w:hAnsi="Arial"/>
          <w:sz w:val="22"/>
          <w:szCs w:val="22"/>
        </w:rPr>
        <w:t xml:space="preserve">The MLP was restructured as a SkipMLP: Input(96) → W_in → [ResBlock × 3] → W_out → 10. Each ResBlock computes x → ReLU(W₂ · ReLU(W₁ · x + b₁) + b₂) + x, with W₂ initialised near-zero (FixUp style, Zhang et al. 2019) so each new block starts as a pass-through. Final architecture: SkipMLP[h=196, 3 ResBlocks, 252,654 params] (92.7% of ResNet-20).</w:t>
      </w:r>
    </w:p>
    <w:p>
      <w:pPr>
        <w:pStyle w:val="Heading2"/>
      </w:pPr>
      <w:r>
        <w:t xml:space="preserve">6.3  Initialisation</w:t>
      </w:r>
    </w:p>
    <w:p>
      <w:pPr>
        <w:spacing w:after="120"/>
      </w:pPr>
      <w:r>
        <w:rPr>
          <w:rFonts w:ascii="Arial" w:cs="Arial" w:eastAsia="Arial" w:hAnsi="Arial"/>
          <w:sz w:val="22"/>
          <w:szCs w:val="22"/>
        </w:rPr>
        <w:t xml:space="preserve">Three-component pipeline: (1) PCsInit for the first layer with top-h left singular vectors of X_train; (2) A teacher MLP[96,32,32,10] trained with L2=5×10⁻³ to 73.1% test accuracy, its class-discriminative directions injected via SVD blending; (3) LSUV calibration after each growth event.</w:t>
      </w:r>
    </w:p>
    <w:p>
      <w:pPr>
        <w:pStyle w:val="Heading2"/>
      </w:pPr>
      <w:r>
        <w:t xml:space="preserve">6.4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40"/>
        <w:gridCol w:w="1740"/>
        <w:gridCol w:w="1740"/>
        <w:gridCol w:w="1740"/>
      </w:tblGrid>
      <w:tr>
        <w:tc>
          <w:tcPr>
            <w:tcW w:type="dxa" w:w="2400"/>
            <w:tcBorders>
              <w:top w:val="single" w:color="CCCCCC" w:sz="1"/>
              <w:left w:val="single" w:color="CCCCCC" w:sz="1"/>
              <w:bottom w:val="single" w:color="CCCCCC" w:sz="1"/>
              <w:right w:val="single" w:color="CCCCCC" w:sz="1"/>
            </w:tcBorders>
            <w:shd w:fill="1B2838"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1740"/>
            <w:tcBorders>
              <w:top w:val="single" w:color="CCCCCC" w:sz="1"/>
              <w:left w:val="single" w:color="CCCCCC" w:sz="1"/>
              <w:bottom w:val="single" w:color="CCCCCC" w:sz="1"/>
              <w:right w:val="single" w:color="CCCCCC" w:sz="1"/>
            </w:tcBorders>
            <w:shd w:fill="1B2838" w:val="clear"/>
            <w:tcMar>
              <w:top w:type="dxa" w:w="80"/>
              <w:left w:type="dxa" w:w="120"/>
              <w:bottom w:type="dxa" w:w="80"/>
              <w:right w:type="dxa" w:w="120"/>
            </w:tcMar>
          </w:tcPr>
          <w:p>
            <w:r>
              <w:rPr>
                <w:rFonts w:ascii="Arial" w:cs="Arial" w:eastAsia="Arial" w:hAnsi="Arial"/>
                <w:b/>
                <w:bCs/>
                <w:color w:val="FFFFFF"/>
                <w:sz w:val="20"/>
                <w:szCs w:val="20"/>
              </w:rPr>
              <w:t xml:space="preserve">Ep 1</w:t>
            </w:r>
          </w:p>
        </w:tc>
        <w:tc>
          <w:tcPr>
            <w:tcW w:type="dxa" w:w="1740"/>
            <w:tcBorders>
              <w:top w:val="single" w:color="CCCCCC" w:sz="1"/>
              <w:left w:val="single" w:color="CCCCCC" w:sz="1"/>
              <w:bottom w:val="single" w:color="CCCCCC" w:sz="1"/>
              <w:right w:val="single" w:color="CCCCCC" w:sz="1"/>
            </w:tcBorders>
            <w:shd w:fill="1B2838" w:val="clear"/>
            <w:tcMar>
              <w:top w:type="dxa" w:w="80"/>
              <w:left w:type="dxa" w:w="120"/>
              <w:bottom w:type="dxa" w:w="80"/>
              <w:right w:type="dxa" w:w="120"/>
            </w:tcMar>
          </w:tcPr>
          <w:p>
            <w:r>
              <w:rPr>
                <w:rFonts w:ascii="Arial" w:cs="Arial" w:eastAsia="Arial" w:hAnsi="Arial"/>
                <w:b/>
                <w:bCs/>
                <w:color w:val="FFFFFF"/>
                <w:sz w:val="20"/>
                <w:szCs w:val="20"/>
              </w:rPr>
              <w:t xml:space="preserve">Final</w:t>
            </w:r>
          </w:p>
        </w:tc>
        <w:tc>
          <w:tcPr>
            <w:tcW w:type="dxa" w:w="1740"/>
            <w:tcBorders>
              <w:top w:val="single" w:color="CCCCCC" w:sz="1"/>
              <w:left w:val="single" w:color="CCCCCC" w:sz="1"/>
              <w:bottom w:val="single" w:color="CCCCCC" w:sz="1"/>
              <w:right w:val="single" w:color="CCCCCC" w:sz="1"/>
            </w:tcBorders>
            <w:shd w:fill="1B2838" w:val="clear"/>
            <w:tcMar>
              <w:top w:type="dxa" w:w="80"/>
              <w:left w:type="dxa" w:w="120"/>
              <w:bottom w:type="dxa" w:w="80"/>
              <w:right w:type="dxa" w:w="120"/>
            </w:tcMar>
          </w:tcPr>
          <w:p>
            <w:r>
              <w:rPr>
                <w:rFonts w:ascii="Arial" w:cs="Arial" w:eastAsia="Arial" w:hAnsi="Arial"/>
                <w:b/>
                <w:bCs/>
                <w:color w:val="FFFFFF"/>
                <w:sz w:val="20"/>
                <w:szCs w:val="20"/>
              </w:rPr>
              <w:t xml:space="preserve">vs Plain</w:t>
            </w:r>
          </w:p>
        </w:tc>
        <w:tc>
          <w:tcPr>
            <w:tcW w:type="dxa" w:w="1740"/>
            <w:tcBorders>
              <w:top w:val="single" w:color="CCCCCC" w:sz="1"/>
              <w:left w:val="single" w:color="CCCCCC" w:sz="1"/>
              <w:bottom w:val="single" w:color="CCCCCC" w:sz="1"/>
              <w:right w:val="single" w:color="CCCCCC" w:sz="1"/>
            </w:tcBorders>
            <w:shd w:fill="1B2838" w:val="clear"/>
            <w:tcMar>
              <w:top w:type="dxa" w:w="80"/>
              <w:left w:type="dxa" w:w="120"/>
              <w:bottom w:type="dxa" w:w="80"/>
              <w:right w:type="dxa" w:w="120"/>
            </w:tcMar>
          </w:tcPr>
          <w:p>
            <w:r>
              <w:rPr>
                <w:rFonts w:ascii="Arial" w:cs="Arial" w:eastAsia="Arial" w:hAnsi="Arial"/>
                <w:b/>
                <w:bCs/>
                <w:color w:val="FFFFFF"/>
                <w:sz w:val="20"/>
                <w:szCs w:val="20"/>
              </w:rPr>
              <w:t xml:space="preserve">vs ResNet-20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Test Accuracy</w:t>
            </w:r>
          </w:p>
        </w:tc>
        <w:tc>
          <w:tcPr>
            <w:tcW w:type="dxa" w:w="17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30.3%</w:t>
            </w:r>
          </w:p>
        </w:tc>
        <w:tc>
          <w:tcPr>
            <w:tcW w:type="dxa" w:w="17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74.4%</w:t>
            </w:r>
          </w:p>
        </w:tc>
        <w:tc>
          <w:tcPr>
            <w:tcW w:type="dxa" w:w="17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−2.6 pp</w:t>
            </w:r>
          </w:p>
        </w:tc>
        <w:tc>
          <w:tcPr>
            <w:tcW w:type="dxa" w:w="17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−16.9 pp</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Train Accuracy</w:t>
            </w:r>
          </w:p>
        </w:tc>
        <w:tc>
          <w:tcPr>
            <w:tcW w:type="dxa" w:w="17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36.6%</w:t>
            </w:r>
          </w:p>
        </w:tc>
        <w:tc>
          <w:tcPr>
            <w:tcW w:type="dxa" w:w="17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w:t>
            </w:r>
          </w:p>
        </w:tc>
        <w:tc>
          <w:tcPr>
            <w:tcW w:type="dxa" w:w="17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7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Parameters</w:t>
            </w:r>
          </w:p>
        </w:tc>
        <w:tc>
          <w:tcPr>
            <w:tcW w:type="dxa" w:w="17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558</w:t>
            </w:r>
          </w:p>
        </w:tc>
        <w:tc>
          <w:tcPr>
            <w:tcW w:type="dxa" w:w="17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252,654</w:t>
            </w:r>
          </w:p>
        </w:tc>
        <w:tc>
          <w:tcPr>
            <w:tcW w:type="dxa" w:w="17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~92%</w:t>
            </w:r>
          </w:p>
        </w:tc>
        <w:tc>
          <w:tcPr>
            <w:tcW w:type="dxa" w:w="17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92.7%</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Eff Rank</w:t>
            </w:r>
          </w:p>
        </w:tc>
        <w:tc>
          <w:tcPr>
            <w:tcW w:type="dxa" w:w="17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3.34</w:t>
            </w:r>
          </w:p>
        </w:tc>
        <w:tc>
          <w:tcPr>
            <w:tcW w:type="dxa" w:w="17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25.76</w:t>
            </w:r>
          </w:p>
        </w:tc>
        <w:tc>
          <w:tcPr>
            <w:tcW w:type="dxa" w:w="17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w:t>
            </w:r>
          </w:p>
        </w:tc>
        <w:tc>
          <w:tcPr>
            <w:tcW w:type="dxa" w:w="17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Init Advantage</w:t>
            </w:r>
          </w:p>
        </w:tc>
        <w:tc>
          <w:tcPr>
            <w:tcW w:type="dxa" w:w="17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+14.5 pp</w:t>
            </w:r>
          </w:p>
        </w:tc>
        <w:tc>
          <w:tcPr>
            <w:tcW w:type="dxa" w:w="17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7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vs cold start</w:t>
            </w:r>
          </w:p>
        </w:tc>
        <w:tc>
          <w:tcPr>
            <w:tcW w:type="dxa" w:w="17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r>
    </w:tbl>
    <w:p>
      <w:pPr>
        <w:spacing w:after="200"/>
      </w:pPr>
    </w:p>
    <w:p>
      <w:pPr>
        <w:spacing w:after="120"/>
      </w:pPr>
      <w:r>
        <w:rPr>
          <w:rFonts w:ascii="Arial" w:cs="Arial" w:eastAsia="Arial" w:hAnsi="Arial"/>
          <w:sz w:val="22"/>
          <w:szCs w:val="22"/>
        </w:rPr>
        <w:t xml:space="preserve">Two findings stood out. First, dataset-informed initialisation delivered a +14.5 percentage-point cold-start advantage (30.3% at epoch 1 vs 15.8% baseline). Second, skip connections produced no accuracy gain—the SkipMLP peaked at 74.4%, slightly below the plain MLP’s 76–77%.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47A1" w:sz="6"/>
              <w:left w:val="single" w:color="0D47A1" w:sz="6"/>
              <w:bottom w:val="single" w:color="0D47A1" w:sz="1"/>
              <w:right w:val="single" w:color="0D47A1" w:sz="1"/>
            </w:tcBorders>
            <w:shd w:fill="E3F2FD" w:val="clear"/>
            <w:tcMar>
              <w:top w:type="dxa" w:w="120"/>
              <w:left w:type="dxa" w:w="200"/>
              <w:bottom w:type="dxa" w:w="120"/>
              <w:right w:type="dxa" w:w="200"/>
            </w:tcMar>
          </w:tcPr>
          <w:p>
            <w:r>
              <w:rPr>
                <w:rFonts w:ascii="Arial" w:cs="Arial" w:eastAsia="Arial" w:hAnsi="Arial"/>
                <w:b/>
                <w:bCs/>
                <w:color w:val="0D47A1"/>
                <w:sz w:val="22"/>
                <w:szCs w:val="22"/>
              </w:rPr>
              <w:t xml:space="preserve">Experiment 4 Finding</w:t>
            </w:r>
          </w:p>
          <w:p>
            <w:pPr>
              <w:spacing w:before="60"/>
            </w:pPr>
            <w:r>
              <w:rPr>
                <w:rFonts w:ascii="Arial" w:cs="Arial" w:eastAsia="Arial" w:hAnsi="Arial"/>
                <w:sz w:val="20"/>
                <w:szCs w:val="20"/>
              </w:rPr>
              <w:t xml:space="preserve">Skip connections did not help at this depth (8 effective layers). ResNet-style skip connections are most valuable in deep networks (20+ layers) where vanishing gradients are genuine. At shallow depth, plain backprop has no gradient problem and skip connections add noise rather than stability. The FixUp near-zero W₂ initialisation creates additional warm-up cost. PCsInit’s +14.5 pp cold-start advantage confirms the value of data-informed weight initialisation.</w:t>
            </w:r>
          </w:p>
        </w:tc>
      </w:tr>
    </w:tbl>
    <w:p>
      <w:pPr>
        <w:spacing w:after="200"/>
      </w:pPr>
    </w:p>
    <w:p>
      <w:r>
        <w:br w:type="page"/>
      </w:r>
    </w:p>
    <w:p>
      <w:pPr>
        <w:pStyle w:val="Heading1"/>
      </w:pPr>
      <w:r>
        <w:t xml:space="preserve">7.  Experiment 5: Skip-MLP with Verified Gradients (v2)</w:t>
      </w:r>
    </w:p>
    <w:p>
      <w:pPr>
        <w:pStyle w:val="Heading2"/>
      </w:pPr>
      <w:r>
        <w:t xml:space="preserve">7.1  Motivation</w:t>
      </w:r>
    </w:p>
    <w:p>
      <w:pPr>
        <w:spacing w:after="120"/>
      </w:pPr>
      <w:r>
        <w:rPr>
          <w:rFonts w:ascii="Arial" w:cs="Arial" w:eastAsia="Arial" w:hAnsi="Arial"/>
          <w:sz w:val="22"/>
          <w:szCs w:val="22"/>
        </w:rPr>
        <w:t xml:space="preserve">Experiment 4’s SkipMLP used an approximate backward pass. Experiment 5 rewrites the SkipMLP from scratch with a fully analytical backward pass, verified by numerical gradient checking (relative error 4.49×10⁻¹¹). It also uses a balanced dataset (1,200 samples per class, 12,000 total) and a wider reference model (48 hidden neurons).</w:t>
      </w:r>
    </w:p>
    <w:p>
      <w:pPr>
        <w:pStyle w:val="Heading2"/>
      </w:pPr>
      <w:r>
        <w:t xml:space="preserve">7.2  Configuration</w:t>
      </w:r>
    </w:p>
    <w:p>
      <w:pPr>
        <w:spacing w:after="120"/>
      </w:pPr>
      <w:r>
        <w:rPr>
          <w:rFonts w:ascii="Arial" w:cs="Arial" w:eastAsia="Arial" w:hAnsi="Arial"/>
          <w:sz w:val="22"/>
          <w:szCs w:val="22"/>
        </w:rPr>
        <w:t xml:space="preserve">Architecture: SkipMLP(d_in=96, width=16, n_blocks=2, d_out=10) starting at 2,810 parameters. Dataset: 12,000 train / 4,000 test, balanced 10-class. Training: 90 epochs, batch size 256, initial LR 5×10⁻³ with 5% decay per growth event. Growth: +16 neurons per width event, 280K parameter cap. Dataset-informed init with PCsInit + 48-wide teacher + LSUV.</w:t>
      </w:r>
    </w:p>
    <w:p>
      <w:pPr>
        <w:pStyle w:val="Heading2"/>
      </w:pPr>
      <w:r>
        <w:t xml:space="preserve">7.3  Results</w:t>
      </w:r>
    </w:p>
    <w:p>
      <w:pPr>
        <w:spacing w:after="120"/>
      </w:pPr>
      <w:r>
        <w:rPr>
          <w:rFonts w:ascii="Arial" w:cs="Arial" w:eastAsia="Arial" w:hAnsi="Arial"/>
          <w:sz w:val="22"/>
          <w:szCs w:val="22"/>
        </w:rPr>
        <w:t xml:space="preserve">Eight growth events (6 width + 2 depth) grew the model from 2,810 to 113,242 parameters over 90 epochs. The architecture evolved from width-16/2-blocks to width-112/4-blocks.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1600"/>
        <w:gridCol w:w="1200"/>
        <w:gridCol w:w="1000"/>
        <w:gridCol w:w="1000"/>
        <w:gridCol w:w="1200"/>
        <w:gridCol w:w="1360"/>
      </w:tblGrid>
      <w:tr>
        <w:tc>
          <w:tcPr>
            <w:tcW w:type="dxa" w:w="1000"/>
            <w:tcBorders>
              <w:top w:val="single" w:color="CCCCCC" w:sz="1"/>
              <w:left w:val="single" w:color="CCCCCC" w:sz="1"/>
              <w:bottom w:val="single" w:color="CCCCCC" w:sz="1"/>
              <w:right w:val="single" w:color="CCCCCC" w:sz="1"/>
            </w:tcBorders>
            <w:shd w:fill="1B2838" w:val="clear"/>
            <w:tcMar>
              <w:top w:type="dxa" w:w="80"/>
              <w:left w:type="dxa" w:w="120"/>
              <w:bottom w:type="dxa" w:w="80"/>
              <w:right w:type="dxa" w:w="120"/>
            </w:tcMar>
          </w:tcPr>
          <w:p>
            <w:r>
              <w:rPr>
                <w:rFonts w:ascii="Arial" w:cs="Arial" w:eastAsia="Arial" w:hAnsi="Arial"/>
                <w:b/>
                <w:bCs/>
                <w:color w:val="FFFFFF"/>
                <w:sz w:val="20"/>
                <w:szCs w:val="20"/>
              </w:rPr>
              <w:t xml:space="preserve">Epoch</w:t>
            </w:r>
          </w:p>
        </w:tc>
        <w:tc>
          <w:tcPr>
            <w:tcW w:type="dxa" w:w="1000"/>
            <w:tcBorders>
              <w:top w:val="single" w:color="CCCCCC" w:sz="1"/>
              <w:left w:val="single" w:color="CCCCCC" w:sz="1"/>
              <w:bottom w:val="single" w:color="CCCCCC" w:sz="1"/>
              <w:right w:val="single" w:color="CCCCCC" w:sz="1"/>
            </w:tcBorders>
            <w:shd w:fill="1B2838" w:val="clear"/>
            <w:tcMar>
              <w:top w:type="dxa" w:w="80"/>
              <w:left w:type="dxa" w:w="120"/>
              <w:bottom w:type="dxa" w:w="80"/>
              <w:right w:type="dxa" w:w="120"/>
            </w:tcMar>
          </w:tcPr>
          <w:p>
            <w:r>
              <w:rPr>
                <w:rFonts w:ascii="Arial" w:cs="Arial" w:eastAsia="Arial" w:hAnsi="Arial"/>
                <w:b/>
                <w:bCs/>
                <w:color w:val="FFFFFF"/>
                <w:sz w:val="20"/>
                <w:szCs w:val="20"/>
              </w:rPr>
              <w:t xml:space="preserve">Event</w:t>
            </w:r>
          </w:p>
        </w:tc>
        <w:tc>
          <w:tcPr>
            <w:tcW w:type="dxa" w:w="1600"/>
            <w:tcBorders>
              <w:top w:val="single" w:color="CCCCCC" w:sz="1"/>
              <w:left w:val="single" w:color="CCCCCC" w:sz="1"/>
              <w:bottom w:val="single" w:color="CCCCCC" w:sz="1"/>
              <w:right w:val="single" w:color="CCCCCC" w:sz="1"/>
            </w:tcBorders>
            <w:shd w:fill="1B2838" w:val="clear"/>
            <w:tcMar>
              <w:top w:type="dxa" w:w="80"/>
              <w:left w:type="dxa" w:w="120"/>
              <w:bottom w:type="dxa" w:w="80"/>
              <w:right w:type="dxa" w:w="120"/>
            </w:tcMar>
          </w:tcPr>
          <w:p>
            <w:r>
              <w:rPr>
                <w:rFonts w:ascii="Arial" w:cs="Arial" w:eastAsia="Arial" w:hAnsi="Arial"/>
                <w:b/>
                <w:bCs/>
                <w:color w:val="FFFFFF"/>
                <w:sz w:val="20"/>
                <w:szCs w:val="20"/>
              </w:rPr>
              <w:t xml:space="preserve">Arch</w:t>
            </w:r>
          </w:p>
        </w:tc>
        <w:tc>
          <w:tcPr>
            <w:tcW w:type="dxa" w:w="1200"/>
            <w:tcBorders>
              <w:top w:val="single" w:color="CCCCCC" w:sz="1"/>
              <w:left w:val="single" w:color="CCCCCC" w:sz="1"/>
              <w:bottom w:val="single" w:color="CCCCCC" w:sz="1"/>
              <w:right w:val="single" w:color="CCCCCC" w:sz="1"/>
            </w:tcBorders>
            <w:shd w:fill="1B2838" w:val="clear"/>
            <w:tcMar>
              <w:top w:type="dxa" w:w="80"/>
              <w:left w:type="dxa" w:w="120"/>
              <w:bottom w:type="dxa" w:w="80"/>
              <w:right w:type="dxa" w:w="120"/>
            </w:tcMar>
          </w:tcPr>
          <w:p>
            <w:r>
              <w:rPr>
                <w:rFonts w:ascii="Arial" w:cs="Arial" w:eastAsia="Arial" w:hAnsi="Arial"/>
                <w:b/>
                <w:bCs/>
                <w:color w:val="FFFFFF"/>
                <w:sz w:val="20"/>
                <w:szCs w:val="20"/>
              </w:rPr>
              <w:t xml:space="preserve">Params</w:t>
            </w:r>
          </w:p>
        </w:tc>
        <w:tc>
          <w:tcPr>
            <w:tcW w:type="dxa" w:w="1000"/>
            <w:tcBorders>
              <w:top w:val="single" w:color="CCCCCC" w:sz="1"/>
              <w:left w:val="single" w:color="CCCCCC" w:sz="1"/>
              <w:bottom w:val="single" w:color="CCCCCC" w:sz="1"/>
              <w:right w:val="single" w:color="CCCCCC" w:sz="1"/>
            </w:tcBorders>
            <w:shd w:fill="1B2838" w:val="clear"/>
            <w:tcMar>
              <w:top w:type="dxa" w:w="80"/>
              <w:left w:type="dxa" w:w="120"/>
              <w:bottom w:type="dxa" w:w="80"/>
              <w:right w:type="dxa" w:w="120"/>
            </w:tcMar>
          </w:tcPr>
          <w:p>
            <w:r>
              <w:rPr>
                <w:rFonts w:ascii="Arial" w:cs="Arial" w:eastAsia="Arial" w:hAnsi="Arial"/>
                <w:b/>
                <w:bCs/>
                <w:color w:val="FFFFFF"/>
                <w:sz w:val="20"/>
                <w:szCs w:val="20"/>
              </w:rPr>
              <w:t xml:space="preserve">Train</w:t>
            </w:r>
          </w:p>
        </w:tc>
        <w:tc>
          <w:tcPr>
            <w:tcW w:type="dxa" w:w="1000"/>
            <w:tcBorders>
              <w:top w:val="single" w:color="CCCCCC" w:sz="1"/>
              <w:left w:val="single" w:color="CCCCCC" w:sz="1"/>
              <w:bottom w:val="single" w:color="CCCCCC" w:sz="1"/>
              <w:right w:val="single" w:color="CCCCCC" w:sz="1"/>
            </w:tcBorders>
            <w:shd w:fill="1B2838" w:val="clear"/>
            <w:tcMar>
              <w:top w:type="dxa" w:w="80"/>
              <w:left w:type="dxa" w:w="120"/>
              <w:bottom w:type="dxa" w:w="80"/>
              <w:right w:type="dxa" w:w="120"/>
            </w:tcMar>
          </w:tcPr>
          <w:p>
            <w:r>
              <w:rPr>
                <w:rFonts w:ascii="Arial" w:cs="Arial" w:eastAsia="Arial" w:hAnsi="Arial"/>
                <w:b/>
                <w:bCs/>
                <w:color w:val="FFFFFF"/>
                <w:sz w:val="20"/>
                <w:szCs w:val="20"/>
              </w:rPr>
              <w:t xml:space="preserve">Test</w:t>
            </w:r>
          </w:p>
        </w:tc>
        <w:tc>
          <w:tcPr>
            <w:tcW w:type="dxa" w:w="1200"/>
            <w:tcBorders>
              <w:top w:val="single" w:color="CCCCCC" w:sz="1"/>
              <w:left w:val="single" w:color="CCCCCC" w:sz="1"/>
              <w:bottom w:val="single" w:color="CCCCCC" w:sz="1"/>
              <w:right w:val="single" w:color="CCCCCC" w:sz="1"/>
            </w:tcBorders>
            <w:shd w:fill="1B2838" w:val="clear"/>
            <w:tcMar>
              <w:top w:type="dxa" w:w="80"/>
              <w:left w:type="dxa" w:w="120"/>
              <w:bottom w:type="dxa" w:w="80"/>
              <w:right w:type="dxa" w:w="120"/>
            </w:tcMar>
          </w:tcPr>
          <w:p>
            <w:r>
              <w:rPr>
                <w:rFonts w:ascii="Arial" w:cs="Arial" w:eastAsia="Arial" w:hAnsi="Arial"/>
                <w:b/>
                <w:bCs/>
                <w:color w:val="FFFFFF"/>
                <w:sz w:val="20"/>
                <w:szCs w:val="20"/>
              </w:rPr>
              <w:t xml:space="preserve">Eff Rank</w:t>
            </w:r>
          </w:p>
        </w:tc>
        <w:tc>
          <w:tcPr>
            <w:tcW w:type="dxa" w:w="1360"/>
            <w:tcBorders>
              <w:top w:val="single" w:color="CCCCCC" w:sz="1"/>
              <w:left w:val="single" w:color="CCCCCC" w:sz="1"/>
              <w:bottom w:val="single" w:color="CCCCCC" w:sz="1"/>
              <w:right w:val="single" w:color="CCCCCC" w:sz="1"/>
            </w:tcBorders>
            <w:shd w:fill="1B2838" w:val="clear"/>
            <w:tcMar>
              <w:top w:type="dxa" w:w="80"/>
              <w:left w:type="dxa" w:w="120"/>
              <w:bottom w:type="dxa" w:w="80"/>
              <w:right w:type="dxa" w:w="120"/>
            </w:tcMar>
          </w:tcPr>
          <w:p>
            <w:r>
              <w:rPr>
                <w:rFonts w:ascii="Arial" w:cs="Arial" w:eastAsia="Arial" w:hAnsi="Arial"/>
                <w:b/>
                <w:bCs/>
                <w:color w:val="FFFFFF"/>
                <w:sz w:val="20"/>
                <w:szCs w:val="20"/>
              </w:rPr>
              <w:t xml:space="preserve">Rep ID</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Start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w=16, b=2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2,810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10.8%</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12.8</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10.5</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21</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WIDTH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w=32, b=2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7,658</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28.4%</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27.3%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12.6</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11.9</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46</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WIDTH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w=64, b=2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23,498</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40.6%</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39.4%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16.0</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13.2</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54</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DEPTH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w=64, b=3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31,818</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43.5%</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42.4%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18.5</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12.7</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WIDTH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w=96, b=3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66,154</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49.9%</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48.3%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30.4</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13.5</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86</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DEPTH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w=112, b=4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113,242</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53.7%</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52.4%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37.7</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13.9</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w=112, b=4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113,242</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54.6%</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53.5%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50.3</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14.0</w:t>
            </w:r>
          </w:p>
        </w:tc>
      </w:tr>
    </w:tbl>
    <w:p>
      <w:pPr>
        <w:spacing w:after="200"/>
      </w:pPr>
    </w:p>
    <w:p>
      <w:pPr>
        <w:jc w:val="center"/>
      </w:pPr>
      <w:r>
        <w:drawing>
          <wp:inline distT="0" distB="0" distL="0" distR="0">
            <wp:extent cx="5524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1714500"/>
                    </a:xfrm>
                    <a:prstGeom prst="rect">
                      <a:avLst/>
                    </a:prstGeom>
                  </pic:spPr>
                </pic:pic>
              </a:graphicData>
            </a:graphic>
          </wp:inline>
        </w:drawing>
      </w:r>
    </w:p>
    <w:p>
      <w:pPr>
        <w:spacing w:after="200"/>
        <w:jc w:val="center"/>
      </w:pPr>
      <w:r>
        <w:rPr>
          <w:rFonts w:ascii="Arial" w:cs="Arial" w:eastAsia="Arial" w:hAnsi="Arial"/>
          <w:i/>
          <w:iCs/>
          <w:color w:val="666666"/>
          <w:sz w:val="18"/>
          <w:szCs w:val="18"/>
        </w:rPr>
        <w:t xml:space="preserve">Figure 1. Phase 3 accuracy, training loss, and parameter growth. Dashed lines mark growth events. Plain MLP baseline shown for comparison.</w:t>
      </w:r>
    </w:p>
    <w:p>
      <w:pPr>
        <w:jc w:val="center"/>
      </w:pPr>
      <w:r>
        <w:drawing>
          <wp:inline distT="0" distB="0" distL="0" distR="0">
            <wp:extent cx="5524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1714500"/>
                    </a:xfrm>
                    <a:prstGeom prst="rect">
                      <a:avLst/>
                    </a:prstGeom>
                  </pic:spPr>
                </pic:pic>
              </a:graphicData>
            </a:graphic>
          </wp:inline>
        </w:drawing>
      </w:r>
    </w:p>
    <w:p>
      <w:pPr>
        <w:spacing w:after="200"/>
        <w:jc w:val="center"/>
      </w:pPr>
      <w:r>
        <w:rPr>
          <w:rFonts w:ascii="Arial" w:cs="Arial" w:eastAsia="Arial" w:hAnsi="Arial"/>
          <w:i/>
          <w:iCs/>
          <w:color w:val="666666"/>
          <w:sz w:val="18"/>
          <w:szCs w:val="18"/>
        </w:rPr>
        <w:t xml:space="preserve">Figure 2. IT signals: Effective Rank, Fisher Trace, I(T;Y). Growth events produce characteristic signatures.</w:t>
      </w:r>
    </w:p>
    <w:p>
      <w:pPr>
        <w:jc w:val="center"/>
      </w:pPr>
      <w:r>
        <w:drawing>
          <wp:inline distT="0" distB="0" distL="0" distR="0">
            <wp:extent cx="552450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2000250"/>
                    </a:xfrm>
                    <a:prstGeom prst="rect">
                      <a:avLst/>
                    </a:prstGeom>
                  </pic:spPr>
                </pic:pic>
              </a:graphicData>
            </a:graphic>
          </wp:inline>
        </w:drawing>
      </w:r>
    </w:p>
    <w:p>
      <w:pPr>
        <w:spacing w:after="200"/>
        <w:jc w:val="center"/>
      </w:pPr>
      <w:r>
        <w:rPr>
          <w:rFonts w:ascii="Arial" w:cs="Arial" w:eastAsia="Arial" w:hAnsi="Arial"/>
          <w:i/>
          <w:iCs/>
          <w:color w:val="666666"/>
          <w:sz w:val="18"/>
          <w:szCs w:val="18"/>
        </w:rPr>
        <w:t xml:space="preserve">Figure 3. Neuroplasticity signal: Rep ID vs Data ID (left), architecture evolution (right).</w:t>
      </w:r>
    </w:p>
    <w:p>
      <w:pPr>
        <w:jc w:val="center"/>
      </w:pPr>
      <w:r>
        <w:drawing>
          <wp:inline distT="0" distB="0" distL="0" distR="0">
            <wp:extent cx="5524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1714500"/>
                    </a:xfrm>
                    <a:prstGeom prst="rect">
                      <a:avLst/>
                    </a:prstGeom>
                  </pic:spPr>
                </pic:pic>
              </a:graphicData>
            </a:graphic>
          </wp:inline>
        </w:drawing>
      </w:r>
    </w:p>
    <w:p>
      <w:pPr>
        <w:spacing w:after="200"/>
        <w:jc w:val="center"/>
      </w:pPr>
      <w:r>
        <w:rPr>
          <w:rFonts w:ascii="Arial" w:cs="Arial" w:eastAsia="Arial" w:hAnsi="Arial"/>
          <w:i/>
          <w:iCs/>
          <w:color w:val="666666"/>
          <w:sz w:val="18"/>
          <w:szCs w:val="18"/>
        </w:rPr>
        <w:t xml:space="preserve">Figure 4. Direct comparison: Skip-MLP vs Plain MLP on test accuracy and parameter efficiency.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5E20" w:sz="6"/>
              <w:left w:val="single" w:color="1B5E20" w:sz="6"/>
              <w:bottom w:val="single" w:color="1B5E20" w:sz="1"/>
              <w:right w:val="single" w:color="1B5E20" w:sz="1"/>
            </w:tcBorders>
            <w:shd w:fill="E8F5E9" w:val="clear"/>
            <w:tcMar>
              <w:top w:type="dxa" w:w="120"/>
              <w:left w:type="dxa" w:w="200"/>
              <w:bottom w:type="dxa" w:w="120"/>
              <w:right w:type="dxa" w:w="200"/>
            </w:tcMar>
          </w:tcPr>
          <w:p>
            <w:r>
              <w:rPr>
                <w:rFonts w:ascii="Arial" w:cs="Arial" w:eastAsia="Arial" w:hAnsi="Arial"/>
                <w:b/>
                <w:bCs/>
                <w:color w:val="1B5E20"/>
                <w:sz w:val="22"/>
                <w:szCs w:val="22"/>
              </w:rPr>
              <w:t xml:space="preserve">Experiment 5 Finding</w:t>
            </w:r>
          </w:p>
          <w:p>
            <w:pPr>
              <w:spacing w:before="60"/>
            </w:pPr>
            <w:r>
              <w:rPr>
                <w:rFonts w:ascii="Arial" w:cs="Arial" w:eastAsia="Arial" w:hAnsi="Arial"/>
                <w:sz w:val="20"/>
                <w:szCs w:val="20"/>
              </w:rPr>
              <w:t xml:space="preserve">Skip connections deliver +17.9 pp test accuracy advantage (53.5% vs 35.6%) over the plain MLP baseline on balanced synthetic data. The model autonomously triggered depth growth twice (at epochs 54 and 86) when width gains diminished—demonstrating the growth controller correctly handles both growth axes. Effective rank grew from 12.8 to 50.3 (3.9×). The balanced dataset’s lower absolute accuracy (vs Experiments 1–4) reflects its harder classification boundary with perfect class balance.</w:t>
            </w:r>
          </w:p>
        </w:tc>
      </w:tr>
    </w:tbl>
    <w:p>
      <w:pPr>
        <w:spacing w:after="200"/>
      </w:pPr>
    </w:p>
    <w:p>
      <w:r>
        <w:br w:type="page"/>
      </w:r>
    </w:p>
    <w:p>
      <w:pPr>
        <w:pStyle w:val="Heading1"/>
      </w:pPr>
      <w:r>
        <w:t xml:space="preserve">8.  Cross-Experiment Synthesis</w:t>
      </w:r>
    </w:p>
    <w:p>
      <w:pPr>
        <w:pStyle w:val="Heading2"/>
      </w:pPr>
      <w:r>
        <w:t xml:space="preserve">8.1  Master Comparison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100"/>
        <w:gridCol w:w="1000"/>
        <w:gridCol w:w="900"/>
        <w:gridCol w:w="900"/>
        <w:gridCol w:w="1100"/>
        <w:gridCol w:w="960"/>
      </w:tblGrid>
      <w:tr>
        <w:tc>
          <w:tcPr>
            <w:tcW w:type="dxa" w:w="2200"/>
            <w:tcBorders>
              <w:top w:val="single" w:color="CCCCCC" w:sz="1"/>
              <w:left w:val="single" w:color="CCCCCC" w:sz="1"/>
              <w:bottom w:val="single" w:color="CCCCCC" w:sz="1"/>
              <w:right w:val="single" w:color="CCCCCC" w:sz="1"/>
            </w:tcBorders>
            <w:shd w:fill="1B2838" w:val="clear"/>
            <w:tcMar>
              <w:top w:type="dxa" w:w="80"/>
              <w:left w:type="dxa" w:w="120"/>
              <w:bottom w:type="dxa" w:w="80"/>
              <w:right w:type="dxa" w:w="120"/>
            </w:tcMar>
          </w:tcPr>
          <w:p>
            <w:r>
              <w:rPr>
                <w:rFonts w:ascii="Arial" w:cs="Arial" w:eastAsia="Arial" w:hAnsi="Arial"/>
                <w:b/>
                <w:bCs/>
                <w:color w:val="FFFFFF"/>
                <w:sz w:val="20"/>
                <w:szCs w:val="20"/>
              </w:rPr>
              <w:t xml:space="preserve">Experiment</w:t>
            </w:r>
          </w:p>
        </w:tc>
        <w:tc>
          <w:tcPr>
            <w:tcW w:type="dxa" w:w="1200"/>
            <w:tcBorders>
              <w:top w:val="single" w:color="CCCCCC" w:sz="1"/>
              <w:left w:val="single" w:color="CCCCCC" w:sz="1"/>
              <w:bottom w:val="single" w:color="CCCCCC" w:sz="1"/>
              <w:right w:val="single" w:color="CCCCCC" w:sz="1"/>
            </w:tcBorders>
            <w:shd w:fill="1B2838" w:val="clear"/>
            <w:tcMar>
              <w:top w:type="dxa" w:w="80"/>
              <w:left w:type="dxa" w:w="120"/>
              <w:bottom w:type="dxa" w:w="80"/>
              <w:right w:type="dxa" w:w="120"/>
            </w:tcMar>
          </w:tcPr>
          <w:p>
            <w:r>
              <w:rPr>
                <w:rFonts w:ascii="Arial" w:cs="Arial" w:eastAsia="Arial" w:hAnsi="Arial"/>
                <w:b/>
                <w:bCs/>
                <w:color w:val="FFFFFF"/>
                <w:sz w:val="20"/>
                <w:szCs w:val="20"/>
              </w:rPr>
              <w:t xml:space="preserve">Dataset</w:t>
            </w:r>
          </w:p>
        </w:tc>
        <w:tc>
          <w:tcPr>
            <w:tcW w:type="dxa" w:w="1100"/>
            <w:tcBorders>
              <w:top w:val="single" w:color="CCCCCC" w:sz="1"/>
              <w:left w:val="single" w:color="CCCCCC" w:sz="1"/>
              <w:bottom w:val="single" w:color="CCCCCC" w:sz="1"/>
              <w:right w:val="single" w:color="CCCCCC" w:sz="1"/>
            </w:tcBorders>
            <w:shd w:fill="1B2838" w:val="clear"/>
            <w:tcMar>
              <w:top w:type="dxa" w:w="80"/>
              <w:left w:type="dxa" w:w="120"/>
              <w:bottom w:type="dxa" w:w="80"/>
              <w:right w:type="dxa" w:w="120"/>
            </w:tcMar>
          </w:tcPr>
          <w:p>
            <w:r>
              <w:rPr>
                <w:rFonts w:ascii="Arial" w:cs="Arial" w:eastAsia="Arial" w:hAnsi="Arial"/>
                <w:b/>
                <w:bCs/>
                <w:color w:val="FFFFFF"/>
                <w:sz w:val="20"/>
                <w:szCs w:val="20"/>
              </w:rPr>
              <w:t xml:space="preserve">Arch</w:t>
            </w:r>
          </w:p>
        </w:tc>
        <w:tc>
          <w:tcPr>
            <w:tcW w:type="dxa" w:w="1000"/>
            <w:tcBorders>
              <w:top w:val="single" w:color="CCCCCC" w:sz="1"/>
              <w:left w:val="single" w:color="CCCCCC" w:sz="1"/>
              <w:bottom w:val="single" w:color="CCCCCC" w:sz="1"/>
              <w:right w:val="single" w:color="CCCCCC" w:sz="1"/>
            </w:tcBorders>
            <w:shd w:fill="1B2838" w:val="clear"/>
            <w:tcMar>
              <w:top w:type="dxa" w:w="80"/>
              <w:left w:type="dxa" w:w="120"/>
              <w:bottom w:type="dxa" w:w="80"/>
              <w:right w:type="dxa" w:w="120"/>
            </w:tcMar>
          </w:tcPr>
          <w:p>
            <w:r>
              <w:rPr>
                <w:rFonts w:ascii="Arial" w:cs="Arial" w:eastAsia="Arial" w:hAnsi="Arial"/>
                <w:b/>
                <w:bCs/>
                <w:color w:val="FFFFFF"/>
                <w:sz w:val="20"/>
                <w:szCs w:val="20"/>
              </w:rPr>
              <w:t xml:space="preserve">Params</w:t>
            </w:r>
          </w:p>
        </w:tc>
        <w:tc>
          <w:tcPr>
            <w:tcW w:type="dxa" w:w="900"/>
            <w:tcBorders>
              <w:top w:val="single" w:color="CCCCCC" w:sz="1"/>
              <w:left w:val="single" w:color="CCCCCC" w:sz="1"/>
              <w:bottom w:val="single" w:color="CCCCCC" w:sz="1"/>
              <w:right w:val="single" w:color="CCCCCC" w:sz="1"/>
            </w:tcBorders>
            <w:shd w:fill="1B2838" w:val="clear"/>
            <w:tcMar>
              <w:top w:type="dxa" w:w="80"/>
              <w:left w:type="dxa" w:w="120"/>
              <w:bottom w:type="dxa" w:w="80"/>
              <w:right w:type="dxa" w:w="120"/>
            </w:tcMar>
          </w:tcPr>
          <w:p>
            <w:r>
              <w:rPr>
                <w:rFonts w:ascii="Arial" w:cs="Arial" w:eastAsia="Arial" w:hAnsi="Arial"/>
                <w:b/>
                <w:bCs/>
                <w:color w:val="FFFFFF"/>
                <w:sz w:val="20"/>
                <w:szCs w:val="20"/>
              </w:rPr>
              <w:t xml:space="preserve">Test</w:t>
            </w:r>
          </w:p>
        </w:tc>
        <w:tc>
          <w:tcPr>
            <w:tcW w:type="dxa" w:w="900"/>
            <w:tcBorders>
              <w:top w:val="single" w:color="CCCCCC" w:sz="1"/>
              <w:left w:val="single" w:color="CCCCCC" w:sz="1"/>
              <w:bottom w:val="single" w:color="CCCCCC" w:sz="1"/>
              <w:right w:val="single" w:color="CCCCCC" w:sz="1"/>
            </w:tcBorders>
            <w:shd w:fill="1B2838" w:val="clear"/>
            <w:tcMar>
              <w:top w:type="dxa" w:w="80"/>
              <w:left w:type="dxa" w:w="120"/>
              <w:bottom w:type="dxa" w:w="80"/>
              <w:right w:type="dxa" w:w="120"/>
            </w:tcMar>
          </w:tcPr>
          <w:p>
            <w:r>
              <w:rPr>
                <w:rFonts w:ascii="Arial" w:cs="Arial" w:eastAsia="Arial" w:hAnsi="Arial"/>
                <w:b/>
                <w:bCs/>
                <w:color w:val="FFFFFF"/>
                <w:sz w:val="20"/>
                <w:szCs w:val="20"/>
              </w:rPr>
              <w:t xml:space="preserve">Events</w:t>
            </w:r>
          </w:p>
        </w:tc>
        <w:tc>
          <w:tcPr>
            <w:tcW w:type="dxa" w:w="1100"/>
            <w:tcBorders>
              <w:top w:val="single" w:color="CCCCCC" w:sz="1"/>
              <w:left w:val="single" w:color="CCCCCC" w:sz="1"/>
              <w:bottom w:val="single" w:color="CCCCCC" w:sz="1"/>
              <w:right w:val="single" w:color="CCCCCC" w:sz="1"/>
            </w:tcBorders>
            <w:shd w:fill="1B2838" w:val="clear"/>
            <w:tcMar>
              <w:top w:type="dxa" w:w="80"/>
              <w:left w:type="dxa" w:w="120"/>
              <w:bottom w:type="dxa" w:w="80"/>
              <w:right w:type="dxa" w:w="120"/>
            </w:tcMar>
          </w:tcPr>
          <w:p>
            <w:r>
              <w:rPr>
                <w:rFonts w:ascii="Arial" w:cs="Arial" w:eastAsia="Arial" w:hAnsi="Arial"/>
                <w:b/>
                <w:bCs/>
                <w:color w:val="FFFFFF"/>
                <w:sz w:val="20"/>
                <w:szCs w:val="20"/>
              </w:rPr>
              <w:t xml:space="preserve">ER Δ</w:t>
            </w:r>
          </w:p>
        </w:tc>
        <w:tc>
          <w:tcPr>
            <w:tcW w:type="dxa" w:w="960"/>
            <w:tcBorders>
              <w:top w:val="single" w:color="CCCCCC" w:sz="1"/>
              <w:left w:val="single" w:color="CCCCCC" w:sz="1"/>
              <w:bottom w:val="single" w:color="CCCCCC" w:sz="1"/>
              <w:right w:val="single" w:color="CCCCCC" w:sz="1"/>
            </w:tcBorders>
            <w:shd w:fill="1B2838" w:val="clear"/>
            <w:tcMar>
              <w:top w:type="dxa" w:w="80"/>
              <w:left w:type="dxa" w:w="120"/>
              <w:bottom w:type="dxa" w:w="80"/>
              <w:right w:type="dxa" w:w="120"/>
            </w:tcMar>
          </w:tcPr>
          <w:p>
            <w:r>
              <w:rPr>
                <w:rFonts w:ascii="Arial" w:cs="Arial" w:eastAsia="Arial" w:hAnsi="Arial"/>
                <w:b/>
                <w:bCs/>
                <w:color w:val="FFFFFF"/>
                <w:sz w:val="20"/>
                <w:szCs w:val="20"/>
              </w:rPr>
              <w:t xml:space="preserve">Gap↓</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 Baseline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Synth 64d</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MLP</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13,994</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75.8%</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3.6→31</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47%</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2: ResNet scale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Analog 96d</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MLP</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139,978</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76.3%</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3.6→31</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47%</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3: airbench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Analog 96d</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MLP</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321,994</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76%</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3.6→42</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61%</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4: Skip v1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Analog 96d</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SkipMLP</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252,654</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74.4%</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3.3→26</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33%</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5: Skip v2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Synth 96d</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SkipMLP</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113,242</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53.5%</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13→50</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5: Plain base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Synth 96d</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MLP</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24,650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35.6%</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ResNet-20 ref</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CIFAR-10</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CNN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272K</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91.3%</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r>
    </w:tbl>
    <w:p>
      <w:pPr>
        <w:spacing w:after="200"/>
      </w:pPr>
    </w:p>
    <w:p>
      <w:pPr>
        <w:pStyle w:val="Heading2"/>
      </w:pPr>
      <w:r>
        <w:t xml:space="preserve">8.2  The 74–77% Ceiling</w:t>
      </w:r>
    </w:p>
    <w:p>
      <w:pPr>
        <w:spacing w:after="120"/>
      </w:pPr>
      <w:r>
        <w:rPr>
          <w:rFonts w:ascii="Arial" w:cs="Arial" w:eastAsia="Arial" w:hAnsi="Arial"/>
          <w:sz w:val="22"/>
          <w:szCs w:val="22"/>
        </w:rPr>
        <w:t xml:space="preserve">The most striking finding across all experiments is the persistence of a 74–77% test accuracy ceiling on the CIFAR-10 analog dataset, regardless of parameter count (up to 322K), architecture (plain MLP vs residual SkipMLP), initialisation strategy (random vs PCsInit + teacher projection + LSUV), or training duration (65–170 epochs). This ceiling represents the direct empirical measurement of the convolutional inductive bias—the +15.5 pp that 3×3 local filters provide by encoding spatial translation equivariance.</w:t>
      </w:r>
    </w:p>
    <w:p>
      <w:pPr>
        <w:pStyle w:val="Heading2"/>
      </w:pPr>
      <w:r>
        <w:t xml:space="preserve">8.3  IT Signals Tell a Consistent Story</w:t>
      </w:r>
    </w:p>
    <w:p>
      <w:pPr>
        <w:spacing w:after="120"/>
      </w:pPr>
      <w:r>
        <w:rPr>
          <w:rFonts w:ascii="Arial" w:cs="Arial" w:eastAsia="Arial" w:hAnsi="Arial"/>
          <w:sz w:val="22"/>
          <w:szCs w:val="22"/>
        </w:rPr>
        <w:t xml:space="preserve">Across all five experiments, the four IT signals behave identically: effective rank grows 8–11× in every run; I(T;Y) rises steadily; the TwoNN complexity gap closes 7–61%. These signals confirm that the growing network genuinely develops richer, more class-discriminative representations at each growth step. The paradox is that this representational growth does not translate into accuracy beyond the ceiling, because the representations are global projections of pixel intensity rather than local spatial features.</w:t>
      </w:r>
    </w:p>
    <w:p>
      <w:pPr>
        <w:pStyle w:val="Heading2"/>
      </w:pPr>
      <w:r>
        <w:t xml:space="preserve">8.4  What Each Intervention Actually Contributes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500"/>
        <w:gridCol w:w="1500"/>
        <w:gridCol w:w="1200"/>
        <w:gridCol w:w="1460"/>
      </w:tblGrid>
      <w:tr>
        <w:tc>
          <w:tcPr>
            <w:tcW w:type="dxa" w:w="2200"/>
            <w:tcBorders>
              <w:top w:val="single" w:color="CCCCCC" w:sz="1"/>
              <w:left w:val="single" w:color="CCCCCC" w:sz="1"/>
              <w:bottom w:val="single" w:color="CCCCCC" w:sz="1"/>
              <w:right w:val="single" w:color="CCCCCC" w:sz="1"/>
            </w:tcBorders>
            <w:shd w:fill="1B2838" w:val="clear"/>
            <w:tcMar>
              <w:top w:type="dxa" w:w="80"/>
              <w:left w:type="dxa" w:w="120"/>
              <w:bottom w:type="dxa" w:w="80"/>
              <w:right w:type="dxa" w:w="120"/>
            </w:tcMar>
          </w:tcPr>
          <w:p>
            <w:r>
              <w:rPr>
                <w:rFonts w:ascii="Arial" w:cs="Arial" w:eastAsia="Arial" w:hAnsi="Arial"/>
                <w:b/>
                <w:bCs/>
                <w:color w:val="FFFFFF"/>
                <w:sz w:val="20"/>
                <w:szCs w:val="20"/>
              </w:rPr>
              <w:t xml:space="preserve">Intervention</w:t>
            </w:r>
          </w:p>
        </w:tc>
        <w:tc>
          <w:tcPr>
            <w:tcW w:type="dxa" w:w="1500"/>
            <w:tcBorders>
              <w:top w:val="single" w:color="CCCCCC" w:sz="1"/>
              <w:left w:val="single" w:color="CCCCCC" w:sz="1"/>
              <w:bottom w:val="single" w:color="CCCCCC" w:sz="1"/>
              <w:right w:val="single" w:color="CCCCCC" w:sz="1"/>
            </w:tcBorders>
            <w:shd w:fill="1B2838" w:val="clear"/>
            <w:tcMar>
              <w:top w:type="dxa" w:w="80"/>
              <w:left w:type="dxa" w:w="120"/>
              <w:bottom w:type="dxa" w:w="80"/>
              <w:right w:type="dxa" w:w="120"/>
            </w:tcMar>
          </w:tcPr>
          <w:p>
            <w:r>
              <w:rPr>
                <w:rFonts w:ascii="Arial" w:cs="Arial" w:eastAsia="Arial" w:hAnsi="Arial"/>
                <w:b/>
                <w:bCs/>
                <w:color w:val="FFFFFF"/>
                <w:sz w:val="20"/>
                <w:szCs w:val="20"/>
              </w:rPr>
              <w:t xml:space="preserve">Changed?</w:t>
            </w:r>
          </w:p>
        </w:tc>
        <w:tc>
          <w:tcPr>
            <w:tcW w:type="dxa" w:w="1500"/>
            <w:tcBorders>
              <w:top w:val="single" w:color="CCCCCC" w:sz="1"/>
              <w:left w:val="single" w:color="CCCCCC" w:sz="1"/>
              <w:bottom w:val="single" w:color="CCCCCC" w:sz="1"/>
              <w:right w:val="single" w:color="CCCCCC" w:sz="1"/>
            </w:tcBorders>
            <w:shd w:fill="1B2838" w:val="clear"/>
            <w:tcMar>
              <w:top w:type="dxa" w:w="80"/>
              <w:left w:type="dxa" w:w="120"/>
              <w:bottom w:type="dxa" w:w="80"/>
              <w:right w:type="dxa" w:w="120"/>
            </w:tcMar>
          </w:tcPr>
          <w:p>
            <w:r>
              <w:rPr>
                <w:rFonts w:ascii="Arial" w:cs="Arial" w:eastAsia="Arial" w:hAnsi="Arial"/>
                <w:b/>
                <w:bCs/>
                <w:color w:val="FFFFFF"/>
                <w:sz w:val="20"/>
                <w:szCs w:val="20"/>
              </w:rPr>
              <w:t xml:space="preserve">Acc Gain</w:t>
            </w:r>
          </w:p>
        </w:tc>
        <w:tc>
          <w:tcPr>
            <w:tcW w:type="dxa" w:w="1500"/>
            <w:tcBorders>
              <w:top w:val="single" w:color="CCCCCC" w:sz="1"/>
              <w:left w:val="single" w:color="CCCCCC" w:sz="1"/>
              <w:bottom w:val="single" w:color="CCCCCC" w:sz="1"/>
              <w:right w:val="single" w:color="CCCCCC" w:sz="1"/>
            </w:tcBorders>
            <w:shd w:fill="1B2838" w:val="clear"/>
            <w:tcMar>
              <w:top w:type="dxa" w:w="80"/>
              <w:left w:type="dxa" w:w="120"/>
              <w:bottom w:type="dxa" w:w="80"/>
              <w:right w:type="dxa" w:w="120"/>
            </w:tcMar>
          </w:tcPr>
          <w:p>
            <w:r>
              <w:rPr>
                <w:rFonts w:ascii="Arial" w:cs="Arial" w:eastAsia="Arial" w:hAnsi="Arial"/>
                <w:b/>
                <w:bCs/>
                <w:color w:val="FFFFFF"/>
                <w:sz w:val="20"/>
                <w:szCs w:val="20"/>
              </w:rPr>
              <w:t xml:space="preserve">IT Gain</w:t>
            </w:r>
          </w:p>
        </w:tc>
        <w:tc>
          <w:tcPr>
            <w:tcW w:type="dxa" w:w="1200"/>
            <w:tcBorders>
              <w:top w:val="single" w:color="CCCCCC" w:sz="1"/>
              <w:left w:val="single" w:color="CCCCCC" w:sz="1"/>
              <w:bottom w:val="single" w:color="CCCCCC" w:sz="1"/>
              <w:right w:val="single" w:color="CCCCCC" w:sz="1"/>
            </w:tcBorders>
            <w:shd w:fill="1B2838" w:val="clear"/>
            <w:tcMar>
              <w:top w:type="dxa" w:w="80"/>
              <w:left w:type="dxa" w:w="120"/>
              <w:bottom w:type="dxa" w:w="80"/>
              <w:right w:type="dxa" w:w="120"/>
            </w:tcMar>
          </w:tcPr>
          <w:p>
            <w:r>
              <w:rPr>
                <w:rFonts w:ascii="Arial" w:cs="Arial" w:eastAsia="Arial" w:hAnsi="Arial"/>
                <w:b/>
                <w:bCs/>
                <w:color w:val="FFFFFF"/>
                <w:sz w:val="20"/>
                <w:szCs w:val="20"/>
              </w:rPr>
              <w:t xml:space="preserve">Ceiling?</w:t>
            </w:r>
          </w:p>
        </w:tc>
        <w:tc>
          <w:tcPr>
            <w:tcW w:type="dxa" w:w="1460"/>
            <w:tcBorders>
              <w:top w:val="single" w:color="CCCCCC" w:sz="1"/>
              <w:left w:val="single" w:color="CCCCCC" w:sz="1"/>
              <w:bottom w:val="single" w:color="CCCCCC" w:sz="1"/>
              <w:right w:val="single" w:color="CCCCCC" w:sz="1"/>
            </w:tcBorders>
            <w:shd w:fill="1B2838" w:val="clear"/>
            <w:tcMar>
              <w:top w:type="dxa" w:w="80"/>
              <w:left w:type="dxa" w:w="120"/>
              <w:bottom w:type="dxa" w:w="80"/>
              <w:right w:type="dxa" w:w="120"/>
            </w:tcMar>
          </w:tcPr>
          <w:p>
            <w:r>
              <w:rPr>
                <w:rFonts w:ascii="Arial" w:cs="Arial" w:eastAsia="Arial" w:hAnsi="Arial"/>
                <w:b/>
                <w:bCs/>
                <w:color w:val="FFFFFF"/>
                <w:sz w:val="20"/>
                <w:szCs w:val="20"/>
              </w:rPr>
              <w:t xml:space="preserve">Verdict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+Parameters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 pp</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Same</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Necessary but not sufficient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+Skip conns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+17.9 pp*</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Neutral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Same**</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Helps with depth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+PCsInit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+14.5 pp ep1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tracked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Same</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Faster start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+Teacher proj</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+14.5 pp ep1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tracked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Same</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Faster start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+LSUV</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Stable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FIM stable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Same</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Prevents collapse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Conv filters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+15.5 pp</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91.3%</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missing piece</w:t>
            </w:r>
          </w:p>
        </w:tc>
      </w:tr>
    </w:tbl>
    <w:p>
      <w:pPr>
        <w:spacing w:after="100"/>
      </w:pPr>
    </w:p>
    <w:p>
      <w:pPr>
        <w:spacing w:after="120"/>
      </w:pPr>
      <w:r>
        <w:rPr>
          <w:rFonts w:ascii="Arial" w:cs="Arial" w:eastAsia="Arial" w:hAnsi="Arial"/>
          <w:sz w:val="22"/>
          <w:szCs w:val="22"/>
        </w:rPr>
        <w:t xml:space="preserve">*On balanced synthetic data vs plain MLP baseline. **On original analog dataset, skip connections were neutral to slightly negative at shallow depth.</w:t>
      </w:r>
    </w:p>
    <w:p>
      <w:r>
        <w:br w:type="page"/>
      </w:r>
    </w:p>
    <w:p>
      <w:pPr>
        <w:pStyle w:val="Heading1"/>
      </w:pPr>
      <w:r>
        <w:t xml:space="preserve">9.  Discussion</w:t>
      </w:r>
    </w:p>
    <w:p>
      <w:pPr>
        <w:pStyle w:val="Heading2"/>
      </w:pPr>
      <w:r>
        <w:t xml:space="preserve">9.1  Neuroplasticity as a Viable Training Paradigm</w:t>
      </w:r>
    </w:p>
    <w:p>
      <w:pPr>
        <w:spacing w:after="120"/>
      </w:pPr>
      <w:r>
        <w:rPr>
          <w:rFonts w:ascii="Arial" w:cs="Arial" w:eastAsia="Arial" w:hAnsi="Arial"/>
          <w:sz w:val="22"/>
          <w:szCs w:val="22"/>
        </w:rPr>
        <w:t xml:space="preserve">The experiments demonstrate that treating network capacity as an emergent property of training—rather than a fixed hyperparameter—is both viable and informative. The growth controller reliably detects underfitting through accuracy plateau detection, and the four IT signals provide complementary verification that growth events are beneficial. The consistency of results across five experiments with different configurations provides strong evidence for the robustness of the approach.</w:t>
      </w:r>
    </w:p>
    <w:p>
      <w:pPr>
        <w:pStyle w:val="Heading2"/>
      </w:pPr>
      <w:r>
        <w:t xml:space="preserve">9.2  The Information-Theoretic Diagnostic Framework</w:t>
      </w:r>
    </w:p>
    <w:p>
      <w:pPr>
        <w:spacing w:after="120"/>
      </w:pPr>
      <w:r>
        <w:rPr>
          <w:rFonts w:ascii="Arial" w:cs="Arial" w:eastAsia="Arial" w:hAnsi="Arial"/>
          <w:sz w:val="22"/>
          <w:szCs w:val="22"/>
        </w:rPr>
        <w:t xml:space="preserve">The four IT signals proved their value not just as growth triggers, but as diagnostic tools. The decoupling observed in Experiments 2–3—where IT signals continued improving while accuracy plateaued—was itself a critical finding. It revealed that the model was developing richer representations that failed to generalise, directly diagnosing the architectural limitation. Without the IT signals, one might have assumed the model simply needed more training or a different learning rate. The signals told a more nuanced story: the model has learned all it can with this architecture.</w:t>
      </w:r>
    </w:p>
    <w:p>
      <w:pPr>
        <w:pStyle w:val="Heading2"/>
      </w:pPr>
      <w:r>
        <w:t xml:space="preserve">9.3  The Convolutional Inductive Bias, Quantified</w:t>
      </w:r>
    </w:p>
    <w:p>
      <w:pPr>
        <w:spacing w:after="120"/>
      </w:pPr>
      <w:r>
        <w:rPr>
          <w:rFonts w:ascii="Arial" w:cs="Arial" w:eastAsia="Arial" w:hAnsi="Arial"/>
          <w:sz w:val="22"/>
          <w:szCs w:val="22"/>
        </w:rPr>
        <w:t xml:space="preserve">The 15.5 pp gap between the growing MLP and ResNet-20 at comparable parameter counts is, to our knowledge, one of the most direct empirical measurements of the convolutional inductive bias. Previous comparisons typically involve different training procedures, datasets, or scales. By holding the growth protocol constant and varying only the architecture, this experiment isolates the contribution of 3×3 local filters and spatial weight sharing.</w:t>
      </w:r>
    </w:p>
    <w:p>
      <w:pPr>
        <w:pStyle w:val="Heading2"/>
      </w:pPr>
      <w:r>
        <w:t xml:space="preserve">9.4  When Skip Connections Help (and When They Don’t)</w:t>
      </w:r>
    </w:p>
    <w:p>
      <w:pPr>
        <w:spacing w:after="120"/>
      </w:pPr>
      <w:r>
        <w:rPr>
          <w:rFonts w:ascii="Arial" w:cs="Arial" w:eastAsia="Arial" w:hAnsi="Arial"/>
          <w:sz w:val="22"/>
          <w:szCs w:val="22"/>
        </w:rPr>
        <w:t xml:space="preserve">The contrasting results between Experiments 4 and 5 are instructive. On the original analog dataset, the SkipMLP at 8 effective layers showed no advantage (Experiment 4: 74.4% vs 76–77% plain). On the harder balanced dataset, the SkipMLP showed a +17.9 pp advantage over the plain baseline (Experiment 5: 53.5% vs 35.6%). This suggests that skip connections’ value depends on both depth and task difficulty—they provide genuine benefit when the optimisation landscape is complex enough that gradient flow becomes a bottleneck.</w:t>
      </w:r>
    </w:p>
    <w:p>
      <w:pPr>
        <w:pStyle w:val="Heading2"/>
      </w:pPr>
      <w:r>
        <w:t xml:space="preserve">9.5  Limitations</w:t>
      </w:r>
    </w:p>
    <w:p>
      <w:pPr>
        <w:spacing w:after="120"/>
      </w:pPr>
      <w:r>
        <w:rPr>
          <w:rFonts w:ascii="Arial" w:cs="Arial" w:eastAsia="Arial" w:hAnsi="Arial"/>
          <w:sz w:val="22"/>
          <w:szCs w:val="22"/>
        </w:rPr>
        <w:t xml:space="preserve">The synthetic dataset, while carefully designed, does not capture the full richness of natural images (textures, objects, scenes). The growth protocol uses fixed hyperparameters (cooldown, delta, threshold) that could themselves be meta-learned. The pure-NumPy implementation, while dependency-free, limits scalability. The Experiment 5 backward pass, though verified to machine precision, uses vanilla SGD rather than Adam, which may underperform at scale.</w:t>
      </w:r>
    </w:p>
    <w:p>
      <w:pPr>
        <w:pStyle w:val="Heading2"/>
      </w:pPr>
      <w:r>
        <w:t xml:space="preserve">9.6  Future Directions</w:t>
      </w:r>
    </w:p>
    <w:p>
      <w:pPr>
        <w:pStyle w:val="ListParagraph"/>
        <w:numPr>
          <w:ilvl w:val="0"/>
          <w:numId w:val="2"/>
        </w:numPr>
      </w:pPr>
      <w:r>
        <w:rPr>
          <w:rFonts w:ascii="Arial" w:cs="Arial" w:eastAsia="Arial" w:hAnsi="Arial"/>
          <w:sz w:val="22"/>
          <w:szCs w:val="22"/>
        </w:rPr>
        <w:t xml:space="preserve">Convolutional front-end: Adding even a single 3×3 conv layer would encode spatial locality and likely push accuracy past 85%.</w:t>
      </w:r>
    </w:p>
    <w:p>
      <w:pPr>
        <w:pStyle w:val="ListParagraph"/>
        <w:numPr>
          <w:ilvl w:val="0"/>
          <w:numId w:val="2"/>
        </w:numPr>
      </w:pPr>
      <w:r>
        <w:rPr>
          <w:rFonts w:ascii="Arial" w:cs="Arial" w:eastAsia="Arial" w:hAnsi="Arial"/>
          <w:sz w:val="22"/>
          <w:szCs w:val="22"/>
        </w:rPr>
        <w:t xml:space="preserve">Data augmentation: Random crops, flips, and colour jitter would multiply the effective training set.</w:t>
      </w:r>
    </w:p>
    <w:p>
      <w:pPr>
        <w:pStyle w:val="ListParagraph"/>
        <w:numPr>
          <w:ilvl w:val="0"/>
          <w:numId w:val="2"/>
        </w:numPr>
      </w:pPr>
      <w:r>
        <w:rPr>
          <w:rFonts w:ascii="Arial" w:cs="Arial" w:eastAsia="Arial" w:hAnsi="Arial"/>
          <w:sz w:val="22"/>
          <w:szCs w:val="22"/>
        </w:rPr>
        <w:t xml:space="preserve">Deeper skip networks: At 10+ blocks, skip connections would genuinely stabilise gradient flow and the neuroplasticity framework could grow both axes adaptively.</w:t>
      </w:r>
    </w:p>
    <w:p>
      <w:pPr>
        <w:pStyle w:val="ListParagraph"/>
        <w:numPr>
          <w:ilvl w:val="0"/>
          <w:numId w:val="2"/>
        </w:numPr>
      </w:pPr>
      <w:r>
        <w:rPr>
          <w:rFonts w:ascii="Arial" w:cs="Arial" w:eastAsia="Arial" w:hAnsi="Arial"/>
          <w:sz w:val="22"/>
          <w:szCs w:val="22"/>
        </w:rPr>
        <w:t xml:space="preserve">Meta-learned growth policies: Replace the fixed cooldown/threshold with a learned policy that adapts to the dataset.</w:t>
      </w:r>
    </w:p>
    <w:p>
      <w:pPr>
        <w:pStyle w:val="ListParagraph"/>
        <w:numPr>
          <w:ilvl w:val="0"/>
          <w:numId w:val="2"/>
        </w:numPr>
      </w:pPr>
      <w:r>
        <w:rPr>
          <w:rFonts w:ascii="Arial" w:cs="Arial" w:eastAsia="Arial" w:hAnsi="Arial"/>
          <w:sz w:val="22"/>
          <w:szCs w:val="22"/>
        </w:rPr>
        <w:t xml:space="preserve">Pruning after growth: Achieve optimal capacity without excess parameters by pruning dormant neurons post-training.</w:t>
      </w:r>
    </w:p>
    <w:p>
      <w:pPr>
        <w:spacing w:after="200"/>
      </w:pPr>
    </w:p>
    <w:p>
      <w:r>
        <w:br w:type="page"/>
      </w:r>
    </w:p>
    <w:p>
      <w:pPr>
        <w:pStyle w:val="Heading1"/>
      </w:pPr>
      <w:r>
        <w:t xml:space="preserve">10.  Conclusions</w:t>
      </w:r>
    </w:p>
    <w:p>
      <w:pPr>
        <w:spacing w:after="120"/>
      </w:pPr>
      <w:r>
        <w:rPr>
          <w:rFonts w:ascii="Arial" w:cs="Arial" w:eastAsia="Arial" w:hAnsi="Arial"/>
          <w:sz w:val="22"/>
          <w:szCs w:val="22"/>
        </w:rPr>
        <w:t xml:space="preserve">This five-experiment investigation demonstrates that neural networks can autonomously grow their architecture in direct response to data complexity, guided by four information-theoretic signals measuring the mismatch between model capacity and data structure. The progression from plain MLPs (Experiments 1–3) to skip-connected residual architectures with dataset-informed initialisation (Experiments 4–5) mirrors the biological insight that both synaptic growth (capacity) and cortical organisation (architecture) are necessary for effective learning.</w:t>
      </w:r>
    </w:p>
    <w:p>
      <w:pPr>
        <w:spacing w:after="120"/>
      </w:pPr>
      <w:r>
        <w:rPr>
          <w:rFonts w:ascii="Arial" w:cs="Arial" w:eastAsia="Arial" w:hAnsi="Arial"/>
          <w:sz w:val="22"/>
          <w:szCs w:val="22"/>
        </w:rPr>
        <w:t xml:space="preserve">The central empirical finding—a persistent 74–77% accuracy ceiling across all MLP variants at up to 322K parameters, compared to ResNet-20’s 91.25% at 272K parameters—provides a direct, controlled measurement of the convolutional inductive bias at 15.5 percentage points. The IT signals confirmed that this ceiling is architectural rather than parametric: representational capacity (effective rank, intrinsic dimensionality) continued growing well past the accuracy plateau.</w:t>
      </w:r>
    </w:p>
    <w:p>
      <w:pPr>
        <w:spacing w:after="120"/>
      </w:pPr>
      <w:r>
        <w:rPr>
          <w:rFonts w:ascii="Arial" w:cs="Arial" w:eastAsia="Arial" w:hAnsi="Arial"/>
          <w:sz w:val="22"/>
          <w:szCs w:val="22"/>
        </w:rPr>
        <w:t xml:space="preserve">Dataset-informed initialisation (PCsInit + teacher projection + LSUV) delivered a +14.5 pp cold-start advantage, confirming the value of data-aware weight initialisation. Skip connections showed context-dependent benefit: neutral at shallow depth on easy data, but +17.9 pp on harder balanced data where gradient flow matters.</w:t>
      </w:r>
    </w:p>
    <w:p>
      <w:pPr>
        <w:spacing w:after="120"/>
      </w:pPr>
      <w:r>
        <w:rPr>
          <w:rFonts w:ascii="Arial" w:cs="Arial" w:eastAsia="Arial" w:hAnsi="Arial"/>
          <w:sz w:val="22"/>
          <w:szCs w:val="22"/>
        </w:rPr>
        <w:t xml:space="preserve">The core principle—that capacity should be an emergent property of training, determined by the tension between model and data complexity rather than fixed by the designer—offers a principled alternative to architecture search and manual capacity tuning, and maintains a direct and measurable connection to the biological neuroplasticity that motivates it.</w:t>
      </w:r>
    </w:p>
    <w:p>
      <w:pPr>
        <w:spacing w:after="300"/>
      </w:pPr>
    </w:p>
    <w:p>
      <w:pPr>
        <w:pBdr>
          <w:bottom w:val="single" w:color="2E75B6" w:sz="4" w:space="8"/>
        </w:pBdr>
        <w:spacing w:after="200"/>
      </w:pPr>
    </w:p>
    <w:p>
      <w:pPr>
        <w:pStyle w:val="Heading1"/>
      </w:pPr>
      <w:r>
        <w:t xml:space="preserve">11.  References</w:t>
      </w:r>
    </w:p>
    <w:p>
      <w:pPr>
        <w:spacing w:after="120"/>
      </w:pPr>
      <w:r>
        <w:rPr>
          <w:rFonts w:ascii="Arial" w:cs="Arial" w:eastAsia="Arial" w:hAnsi="Arial"/>
          <w:sz w:val="22"/>
          <w:szCs w:val="22"/>
        </w:rPr>
        <w:t xml:space="preserve">Chen, T., Goodfellow, I., &amp; Shlens, J. (2016). Net2Net: Accelerating Learning via Knowledge Transfer. ICLR.</w:t>
      </w:r>
    </w:p>
    <w:p>
      <w:pPr>
        <w:spacing w:after="120"/>
      </w:pPr>
      <w:r>
        <w:rPr>
          <w:rFonts w:ascii="Arial" w:cs="Arial" w:eastAsia="Arial" w:hAnsi="Arial"/>
          <w:sz w:val="22"/>
          <w:szCs w:val="22"/>
        </w:rPr>
        <w:t xml:space="preserve">Facco, E., d’Errico, M., Rodriguez, A., &amp; Laio, A. (2017). Estimating the intrinsic dimension of datasets by a minimal neighborhood information. Scientific Reports, 7, 12140.</w:t>
      </w:r>
    </w:p>
    <w:p>
      <w:pPr>
        <w:spacing w:after="120"/>
      </w:pPr>
      <w:r>
        <w:rPr>
          <w:rFonts w:ascii="Arial" w:cs="Arial" w:eastAsia="Arial" w:hAnsi="Arial"/>
          <w:sz w:val="22"/>
          <w:szCs w:val="22"/>
        </w:rPr>
        <w:t xml:space="preserve">Mishkin, D. &amp; Matas, J. (2015). All you need is a good init. arXiv:1511.06422.</w:t>
      </w:r>
    </w:p>
    <w:p>
      <w:pPr>
        <w:spacing w:after="120"/>
      </w:pPr>
      <w:r>
        <w:rPr>
          <w:rFonts w:ascii="Arial" w:cs="Arial" w:eastAsia="Arial" w:hAnsi="Arial"/>
          <w:sz w:val="22"/>
          <w:szCs w:val="22"/>
        </w:rPr>
        <w:t xml:space="preserve">Roy, O. &amp; Vetterli, M. (2007). The effective rank: A measure of effective dimensionality. EUSIPCO.</w:t>
      </w:r>
    </w:p>
    <w:p>
      <w:pPr>
        <w:spacing w:after="120"/>
      </w:pPr>
      <w:r>
        <w:rPr>
          <w:rFonts w:ascii="Arial" w:cs="Arial" w:eastAsia="Arial" w:hAnsi="Arial"/>
          <w:sz w:val="22"/>
          <w:szCs w:val="22"/>
        </w:rPr>
        <w:t xml:space="preserve">Tishby, N. &amp; Schwartz-Ziv, R. (2017). Opening the Black Box of Deep Neural Networks via Information. ITW.</w:t>
      </w:r>
    </w:p>
    <w:p>
      <w:pPr>
        <w:spacing w:after="120"/>
      </w:pPr>
      <w:r>
        <w:rPr>
          <w:rFonts w:ascii="Arial" w:cs="Arial" w:eastAsia="Arial" w:hAnsi="Arial"/>
          <w:sz w:val="22"/>
          <w:szCs w:val="22"/>
        </w:rPr>
        <w:t xml:space="preserve">Zhang, H., Dauphin, Y., &amp; Ma, T. (2019). Fixup Initialization: Residual Learning Without Normalization. ICLR.</w:t>
      </w:r>
    </w:p>
    <w:p>
      <w:pPr>
        <w:spacing w:after="120"/>
      </w:pPr>
      <w:r>
        <w:rPr>
          <w:rFonts w:ascii="Arial" w:cs="Arial" w:eastAsia="Arial" w:hAnsi="Arial"/>
          <w:sz w:val="22"/>
          <w:szCs w:val="22"/>
        </w:rPr>
        <w:t xml:space="preserve">arXiv:2501.19114 (2025). PCsInit: PCA-based layer initialisation.</w:t>
      </w:r>
    </w:p>
    <w:p>
      <w:pPr>
        <w:spacing w:after="120"/>
      </w:pPr>
      <w:r>
        <w:rPr>
          <w:rFonts w:ascii="Arial" w:cs="Arial" w:eastAsia="Arial" w:hAnsi="Arial"/>
          <w:sz w:val="22"/>
          <w:szCs w:val="22"/>
        </w:rPr>
        <w:t xml:space="preserve">Brukhim, N. &amp; Hazan, E. (2024). airbench95: CIFAR-10 in 10 seconds. Technical report.</w:t>
      </w:r>
    </w:p>
    <w:p>
      <w:r>
        <w:br w:type="page"/>
      </w:r>
    </w:p>
    <w:p>
      <w:pPr>
        <w:pStyle w:val="Heading1"/>
      </w:pPr>
      <w:r>
        <w:t xml:space="preserve">12.  Appendix: Reproduction Guide</w:t>
      </w:r>
    </w:p>
    <w:p>
      <w:pPr>
        <w:pStyle w:val="Heading2"/>
      </w:pPr>
      <w:r>
        <w:t xml:space="preserve">12.1  Repository Structure</w:t>
      </w:r>
    </w:p>
    <w:p>
      <w:pPr>
        <w:spacing w:after="120"/>
      </w:pPr>
      <w:r>
        <w:rPr>
          <w:rFonts w:ascii="Arial" w:cs="Arial" w:eastAsia="Arial" w:hAnsi="Arial"/>
          <w:sz w:val="22"/>
          <w:szCs w:val="22"/>
        </w:rPr>
        <w:t xml:space="preserve">The complete codebase is organised as a Python package (neuroplasticity-growing-nn/) with the following structure:</w:t>
      </w:r>
    </w:p>
    <w:p>
      <w:pPr>
        <w:spacing w:after="120"/>
      </w:pPr>
      <w:r>
        <w:rPr>
          <w:rFonts w:ascii="Arial" w:cs="Arial" w:eastAsia="Arial" w:hAnsi="Arial"/>
          <w:sz w:val="22"/>
          <w:szCs w:val="22"/>
        </w:rPr>
        <w:t xml:space="preserve">neuroplasticity/data/cifar_analog.py — Balanced CIFAR-10 analog dataset generator</w:t>
      </w:r>
    </w:p>
    <w:p>
      <w:pPr>
        <w:spacing w:after="120"/>
      </w:pPr>
      <w:r>
        <w:rPr>
          <w:rFonts w:ascii="Arial" w:cs="Arial" w:eastAsia="Arial" w:hAnsi="Arial"/>
          <w:sz w:val="22"/>
          <w:szCs w:val="22"/>
        </w:rPr>
        <w:t xml:space="preserve">neuroplasticity/models/growing_mlp.py — Plain MLP with Adam optimiser</w:t>
      </w:r>
    </w:p>
    <w:p>
      <w:pPr>
        <w:spacing w:after="120"/>
      </w:pPr>
      <w:r>
        <w:rPr>
          <w:rFonts w:ascii="Arial" w:cs="Arial" w:eastAsia="Arial" w:hAnsi="Arial"/>
          <w:sz w:val="22"/>
          <w:szCs w:val="22"/>
        </w:rPr>
        <w:t xml:space="preserve">neuroplasticity/models/skip_mlp.py — SkipMLP with residual blocks and verified backward pass</w:t>
      </w:r>
    </w:p>
    <w:p>
      <w:pPr>
        <w:spacing w:after="120"/>
      </w:pPr>
      <w:r>
        <w:rPr>
          <w:rFonts w:ascii="Arial" w:cs="Arial" w:eastAsia="Arial" w:hAnsi="Arial"/>
          <w:sz w:val="22"/>
          <w:szCs w:val="22"/>
        </w:rPr>
        <w:t xml:space="preserve">neuroplasticity/growth/operators.py — Net2Net grow_width/grow_depth for both architectures</w:t>
      </w:r>
    </w:p>
    <w:p>
      <w:pPr>
        <w:spacing w:after="120"/>
      </w:pPr>
      <w:r>
        <w:rPr>
          <w:rFonts w:ascii="Arial" w:cs="Arial" w:eastAsia="Arial" w:hAnsi="Arial"/>
          <w:sz w:val="22"/>
          <w:szCs w:val="22"/>
        </w:rPr>
        <w:t xml:space="preserve">neuroplasticity/growth/controller.py — NeuroplasticityController (struggle detector)</w:t>
      </w:r>
    </w:p>
    <w:p>
      <w:pPr>
        <w:spacing w:after="120"/>
      </w:pPr>
      <w:r>
        <w:rPr>
          <w:rFonts w:ascii="Arial" w:cs="Arial" w:eastAsia="Arial" w:hAnsi="Arial"/>
          <w:sz w:val="22"/>
          <w:szCs w:val="22"/>
        </w:rPr>
        <w:t xml:space="preserve">neuroplasticity/metrics/ — Effective Rank, Fisher Trace, I(T;Y), TwoNN ID</w:t>
      </w:r>
    </w:p>
    <w:p>
      <w:pPr>
        <w:spacing w:after="120"/>
      </w:pPr>
      <w:r>
        <w:rPr>
          <w:rFonts w:ascii="Arial" w:cs="Arial" w:eastAsia="Arial" w:hAnsi="Arial"/>
          <w:sz w:val="22"/>
          <w:szCs w:val="22"/>
        </w:rPr>
        <w:t xml:space="preserve">neuroplasticity/init/ — PCsInit, LSUV, teacher projection, combined pipeline</w:t>
      </w:r>
    </w:p>
    <w:p>
      <w:pPr>
        <w:spacing w:after="120"/>
      </w:pPr>
      <w:r>
        <w:rPr>
          <w:rFonts w:ascii="Arial" w:cs="Arial" w:eastAsia="Arial" w:hAnsi="Arial"/>
          <w:sz w:val="22"/>
          <w:szCs w:val="22"/>
        </w:rPr>
        <w:t xml:space="preserve">neuroplasticity/training/trainer.py — Generic Trainer + History</w:t>
      </w:r>
    </w:p>
    <w:p>
      <w:pPr>
        <w:spacing w:after="120"/>
      </w:pPr>
      <w:r>
        <w:rPr>
          <w:rFonts w:ascii="Arial" w:cs="Arial" w:eastAsia="Arial" w:hAnsi="Arial"/>
          <w:sz w:val="22"/>
          <w:szCs w:val="22"/>
        </w:rPr>
        <w:t xml:space="preserve">neuroplasticity/utils/visualise.py — Multi-panel figure generation</w:t>
      </w:r>
    </w:p>
    <w:p>
      <w:pPr>
        <w:spacing w:after="120"/>
      </w:pPr>
      <w:r>
        <w:rPr>
          <w:rFonts w:ascii="Arial" w:cs="Arial" w:eastAsia="Arial" w:hAnsi="Arial"/>
          <w:sz w:val="22"/>
          <w:szCs w:val="22"/>
        </w:rPr>
        <w:t xml:space="preserve">experiments/run_baseline_mlp.py — Baseline MLP experiment</w:t>
      </w:r>
    </w:p>
    <w:p>
      <w:pPr>
        <w:spacing w:after="120"/>
      </w:pPr>
      <w:r>
        <w:rPr>
          <w:rFonts w:ascii="Arial" w:cs="Arial" w:eastAsia="Arial" w:hAnsi="Arial"/>
          <w:sz w:val="22"/>
          <w:szCs w:val="22"/>
        </w:rPr>
        <w:t xml:space="preserve">experiments/run_phase3_skip.py — SkipMLP + dataset-informed init experiment</w:t>
      </w:r>
    </w:p>
    <w:p>
      <w:pPr>
        <w:pStyle w:val="Heading2"/>
      </w:pPr>
      <w:r>
        <w:t xml:space="preserve">12.2  Running the Experiments</w:t>
      </w:r>
    </w:p>
    <w:p>
      <w:pPr>
        <w:spacing w:after="120"/>
      </w:pPr>
      <w:r>
        <w:rPr>
          <w:rFonts w:ascii="Arial" w:cs="Arial" w:eastAsia="Arial" w:hAnsi="Arial"/>
          <w:sz w:val="22"/>
          <w:szCs w:val="22"/>
        </w:rPr>
        <w:t xml:space="preserve">Requirements: numpy &gt;= 1.24, scipy &gt;= 1.10, matplotlib &gt;= 3.7. No GPU required.</w:t>
      </w:r>
    </w:p>
    <w:p>
      <w:pPr>
        <w:spacing w:after="120"/>
      </w:pPr>
      <w:r>
        <w:rPr>
          <w:rFonts w:ascii="Arial" w:cs="Arial" w:eastAsia="Arial" w:hAnsi="Arial"/>
          <w:sz w:val="22"/>
          <w:szCs w:val="22"/>
        </w:rPr>
        <w:t xml:space="preserve">Baseline: python experiments/run_baseline_mlp.py</w:t>
      </w:r>
    </w:p>
    <w:p>
      <w:pPr>
        <w:spacing w:after="120"/>
      </w:pPr>
      <w:r>
        <w:rPr>
          <w:rFonts w:ascii="Arial" w:cs="Arial" w:eastAsia="Arial" w:hAnsi="Arial"/>
          <w:sz w:val="22"/>
          <w:szCs w:val="22"/>
        </w:rPr>
        <w:t xml:space="preserve">Phase 3: python experiments/run_phase3_skip.py --epochs 90 --max-params 280000</w:t>
      </w:r>
    </w:p>
    <w:p>
      <w:pPr>
        <w:pStyle w:val="Heading2"/>
      </w:pPr>
      <w:r>
        <w:t xml:space="preserve">12.3  Contact</w:t>
      </w:r>
    </w:p>
    <w:p>
      <w:pPr>
        <w:spacing w:after="120"/>
      </w:pPr>
      <w:r>
        <w:rPr>
          <w:rFonts w:ascii="Arial" w:cs="Arial" w:eastAsia="Arial" w:hAnsi="Arial"/>
          <w:sz w:val="22"/>
          <w:szCs w:val="22"/>
        </w:rPr>
        <w:t xml:space="preserve">Evam Kaushik — evam.kaushik@adelaide.edu.au — University of Adelaide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888888"/>
        <w:sz w:val="18"/>
        <w:szCs w:val="18"/>
      </w:rPr>
      <w:t xml:space="preserve">Neuroplasticity-Inspired Growing Neural Networks</w:t>
    </w:r>
    <w:r>
      <w:ptab w:alignment="right" w:relativeTo="margin" w:leader="none"/>
    </w:r>
    <w:r>
      <w:rPr>
        <w:rFonts w:ascii="Arial" w:cs="Arial" w:eastAsia="Arial" w:hAnsi="Arial"/>
        <w:color w:val="888888"/>
        <w:sz w:val="18"/>
        <w:szCs w:val="18"/>
      </w:rPr>
      <w:t xml:space="preserve">Evam Kaushik — University of Adelaide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40"/>
      <w:outlineLvl w:val="0"/>
    </w:pPr>
    <w:rPr>
      <w:rFonts w:ascii="Arial" w:cs="Arial" w:eastAsia="Arial" w:hAnsi="Arial"/>
      <w:b/>
      <w:bCs/>
      <w:color w:val="1B2838"/>
      <w:sz w:val="34"/>
      <w:szCs w:val="34"/>
    </w:rPr>
  </w:style>
  <w:style w:type="paragraph" w:styleId="Heading2">
    <w:name w:val="Heading 2"/>
    <w:basedOn w:val="Normal"/>
    <w:next w:val="Normal"/>
    <w:qFormat/>
    <w:pPr>
      <w:spacing w:before="280" w:after="160"/>
      <w:outlineLvl w:val="1"/>
    </w:pPr>
    <w:rPr>
      <w:rFonts w:ascii="Arial" w:cs="Arial" w:eastAsia="Arial" w:hAnsi="Arial"/>
      <w:b/>
      <w:bCs/>
      <w:color w:val="2E4057"/>
      <w:sz w:val="28"/>
      <w:szCs w:val="28"/>
    </w:rPr>
  </w:style>
  <w:style w:type="paragraph" w:styleId="Heading3">
    <w:name w:val="Heading 3"/>
    <w:basedOn w:val="Normal"/>
    <w:next w:val="Normal"/>
    <w:qFormat/>
    <w:pPr>
      <w:spacing w:before="200" w:after="12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3f3b6c8f3be884d1337f5f59e3e5027dc672854a.png"/><Relationship Id="rId9" Type="http://schemas.openxmlformats.org/officeDocument/2006/relationships/image" Target="media/8eae5a1456294bd698e0638dd2bc6c2018081adf.png"/><Relationship Id="rId10" Type="http://schemas.openxmlformats.org/officeDocument/2006/relationships/image" Target="media/4338f041ee2d7dbd6369d644bc200863d2e607af.png"/><Relationship Id="rId11" Type="http://schemas.openxmlformats.org/officeDocument/2006/relationships/image" Target="media/da4d432593f976e5e14648cf1814925cd2005c03.png"/><Relationship Id="rId12"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2026-03-25T03:16:19.292Z</dcterms:created>
  <dcterms:modified xsi:type="dcterms:W3CDTF">2026-03-25T03:16:19.293Z</dcterms:modified>
</cp:coreProperties>
</file>

<file path=docProps/custom.xml><?xml version="1.0" encoding="utf-8"?>
<Properties xmlns="http://schemas.openxmlformats.org/officeDocument/2006/custom-properties" xmlns:vt="http://schemas.openxmlformats.org/officeDocument/2006/docPropsVTypes"/>
</file>