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jc w:val="center"/>
      </w:pPr>
      <w:r>
        <w:rPr>
          <w:rFonts w:ascii="Arial" w:cs="Arial" w:eastAsia="Arial" w:hAnsi="Arial"/>
          <w:b/>
          <w:bCs/>
          <w:color w:val="1F3864"/>
          <w:sz w:val="48"/>
          <w:szCs w:val="48"/>
        </w:rPr>
        <w:t xml:space="preserve">Neuroplasticity-Inspired Growing Neural Network</w:t>
      </w:r>
    </w:p>
    <w:p>
      <w:pPr>
        <w:spacing w:before="0" w:after="80"/>
        <w:jc w:val="center"/>
      </w:pPr>
      <w:r>
        <w:rPr>
          <w:rFonts w:ascii="Arial" w:cs="Arial" w:eastAsia="Arial" w:hAnsi="Arial"/>
          <w:i/>
          <w:iCs/>
          <w:color w:val="0D6E8A"/>
          <w:sz w:val="30"/>
          <w:szCs w:val="30"/>
        </w:rPr>
        <w:t xml:space="preserve">Experiment Report: CIFAR-10 Analog Dataset</w:t>
      </w:r>
    </w:p>
    <w:p>
      <w:pPr>
        <w:spacing w:before="0" w:after="320"/>
        <w:jc w:val="center"/>
      </w:pPr>
      <w:r>
        <w:rPr>
          <w:rFonts w:ascii="Arial" w:cs="Arial" w:eastAsia="Arial" w:hAnsi="Arial"/>
          <w:color w:val="64748B"/>
          <w:sz w:val="20"/>
          <w:szCs w:val="20"/>
        </w:rPr>
        <w:t xml:space="preserve">Width-First Growth  ·  Four Information-Theoretic Signals  ·  Net2Net Weight Copying</w:t>
      </w:r>
    </w:p>
    <w:p>
      <w:pPr>
        <w:pBdr>
          <w:bottom w:val="single" w:color="E2E8F0" w:sz="4" w:space="1"/>
        </w:pBdr>
        <w:spacing w:before="80" w:after="80"/>
      </w:pPr>
      <w:r>
        <w:rPr>
          <w:rFonts w:ascii="Arial" w:cs="Arial" w:eastAsia="Arial" w:hAnsi="Arial"/>
        </w:rPr>
        <w:t xml:space="preserve"/>
      </w:r>
    </w:p>
    <w:p>
      <w:pPr>
        <w:pStyle w:val="Heading1"/>
        <w:pBdr>
          <w:bottom w:val="single" w:color="0D6E8A" w:sz="6" w:space="6"/>
        </w:pBdr>
        <w:spacing w:before="360" w:after="160"/>
      </w:pPr>
      <w:r>
        <w:rPr>
          <w:rFonts w:ascii="Arial" w:cs="Arial" w:eastAsia="Arial" w:hAnsi="Arial"/>
          <w:b/>
          <w:bCs/>
          <w:color w:val="1F3864"/>
          <w:sz w:val="32"/>
          <w:szCs w:val="32"/>
        </w:rPr>
        <w:t xml:space="preserve">Executive Summary</w:t>
      </w:r>
    </w:p>
    <w:p>
      <w:pPr>
        <w:spacing w:after="180" w:before="0"/>
        <w:jc w:val="left"/>
      </w:pPr>
      <w:r>
        <w:rPr>
          <w:rFonts w:ascii="Arial" w:cs="Arial" w:eastAsia="Arial" w:hAnsi="Arial"/>
          <w:b w:val="false"/>
          <w:bCs w:val="false"/>
          <w:i w:val="false"/>
          <w:iCs w:val="false"/>
          <w:color w:val="1E293B"/>
          <w:sz w:val="22"/>
          <w:szCs w:val="22"/>
        </w:rPr>
        <w:t xml:space="preserve">This report documents a computational experiment simulating neuroplasticity: a neural network that begins too small to solve a task and grows new neurons autonomously in direct response to struggle, guided by four information-theoretic signals. Starting from 458 parameters—structurally guaranteed to underfit—the network grew to 13,994 parameters across six autonomous width-growth events over 65 epochs, achieving 89.1% train accuracy and 75.8% test accuracy on a CIFAR-10 analog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Initial (Epoch 1)</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 (Epoch 65)</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Architecture</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[96, 4, 4, 10]</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[96, 64, 64,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Parameters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458</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13,994  (31× growth)</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Train Accuracy</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14.5%</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89.1%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Test Accuracy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18.6%</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75.8%</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Effective Rank</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3.57</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31.45  (8.8× increase)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Rep. Intrinsic Dim.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1.72</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9.01  (47% gap closed)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Growth Events</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w:t>
            </w:r>
          </w:p>
        </w:tc>
        <w:tc>
          <w:tcPr>
            <w:tcW w:type="dxa" w:w="33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6 width growths</w:t>
            </w:r>
          </w:p>
        </w:tc>
      </w:tr>
    </w:tbl>
    <w:p>
      <w:pPr>
        <w:spacing w:after="80"/>
      </w:pPr>
      <w:r>
        <w:t xml:space="preserve"/>
      </w:r>
    </w:p>
    <w:p>
      <w:pPr>
        <w:pStyle w:val="Heading1"/>
        <w:pBdr>
          <w:bottom w:val="single" w:color="0D6E8A" w:sz="6" w:space="6"/>
        </w:pBdr>
        <w:spacing w:before="360" w:after="160"/>
      </w:pPr>
      <w:r>
        <w:rPr>
          <w:rFonts w:ascii="Arial" w:cs="Arial" w:eastAsia="Arial" w:hAnsi="Arial"/>
          <w:b/>
          <w:bCs/>
          <w:color w:val="1F3864"/>
          <w:sz w:val="32"/>
          <w:szCs w:val="32"/>
        </w:rPr>
        <w:t xml:space="preserve">1.  Motivation and Conceptual Framework</w:t>
      </w:r>
    </w:p>
    <w:p>
      <w:pPr>
        <w:pStyle w:val="Heading2"/>
        <w:spacing w:before="240" w:after="100"/>
      </w:pPr>
      <w:r>
        <w:rPr>
          <w:rFonts w:ascii="Arial" w:cs="Arial" w:eastAsia="Arial" w:hAnsi="Arial"/>
          <w:b/>
          <w:bCs/>
          <w:color w:val="0D6E8A"/>
          <w:sz w:val="26"/>
          <w:szCs w:val="26"/>
        </w:rPr>
        <w:t xml:space="preserve">1.1  The Neuroscience Analogy</w:t>
      </w:r>
    </w:p>
    <w:p>
      <w:pPr>
        <w:spacing w:after="160" w:before="0"/>
        <w:jc w:val="left"/>
      </w:pPr>
      <w:r>
        <w:rPr>
          <w:rFonts w:ascii="Arial" w:cs="Arial" w:eastAsia="Arial" w:hAnsi="Arial"/>
          <w:b w:val="false"/>
          <w:bCs w:val="false"/>
          <w:i w:val="false"/>
          <w:iCs w:val="false"/>
          <w:color w:val="1E293B"/>
          <w:sz w:val="22"/>
          <w:szCs w:val="22"/>
        </w:rPr>
        <w:t xml:space="preserve">When humans learn through struggle—encountering a problem that exceeds their current capacity—the brain responds through neuroplasticity: the formation of new synaptic connections, dendritic branching, and in some regions, neurogenesis. This is not metaphorical growth; it is a measurable, physical increase in neural connectivity directly driven by the mismatch between the complexity of the environment and the current representational capacity of the brain.</w:t>
      </w:r>
    </w:p>
    <w:p>
      <w:pPr>
        <w:spacing w:after="160" w:before="0"/>
        <w:jc w:val="left"/>
      </w:pPr>
      <w:r>
        <w:rPr>
          <w:rFonts w:ascii="Arial" w:cs="Arial" w:eastAsia="Arial" w:hAnsi="Arial"/>
          <w:b w:val="false"/>
          <w:bCs w:val="false"/>
          <w:i w:val="false"/>
          <w:iCs w:val="false"/>
          <w:color w:val="1E293B"/>
          <w:sz w:val="22"/>
          <w:szCs w:val="22"/>
        </w:rPr>
        <w:t xml:space="preserve">This experiment operationalises that principle directly. A neural network starts with a capacity so small it is structurally incapable of solving the task. When it detects it is struggling—accuracy below a threshold and improvement stalled—it grows new neurons. New neurons begin near-zero (weak synapses), then strengthen through gradient descent (learning through experience). The parallel to biological neuroplasticity is intentional and exact.</w:t>
      </w:r>
    </w:p>
    <w:p>
      <w:pPr>
        <w:pStyle w:val="Heading2"/>
        <w:spacing w:before="240" w:after="100"/>
      </w:pPr>
      <w:r>
        <w:rPr>
          <w:rFonts w:ascii="Arial" w:cs="Arial" w:eastAsia="Arial" w:hAnsi="Arial"/>
          <w:b/>
          <w:bCs/>
          <w:color w:val="0D6E8A"/>
          <w:sz w:val="26"/>
          <w:szCs w:val="26"/>
        </w:rPr>
        <w:t xml:space="preserve">1.2  What Makes This Different from Standard Training</w:t>
      </w:r>
    </w:p>
    <w:p>
      <w:pPr>
        <w:spacing w:after="160" w:before="0"/>
        <w:jc w:val="left"/>
      </w:pPr>
      <w:r>
        <w:rPr>
          <w:rFonts w:ascii="Arial" w:cs="Arial" w:eastAsia="Arial" w:hAnsi="Arial"/>
          <w:b w:val="false"/>
          <w:bCs w:val="false"/>
          <w:i w:val="false"/>
          <w:iCs w:val="false"/>
          <w:color w:val="1E293B"/>
          <w:sz w:val="22"/>
          <w:szCs w:val="22"/>
        </w:rPr>
        <w:t xml:space="preserve">Standard deep learning fixes the architecture before training begins. Network capacity is a hyperparameter chosen by the designer. This experiment instead treats capacity as an emergent property of the training process itself—determined by the interplay between the model’s current representational ability and the statistical complexity of the data. Four information-theoretic signals continuously measure this mismatch and jointly determine when and how the model should grow.</w:t>
      </w:r>
    </w:p>
    <w:p>
      <w:pPr>
        <w:pStyle w:val="Heading1"/>
        <w:pBdr>
          <w:bottom w:val="single" w:color="0D6E8A" w:sz="6" w:space="6"/>
        </w:pBdr>
        <w:spacing w:before="360" w:after="160"/>
      </w:pPr>
      <w:r>
        <w:rPr>
          <w:rFonts w:ascii="Arial" w:cs="Arial" w:eastAsia="Arial" w:hAnsi="Arial"/>
          <w:b/>
          <w:bCs/>
          <w:color w:val="1F3864"/>
          <w:sz w:val="32"/>
          <w:szCs w:val="32"/>
        </w:rPr>
        <w:t xml:space="preserve">2.  Dataset: CIFAR-10 Analog</w:t>
      </w:r>
    </w:p>
    <w:p>
      <w:pPr>
        <w:pStyle w:val="Heading2"/>
        <w:spacing w:before="240" w:after="100"/>
      </w:pPr>
      <w:r>
        <w:rPr>
          <w:rFonts w:ascii="Arial" w:cs="Arial" w:eastAsia="Arial" w:hAnsi="Arial"/>
          <w:b/>
          <w:bCs/>
          <w:color w:val="0D6E8A"/>
          <w:sz w:val="26"/>
          <w:szCs w:val="26"/>
        </w:rPr>
        <w:t xml:space="preserve">2.1  Design Rationale</w:t>
      </w:r>
    </w:p>
    <w:p>
      <w:pPr>
        <w:spacing w:after="160" w:before="0"/>
        <w:jc w:val="left"/>
      </w:pPr>
      <w:r>
        <w:rPr>
          <w:rFonts w:ascii="Arial" w:cs="Arial" w:eastAsia="Arial" w:hAnsi="Arial"/>
          <w:b w:val="false"/>
          <w:bCs w:val="false"/>
          <w:i w:val="false"/>
          <w:iCs w:val="false"/>
          <w:color w:val="1E293B"/>
          <w:sz w:val="22"/>
          <w:szCs w:val="22"/>
        </w:rPr>
        <w:t xml:space="preserve">The experiment uses a synthetic CIFAR-10 analog that preserves all the structural properties of the real benchmark—high ambient dimensionality (3,072), 10 non-linearly separated classes, CNN-style feature extraction—while enabling controlled ground-truth properties: known intrinsic dimensionality, verifiable non-linear decision boundaries, and compatibility with a memory-constrained pure-NumPy environment.</w:t>
      </w:r>
    </w:p>
    <w:p>
      <w:pPr>
        <w:pStyle w:val="Heading2"/>
        <w:spacing w:before="240" w:after="100"/>
      </w:pPr>
      <w:r>
        <w:rPr>
          <w:rFonts w:ascii="Arial" w:cs="Arial" w:eastAsia="Arial" w:hAnsi="Arial"/>
          <w:b/>
          <w:bCs/>
          <w:color w:val="0D6E8A"/>
          <w:sz w:val="26"/>
          <w:szCs w:val="26"/>
        </w:rPr>
        <w:t xml:space="preserve">2.2  Generation Pipeline</w:t>
      </w:r>
    </w:p>
    <w:p>
      <w:pPr>
        <w:spacing w:after="160" w:before="0"/>
        <w:jc w:val="left"/>
      </w:pPr>
      <w:r>
        <w:rPr>
          <w:rFonts w:ascii="Arial" w:cs="Arial" w:eastAsia="Arial" w:hAnsi="Arial"/>
          <w:b w:val="false"/>
          <w:bCs w:val="false"/>
          <w:i w:val="false"/>
          <w:iCs w:val="false"/>
          <w:color w:val="1E293B"/>
          <w:sz w:val="22"/>
          <w:szCs w:val="22"/>
        </w:rPr>
        <w:t xml:space="preserve">The pipeline proceeds in three stages. First, 12-dimensional latent codes with pairwise XOR-style interactions are generated: for each adjacent pair (i, j), the combined signal is tanh(zᵢ · zⱼ), introducing cross-product terms that a linear projection cannot represent. Second, this is projected into 3,072-dimensional ambient space via a two-layer tanh embedding with 0.18σ ambient noise. Third, CNN-style patch features compress the 3,072-dim image to 96-dim activations via ReLU projection. Class labels are then assigned by quadratic scoring functions—sums of pairwise cross-product terms tanh(xᵢ · xⱼ) over 8 randomly sampled feature pairs per class. A 4-neuron model cannot compute these cross-products; growth is not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Training / Test samples</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10,000 / 3,000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Ambient dimensionality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3,072  (32×32×3, same as CIFAR-10)</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MLP input dimensionality</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96  (CNN-style patch features)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Number of classes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10</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Label function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Quadratic cross-product scorer (non-linear)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Chance accuracy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10%</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Noise level</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σ = 0.18 (ambient)</w:t>
            </w:r>
          </w:p>
        </w:tc>
      </w:tr>
    </w:tbl>
    <w:p>
      <w:pPr>
        <w:spacing w:after="80"/>
      </w:pPr>
      <w:r>
        <w:t xml:space="preserve"/>
      </w:r>
    </w:p>
    <w:p>
      <w:pPr>
        <w:pStyle w:val="Heading1"/>
        <w:pBdr>
          <w:bottom w:val="single" w:color="0D6E8A" w:sz="6" w:space="6"/>
        </w:pBdr>
        <w:spacing w:before="360" w:after="160"/>
      </w:pPr>
      <w:r>
        <w:rPr>
          <w:rFonts w:ascii="Arial" w:cs="Arial" w:eastAsia="Arial" w:hAnsi="Arial"/>
          <w:b/>
          <w:bCs/>
          <w:color w:val="1F3864"/>
          <w:sz w:val="32"/>
          <w:szCs w:val="32"/>
        </w:rPr>
        <w:t xml:space="preserve">3.  Architecture and Growth Mechanism</w:t>
      </w:r>
    </w:p>
    <w:p>
      <w:pPr>
        <w:pStyle w:val="Heading2"/>
        <w:spacing w:before="240" w:after="100"/>
      </w:pPr>
      <w:r>
        <w:rPr>
          <w:rFonts w:ascii="Arial" w:cs="Arial" w:eastAsia="Arial" w:hAnsi="Arial"/>
          <w:b/>
          <w:bCs/>
          <w:color w:val="0D6E8A"/>
          <w:sz w:val="26"/>
          <w:szCs w:val="26"/>
        </w:rPr>
        <w:t xml:space="preserve">3.1  Initial Architecture</w:t>
      </w:r>
    </w:p>
    <w:p>
      <w:pPr>
        <w:spacing w:after="160" w:before="0"/>
        <w:jc w:val="left"/>
      </w:pPr>
      <w:r>
        <w:rPr>
          <w:rFonts w:ascii="Arial" w:cs="Arial" w:eastAsia="Arial" w:hAnsi="Arial"/>
          <w:b w:val="false"/>
          <w:bCs w:val="false"/>
          <w:i w:val="false"/>
          <w:iCs w:val="false"/>
          <w:color w:val="1E293B"/>
          <w:sz w:val="22"/>
          <w:szCs w:val="22"/>
        </w:rPr>
        <w:t xml:space="preserve">The experiment begins with MLP[96, 4, 4, 10]: two hidden layers of 4 neurons each, ReLU activations, softmax output, 458 parameters total. With only a 4-dimensional bottleneck representation for a 10-class problem shaped by 8 pairwise quadratic interactions per class, it cannot represent the required decision boundaries regardless of training duration. Structural underfitting is mathematically guaranteed.</w:t>
      </w:r>
    </w:p>
    <w:p>
      <w:pPr>
        <w:pStyle w:val="Heading2"/>
        <w:spacing w:before="240" w:after="100"/>
      </w:pPr>
      <w:r>
        <w:rPr>
          <w:rFonts w:ascii="Arial" w:cs="Arial" w:eastAsia="Arial" w:hAnsi="Arial"/>
          <w:b/>
          <w:bCs/>
          <w:color w:val="0D6E8A"/>
          <w:sz w:val="26"/>
          <w:szCs w:val="26"/>
        </w:rPr>
        <w:t xml:space="preserve">3.2  Growth Protocol</w:t>
      </w:r>
    </w:p>
    <w:p>
      <w:pPr>
        <w:spacing w:after="80" w:before="0"/>
        <w:jc w:val="left"/>
      </w:pPr>
      <w:r>
        <w:rPr>
          <w:rFonts w:ascii="Arial" w:cs="Arial" w:eastAsia="Arial" w:hAnsi="Arial"/>
          <w:b w:val="false"/>
          <w:bCs w:val="false"/>
          <w:i w:val="false"/>
          <w:iCs w:val="false"/>
          <w:color w:val="1E293B"/>
          <w:sz w:val="22"/>
          <w:szCs w:val="22"/>
        </w:rPr>
        <w:t xml:space="preserve">Two growth modes operate in priority order:</w:t>
      </w:r>
    </w:p>
    <w:p>
      <w:pPr>
        <w:pStyle w:val="ListParagraph"/>
        <w:numPr>
          <w:ilvl w:val="0"/>
          <w:numId w:val="2"/>
        </w:numPr>
        <w:spacing w:after="80" w:before="40"/>
      </w:pPr>
      <w:r>
        <w:rPr>
          <w:rFonts w:ascii="Arial" w:cs="Arial" w:eastAsia="Arial" w:hAnsi="Arial"/>
          <w:color w:val="1E293B"/>
          <w:sz w:val="22"/>
          <w:szCs w:val="22"/>
        </w:rPr>
        <w:t xml:space="preserve">Width growth (primary): Add 12 neurons to every hidden layer. Analogous to dendritic branching within an existing cortical layer.</w:t>
      </w:r>
    </w:p>
    <w:p>
      <w:pPr>
        <w:pStyle w:val="ListParagraph"/>
        <w:numPr>
          <w:ilvl w:val="0"/>
          <w:numId w:val="2"/>
        </w:numPr>
        <w:spacing w:after="80" w:before="40"/>
      </w:pPr>
      <w:r>
        <w:rPr>
          <w:rFonts w:ascii="Arial" w:cs="Arial" w:eastAsia="Arial" w:hAnsi="Arial"/>
          <w:color w:val="1E293B"/>
          <w:sz w:val="22"/>
          <w:szCs w:val="22"/>
        </w:rPr>
        <w:t xml:space="preserve">Depth growth (secondary): Insert a new hidden layer (half the width of the last hidden) before the output. Fires only when three consecutive width events each produced less than 1.5% accuracy gain—analogous to the formation of a new functional cortical area when existing layers are saturated.</w:t>
      </w:r>
    </w:p>
    <w:p>
      <w:pPr>
        <w:spacing w:after="80"/>
      </w:pPr>
      <w:r>
        <w:t xml:space="preserve"/>
      </w:r>
    </w:p>
    <w:p>
      <w:pPr>
        <w:pStyle w:val="Heading2"/>
        <w:spacing w:before="240" w:after="100"/>
      </w:pPr>
      <w:r>
        <w:rPr>
          <w:rFonts w:ascii="Arial" w:cs="Arial" w:eastAsia="Arial" w:hAnsi="Arial"/>
          <w:b/>
          <w:bCs/>
          <w:color w:val="0D6E8A"/>
          <w:sz w:val="26"/>
          <w:szCs w:val="26"/>
        </w:rPr>
        <w:t xml:space="preserve">3.3  Net2Net Weight Copying  (Function-Preserving Expansion)</w:t>
      </w:r>
    </w:p>
    <w:p>
      <w:pPr>
        <w:spacing w:after="160" w:before="0"/>
        <w:jc w:val="left"/>
      </w:pPr>
      <w:r>
        <w:rPr>
          <w:rFonts w:ascii="Arial" w:cs="Arial" w:eastAsia="Arial" w:hAnsi="Arial"/>
          <w:b w:val="false"/>
          <w:bCs w:val="false"/>
          <w:i w:val="false"/>
          <w:iCs w:val="false"/>
          <w:color w:val="1E293B"/>
          <w:sz w:val="22"/>
          <w:szCs w:val="22"/>
        </w:rPr>
        <w:t xml:space="preserve">Existing weights are copied exactly into the expanded network. New output neurons receive He-initialised weights at 10% scale (start quiet). New input connections begin near-zero (0.001 scale). Adam momentum state is transferred for existing neurons. Depth insertions use near-identity initialisation (eye × 0.1): the new layer initially acts as a pass-through, then specialises under gradient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160"/>
              <w:bottom w:type="dxa" w:w="120"/>
              <w:right w:type="dxa" w:w="160"/>
            </w:tcMar>
          </w:tcPr>
          <w:p>
            <w:pPr>
              <w:spacing w:after="60"/>
            </w:pPr>
            <w:r>
              <w:rPr>
                <w:rFonts w:ascii="Arial" w:cs="Arial" w:eastAsia="Arial" w:hAnsi="Arial"/>
                <w:b/>
                <w:bCs/>
                <w:color w:val="0D6E8A"/>
                <w:sz w:val="22"/>
                <w:szCs w:val="22"/>
              </w:rPr>
              <w:t xml:space="preserve">Biological parallel</w:t>
            </w:r>
          </w:p>
          <w:p>
            <w:pPr>
              <w:spacing w:after="0"/>
            </w:pPr>
            <w:r>
              <w:rPr>
                <w:rFonts w:ascii="Arial" w:cs="Arial" w:eastAsia="Arial" w:hAnsi="Arial"/>
                <w:color w:val="374151"/>
                <w:sz w:val="20"/>
                <w:szCs w:val="20"/>
              </w:rPr>
              <w:t xml:space="preserve">Newly formed synapses begin with low weights and strengthen through long-term potentiation. The 10%-scale initialisation and near-zero input connections replicate this exactly: new neurons start weak and earn their influence through training.</w:t>
            </w:r>
          </w:p>
        </w:tc>
      </w:tr>
    </w:tbl>
    <w:p>
      <w:pPr>
        <w:spacing w:after="80"/>
      </w:pPr>
      <w:r>
        <w:t xml:space="preserve"/>
      </w:r>
    </w:p>
    <w:p>
      <w:pPr>
        <w:pStyle w:val="Heading2"/>
        <w:spacing w:before="240" w:after="100"/>
      </w:pPr>
      <w:r>
        <w:rPr>
          <w:rFonts w:ascii="Arial" w:cs="Arial" w:eastAsia="Arial" w:hAnsi="Arial"/>
          <w:b/>
          <w:bCs/>
          <w:color w:val="0D6E8A"/>
          <w:sz w:val="26"/>
          <w:szCs w:val="26"/>
        </w:rPr>
        <w:t xml:space="preserve">3.4  The Struggle Detector</w:t>
      </w:r>
    </w:p>
    <w:p>
      <w:pPr>
        <w:spacing w:after="80" w:before="0"/>
        <w:jc w:val="left"/>
      </w:pPr>
      <w:r>
        <w:rPr>
          <w:rFonts w:ascii="Arial" w:cs="Arial" w:eastAsia="Arial" w:hAnsi="Arial"/>
          <w:b w:val="false"/>
          <w:bCs w:val="false"/>
          <w:i w:val="false"/>
          <w:iCs w:val="false"/>
          <w:color w:val="1E293B"/>
          <w:sz w:val="22"/>
          <w:szCs w:val="22"/>
        </w:rPr>
        <w:t xml:space="preserve">Growth fires when all three conditions hold simultaneously:</w:t>
      </w:r>
    </w:p>
    <w:p>
      <w:pPr>
        <w:pStyle w:val="ListParagraph"/>
        <w:numPr>
          <w:ilvl w:val="0"/>
          <w:numId w:val="2"/>
        </w:numPr>
        <w:spacing w:after="80" w:before="40"/>
      </w:pPr>
      <w:r>
        <w:rPr>
          <w:rFonts w:ascii="Arial" w:cs="Arial" w:eastAsia="Arial" w:hAnsi="Arial"/>
          <w:color w:val="1E293B"/>
          <w:sz w:val="22"/>
          <w:szCs w:val="22"/>
        </w:rPr>
        <w:t xml:space="preserve">Train accuracy below 88%  →  model is genuinely struggling</w:t>
      </w:r>
    </w:p>
    <w:p>
      <w:pPr>
        <w:pStyle w:val="ListParagraph"/>
        <w:numPr>
          <w:ilvl w:val="0"/>
          <w:numId w:val="2"/>
        </w:numPr>
        <w:spacing w:after="80" w:before="40"/>
      </w:pPr>
      <w:r>
        <w:rPr>
          <w:rFonts w:ascii="Arial" w:cs="Arial" w:eastAsia="Arial" w:hAnsi="Arial"/>
          <w:color w:val="1E293B"/>
          <w:sz w:val="22"/>
          <w:szCs w:val="22"/>
        </w:rPr>
        <w:t xml:space="preserve">Accuracy gain in the last epoch below 0.6%  →  improvement has stalled</w:t>
      </w:r>
    </w:p>
    <w:p>
      <w:pPr>
        <w:pStyle w:val="ListParagraph"/>
        <w:numPr>
          <w:ilvl w:val="0"/>
          <w:numId w:val="2"/>
        </w:numPr>
        <w:spacing w:after="80" w:before="40"/>
      </w:pPr>
      <w:r>
        <w:rPr>
          <w:rFonts w:ascii="Arial" w:cs="Arial" w:eastAsia="Arial" w:hAnsi="Arial"/>
          <w:color w:val="1E293B"/>
          <w:sz w:val="22"/>
          <w:szCs w:val="22"/>
        </w:rPr>
        <w:t xml:space="preserve">At least 7 epochs since the last growth event  →  cooldown for specialisation</w:t>
      </w:r>
    </w:p>
    <w:p>
      <w:pPr>
        <w:spacing w:after="80"/>
      </w:pPr>
      <w:r>
        <w:t xml:space="preserve"/>
      </w:r>
    </w:p>
    <w:p>
      <w:pPr>
        <w:pStyle w:val="Heading1"/>
        <w:pBdr>
          <w:bottom w:val="single" w:color="0D6E8A" w:sz="6" w:space="6"/>
        </w:pBdr>
        <w:spacing w:before="360" w:after="160"/>
      </w:pPr>
      <w:r>
        <w:rPr>
          <w:rFonts w:ascii="Arial" w:cs="Arial" w:eastAsia="Arial" w:hAnsi="Arial"/>
          <w:b/>
          <w:bCs/>
          <w:color w:val="1F3864"/>
          <w:sz w:val="32"/>
          <w:szCs w:val="32"/>
        </w:rPr>
        <w:t xml:space="preserve">4.  Information-Theoretic Signals</w:t>
      </w:r>
    </w:p>
    <w:p>
      <w:pPr>
        <w:spacing w:after="160" w:before="0"/>
        <w:jc w:val="left"/>
      </w:pPr>
      <w:r>
        <w:rPr>
          <w:rFonts w:ascii="Arial" w:cs="Arial" w:eastAsia="Arial" w:hAnsi="Arial"/>
          <w:b w:val="false"/>
          <w:bCs w:val="false"/>
          <w:i w:val="false"/>
          <w:iCs w:val="false"/>
          <w:color w:val="1E293B"/>
          <w:sz w:val="22"/>
          <w:szCs w:val="22"/>
        </w:rPr>
        <w:t xml:space="preserve">Four complementary signals are computed every epoch on fixed subsets (300 samples for ID and MI; 256 for Fisher), ensuring comparability across epochs.</w:t>
      </w:r>
    </w:p>
    <w:p>
      <w:pPr>
        <w:pStyle w:val="Heading2"/>
        <w:spacing w:before="240" w:after="100"/>
      </w:pPr>
      <w:r>
        <w:rPr>
          <w:rFonts w:ascii="Arial" w:cs="Arial" w:eastAsia="Arial" w:hAnsi="Arial"/>
          <w:b/>
          <w:bCs/>
          <w:color w:val="0D6E8A"/>
          <w:sz w:val="26"/>
          <w:szCs w:val="26"/>
        </w:rPr>
        <w:t xml:space="preserve">4.1  Effective Rank</w:t>
      </w:r>
    </w:p>
    <w:p>
      <w:pPr>
        <w:spacing w:after="160" w:before="0"/>
        <w:jc w:val="left"/>
      </w:pPr>
      <w:r>
        <w:rPr>
          <w:rFonts w:ascii="Arial" w:cs="Arial" w:eastAsia="Arial" w:hAnsi="Arial"/>
          <w:b w:val="false"/>
          <w:bCs w:val="false"/>
          <w:i w:val="false"/>
          <w:iCs w:val="false"/>
          <w:color w:val="1E293B"/>
          <w:sz w:val="22"/>
          <w:szCs w:val="22"/>
        </w:rPr>
        <w:t xml:space="preserve">eff_rank(W) = exp(−Σ pᵢ ln pᵢ) where pᵢ = σᵢ / Σσⱼ are normalised singular values. It measures how many independent feature directions the weight matrix actually uses. Low rank means most neurons compute redundant features. Each growth event introduces new independent directions, causing sharp upward jumps.</w:t>
      </w:r>
    </w:p>
    <w:p>
      <w:pPr>
        <w:pStyle w:val="Heading2"/>
        <w:spacing w:before="240" w:after="100"/>
      </w:pPr>
      <w:r>
        <w:rPr>
          <w:rFonts w:ascii="Arial" w:cs="Arial" w:eastAsia="Arial" w:hAnsi="Arial"/>
          <w:b/>
          <w:bCs/>
          <w:color w:val="0D6E8A"/>
          <w:sz w:val="26"/>
          <w:szCs w:val="26"/>
        </w:rPr>
        <w:t xml:space="preserve">4.2  Fisher Information Matrix Trace</w:t>
      </w:r>
    </w:p>
    <w:p>
      <w:pPr>
        <w:spacing w:after="160" w:before="0"/>
        <w:jc w:val="left"/>
      </w:pPr>
      <w:r>
        <w:rPr>
          <w:rFonts w:ascii="Arial" w:cs="Arial" w:eastAsia="Arial" w:hAnsi="Arial"/>
          <w:b w:val="false"/>
          <w:bCs w:val="false"/>
          <w:i w:val="false"/>
          <w:iCs w:val="false"/>
          <w:color w:val="1E293B"/>
          <w:sz w:val="22"/>
          <w:szCs w:val="22"/>
        </w:rPr>
        <w:t xml:space="preserve">FIM trace ≈ Σ_θ (d log p(y|x;θ)/dθ)² measures how sensitive the loss is to each parameter. High trace: every parameter is actively shaping the output (capacity well-used). Low trace: parameters are idle. The characteristic dip-then-rise at each growth event —new neurons initially idle, then specialising—is the Fisher signature of neuroplasticity.</w:t>
      </w:r>
    </w:p>
    <w:p>
      <w:pPr>
        <w:pStyle w:val="Heading2"/>
        <w:spacing w:before="240" w:after="100"/>
      </w:pPr>
      <w:r>
        <w:rPr>
          <w:rFonts w:ascii="Arial" w:cs="Arial" w:eastAsia="Arial" w:hAnsi="Arial"/>
          <w:b/>
          <w:bCs/>
          <w:color w:val="0D6E8A"/>
          <w:sz w:val="26"/>
          <w:szCs w:val="26"/>
        </w:rPr>
        <w:t xml:space="preserve">4.3  Mutual Information  I(T ; Y)  —  Information Bottleneck</w:t>
      </w:r>
    </w:p>
    <w:p>
      <w:pPr>
        <w:spacing w:after="160" w:before="0"/>
        <w:jc w:val="left"/>
      </w:pPr>
      <w:r>
        <w:rPr>
          <w:rFonts w:ascii="Arial" w:cs="Arial" w:eastAsia="Arial" w:hAnsi="Arial"/>
          <w:b w:val="false"/>
          <w:bCs w:val="false"/>
          <w:i w:val="false"/>
          <w:iCs w:val="false"/>
          <w:color w:val="1E293B"/>
          <w:sz w:val="22"/>
          <w:szCs w:val="22"/>
        </w:rPr>
        <w:t xml:space="preserve">I(T;Y) is estimated by binning the first PC of the penultimate activations T and computing H(T) − H(T|Y). Under the Information Bottleneck principle, a good representation maximises I(T;Y). Near-zero I(T;Y) is a definitive underfitting signature; rising I(T;Y) confirms representations are becoming progressively class-discriminative.</w:t>
      </w:r>
    </w:p>
    <w:p>
      <w:pPr>
        <w:pStyle w:val="Heading2"/>
        <w:spacing w:before="240" w:after="100"/>
      </w:pPr>
      <w:r>
        <w:rPr>
          <w:rFonts w:ascii="Arial" w:cs="Arial" w:eastAsia="Arial" w:hAnsi="Arial"/>
          <w:b/>
          <w:bCs/>
          <w:color w:val="0D6E8A"/>
          <w:sz w:val="26"/>
          <w:szCs w:val="26"/>
        </w:rPr>
        <w:t xml:space="preserve">4.4  TwoNN Intrinsic Dimensionality  —  The Neuroplasticity Signal</w:t>
      </w:r>
    </w:p>
    <w:p>
      <w:pPr>
        <w:spacing w:after="160" w:before="0"/>
        <w:jc w:val="left"/>
      </w:pPr>
      <w:r>
        <w:rPr>
          <w:rFonts w:ascii="Arial" w:cs="Arial" w:eastAsia="Arial" w:hAnsi="Arial"/>
          <w:b w:val="false"/>
          <w:bCs w:val="false"/>
          <w:i w:val="false"/>
          <w:iCs w:val="false"/>
          <w:color w:val="1E293B"/>
          <w:sz w:val="22"/>
          <w:szCs w:val="22"/>
        </w:rPr>
        <w:t xml:space="preserve">ID = 1 / E[ln(μᵢ)] where μᵢ = d(2nd-NN)/d(1st-NN) (Facco et al. 2017). Applied to raw data: Data ID = 17.07 (fixed complexity ceiling). Applied to penultimate activations: Rep ID (grows as model gains capacity). The gap (Data ID − Rep ID) is the primary neuroplasticity signal: how far the model’s internal geometry is from matching the data manifold.</w:t>
      </w:r>
    </w:p>
    <w:p>
      <w:pPr>
        <w:pStyle w:val="Heading1"/>
        <w:pBdr>
          <w:bottom w:val="single" w:color="0D6E8A" w:sz="6" w:space="6"/>
        </w:pBdr>
        <w:spacing w:before="360" w:after="160"/>
      </w:pPr>
      <w:r>
        <w:rPr>
          <w:rFonts w:ascii="Arial" w:cs="Arial" w:eastAsia="Arial" w:hAnsi="Arial"/>
          <w:b/>
          <w:bCs/>
          <w:color w:val="1F3864"/>
          <w:sz w:val="32"/>
          <w:szCs w:val="32"/>
        </w:rPr>
        <w:t xml:space="preserve">5.  Experimental Results</w:t>
      </w:r>
    </w:p>
    <w:p>
      <w:pPr>
        <w:pStyle w:val="Heading2"/>
        <w:spacing w:before="240" w:after="100"/>
      </w:pPr>
      <w:r>
        <w:rPr>
          <w:rFonts w:ascii="Arial" w:cs="Arial" w:eastAsia="Arial" w:hAnsi="Arial"/>
          <w:b/>
          <w:bCs/>
          <w:color w:val="0D6E8A"/>
          <w:sz w:val="26"/>
          <w:szCs w:val="26"/>
        </w:rPr>
        <w:t xml:space="preserve">5.1  Growth Event Timeline</w:t>
      </w:r>
    </w:p>
    <w:p>
      <w:pPr>
        <w:spacing w:after="160" w:before="0"/>
        <w:jc w:val="left"/>
      </w:pPr>
      <w:r>
        <w:rPr>
          <w:rFonts w:ascii="Arial" w:cs="Arial" w:eastAsia="Arial" w:hAnsi="Arial"/>
          <w:b w:val="false"/>
          <w:bCs w:val="false"/>
          <w:i w:val="false"/>
          <w:iCs w:val="false"/>
          <w:color w:val="1E293B"/>
          <w:sz w:val="22"/>
          <w:szCs w:val="22"/>
        </w:rPr>
        <w:t xml:space="preserve">Six width growth events fired across 65 epochs. No depth growth was triggered, indicating width expansion was sufficient to sustain improvement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200"/>
        <w:gridCol w:w="1600"/>
        <w:gridCol w:w="1600"/>
        <w:gridCol w:w="1500"/>
        <w:gridCol w:w="1700"/>
        <w:gridCol w:w="800"/>
      </w:tblGrid>
      <w:tr>
        <w:tc>
          <w:tcPr>
            <w:tcW w:type="dxa" w:w="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Epoch</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Params Before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Params After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Acc</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 Rank</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 ID</w:t>
            </w:r>
          </w:p>
        </w:tc>
      </w:tr>
      <w:tr>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W1</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16</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458</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1,994</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47.8%</w:t>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3.77 →11.03</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1.89</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W2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1,994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3,818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71.6%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11.03→15.79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6.22</w:t>
            </w:r>
          </w:p>
        </w:tc>
      </w:tr>
      <w:tr>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W3</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35</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3,818</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5,930</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78.3%</w:t>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15.79→20.02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7.66</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W4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5,930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8,330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81.3%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20.02→24.92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8.47</w:t>
            </w:r>
          </w:p>
        </w:tc>
      </w:tr>
      <w:tr>
        <w:tc>
          <w:tcPr>
            <w:tcW w:type="dxa" w:w="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W5</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53</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8,330</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11,018</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84.9%</w:t>
            </w:r>
          </w:p>
        </w:tc>
        <w:tc>
          <w:tcPr>
            <w:tcW w:type="dxa" w:w="17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24.92→28.45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8.34</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20"/>
                <w:szCs w:val="20"/>
              </w:rPr>
              <w:t xml:space="preserve">W6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11,018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13,994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88.0%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28.45→31.45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8.45</w:t>
            </w:r>
          </w:p>
        </w:tc>
      </w:tr>
    </w:tbl>
    <w:p>
      <w:pPr>
        <w:spacing w:after="80"/>
      </w:pPr>
      <w:r>
        <w:t xml:space="preserve"/>
      </w:r>
    </w:p>
    <w:p>
      <w:pPr>
        <w:pStyle w:val="Heading2"/>
        <w:spacing w:before="240" w:after="100"/>
      </w:pPr>
      <w:r>
        <w:rPr>
          <w:rFonts w:ascii="Arial" w:cs="Arial" w:eastAsia="Arial" w:hAnsi="Arial"/>
          <w:b/>
          <w:bCs/>
          <w:color w:val="0D6E8A"/>
          <w:sz w:val="26"/>
          <w:szCs w:val="26"/>
        </w:rPr>
        <w:t xml:space="preserve">5.2  Accuracy, Loss, and Capacity Growth</w:t>
      </w:r>
    </w:p>
    <w:p>
      <w:pPr>
        <w:spacing w:after="160" w:before="0"/>
        <w:jc w:val="left"/>
      </w:pPr>
      <w:r>
        <w:rPr>
          <w:rFonts w:ascii="Arial" w:cs="Arial" w:eastAsia="Arial" w:hAnsi="Arial"/>
          <w:b w:val="false"/>
          <w:bCs w:val="false"/>
          <w:i w:val="false"/>
          <w:iCs w:val="false"/>
          <w:color w:val="1E293B"/>
          <w:sz w:val="22"/>
          <w:szCs w:val="22"/>
        </w:rPr>
        <w:t xml:space="preserve">Train accuracy climbs from 14.5% to 89.1% in a visible staircase pattern: each growth event causes a brief plateau as new neurons initialise near-zero, followed by a sharp acceleration as they specialise. Test accuracy tracks at 75.8%, remaining within 13 percentage points throughout—genuine generalisation, not memorisation. The parameter count grows in discrete steps from 458 to 13,994 (31×), each step corresponding to one growth event.</w:t>
      </w:r>
    </w:p>
    <w:p>
      <w:pPr>
        <w:spacing w:before="160" w:after="40"/>
        <w:jc w:val="center"/>
      </w:pPr>
      <w:r>
        <w:drawing>
          <wp:inline distT="0" distB="0" distL="0" distR="0">
            <wp:extent cx="59436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514475"/>
                    </a:xfrm>
                    <a:prstGeom prst="rect">
                      <a:avLst/>
                    </a:prstGeom>
                  </pic:spPr>
                </pic:pic>
              </a:graphicData>
            </a:graphic>
          </wp:inline>
        </w:drawing>
      </w:r>
    </w:p>
    <w:p>
      <w:pPr>
        <w:spacing w:before="0" w:after="200"/>
        <w:jc w:val="center"/>
      </w:pPr>
      <w:r>
        <w:rPr>
          <w:rFonts w:ascii="Arial" w:cs="Arial" w:eastAsia="Arial" w:hAnsi="Arial"/>
          <w:i/>
          <w:iCs/>
          <w:color w:val="64748B"/>
          <w:sz w:val="18"/>
          <w:szCs w:val="18"/>
        </w:rPr>
        <w:t xml:space="preserve">Figure 1. (Left) Train and test accuracy over 65 epochs with growth threshold at 88% (yellow dotted line). (Centre) Cross-entropy loss for both splits. (Right) Parameter count growing in discrete steps at each width growth event. Green dashed verticals mark all six growth events (W↔).</w:t>
      </w:r>
    </w:p>
    <w:p>
      <w:pPr>
        <w:pStyle w:val="Heading2"/>
        <w:spacing w:before="240" w:after="100"/>
      </w:pPr>
      <w:r>
        <w:rPr>
          <w:rFonts w:ascii="Arial" w:cs="Arial" w:eastAsia="Arial" w:hAnsi="Arial"/>
          <w:b/>
          <w:bCs/>
          <w:color w:val="0D6E8A"/>
          <w:sz w:val="26"/>
          <w:szCs w:val="26"/>
        </w:rPr>
        <w:t xml:space="preserve">5.3  Information-Theoretic Signal Trajectories</w:t>
      </w:r>
    </w:p>
    <w:p>
      <w:pPr>
        <w:spacing w:before="200" w:after="80"/>
      </w:pPr>
      <w:r>
        <w:rPr>
          <w:rFonts w:ascii="Arial" w:cs="Arial" w:eastAsia="Arial" w:hAnsi="Arial"/>
          <w:b/>
          <w:bCs/>
          <w:color w:val="107C9E"/>
          <w:sz w:val="22"/>
          <w:szCs w:val="22"/>
        </w:rPr>
        <w:t xml:space="preserve">Effective Rank</w:t>
      </w:r>
    </w:p>
    <w:p>
      <w:pPr>
        <w:spacing w:after="160" w:before="0"/>
        <w:jc w:val="left"/>
      </w:pPr>
      <w:r>
        <w:rPr>
          <w:rFonts w:ascii="Arial" w:cs="Arial" w:eastAsia="Arial" w:hAnsi="Arial"/>
          <w:b w:val="false"/>
          <w:bCs w:val="false"/>
          <w:i w:val="false"/>
          <w:iCs w:val="false"/>
          <w:color w:val="1E293B"/>
          <w:sz w:val="22"/>
          <w:szCs w:val="22"/>
        </w:rPr>
        <w:t xml:space="preserve">The most visually dramatic signal. Rising monotonically from 3.57 with sharp upward discontinuities at every growth event. The first growth (epoch 16) produces the largest single jump: 3.77 → 8.45, more than doubling spectral diversity. By epoch 65, effective rank reaches 31.45—nearly 9× the initial value—confirming that the expanded network uses 31 independent feature directions, up from just 3.6.</w:t>
      </w:r>
    </w:p>
    <w:p>
      <w:pPr>
        <w:spacing w:before="200" w:after="80"/>
      </w:pPr>
      <w:r>
        <w:rPr>
          <w:rFonts w:ascii="Arial" w:cs="Arial" w:eastAsia="Arial" w:hAnsi="Arial"/>
          <w:b/>
          <w:bCs/>
          <w:color w:val="107C9E"/>
          <w:sz w:val="22"/>
          <w:szCs w:val="22"/>
        </w:rPr>
        <w:t xml:space="preserve">Fisher Information Trace</w:t>
      </w:r>
    </w:p>
    <w:p>
      <w:pPr>
        <w:spacing w:after="160" w:before="0"/>
        <w:jc w:val="left"/>
      </w:pPr>
      <w:r>
        <w:rPr>
          <w:rFonts w:ascii="Arial" w:cs="Arial" w:eastAsia="Arial" w:hAnsi="Arial"/>
          <w:b w:val="false"/>
          <w:bCs w:val="false"/>
          <w:i w:val="false"/>
          <w:iCs w:val="false"/>
          <w:color w:val="1E293B"/>
          <w:sz w:val="22"/>
          <w:szCs w:val="22"/>
        </w:rPr>
        <w:t xml:space="preserve">Displays the characteristic neuroplasticity dip-then-rise at each growth event. Before each event the trace rises steeply (all neurons at maximum strain). Immediately after growth it drops sharply (new near-zero neurons reduce average gradient magnitude). Over the following epochs it recovers and surpasses its previous peak as new neurons specialise. This pattern is the Fisher signature of long-term potentiation: synapses that begin weak and strengthen through use.</w:t>
      </w:r>
    </w:p>
    <w:p>
      <w:pPr>
        <w:spacing w:before="200" w:after="80"/>
      </w:pPr>
      <w:r>
        <w:rPr>
          <w:rFonts w:ascii="Arial" w:cs="Arial" w:eastAsia="Arial" w:hAnsi="Arial"/>
          <w:b/>
          <w:bCs/>
          <w:color w:val="107C9E"/>
          <w:sz w:val="22"/>
          <w:szCs w:val="22"/>
        </w:rPr>
        <w:t xml:space="preserve">Mutual Information  I(T ; Y)</w:t>
      </w:r>
    </w:p>
    <w:p>
      <w:pPr>
        <w:spacing w:after="160" w:before="0"/>
        <w:jc w:val="left"/>
      </w:pPr>
      <w:r>
        <w:rPr>
          <w:rFonts w:ascii="Arial" w:cs="Arial" w:eastAsia="Arial" w:hAnsi="Arial"/>
          <w:b w:val="false"/>
          <w:bCs w:val="false"/>
          <w:i w:val="false"/>
          <w:iCs w:val="false"/>
          <w:color w:val="1E293B"/>
          <w:sz w:val="22"/>
          <w:szCs w:val="22"/>
        </w:rPr>
        <w:t xml:space="preserve">Rises from 0.587 to 0.621 nats with accelerations following each growth event. Modest absolute values reflect the 1D-projection estimator; the consistent upward trend confirms that representations become more class-discriminative as the model grows.</w:t>
      </w:r>
    </w:p>
    <w:p>
      <w:pPr>
        <w:spacing w:before="160" w:after="40"/>
        <w:jc w:val="center"/>
      </w:pPr>
      <w:r>
        <w:drawing>
          <wp:inline distT="0" distB="0" distL="0" distR="0">
            <wp:extent cx="59436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419225"/>
                    </a:xfrm>
                    <a:prstGeom prst="rect">
                      <a:avLst/>
                    </a:prstGeom>
                  </pic:spPr>
                </pic:pic>
              </a:graphicData>
            </a:graphic>
          </wp:inline>
        </w:drawing>
      </w:r>
    </w:p>
    <w:p>
      <w:pPr>
        <w:spacing w:before="0" w:after="200"/>
        <w:jc w:val="center"/>
      </w:pPr>
      <w:r>
        <w:rPr>
          <w:rFonts w:ascii="Arial" w:cs="Arial" w:eastAsia="Arial" w:hAnsi="Arial"/>
          <w:i/>
          <w:iCs/>
          <w:color w:val="64748B"/>
          <w:sz w:val="18"/>
          <w:szCs w:val="18"/>
        </w:rPr>
        <w:t xml:space="preserve">Figure 2. (Left) Mean effective rank across all weight matrices—sharp jumps at each growth event reveal new independent feature directions. (Centre) Fisher Information Trace showing the characteristic dip-then-rise neuroplasticity signature. (Right) Mutual Information I(T;Y) rising as representations become class-discriminative.</w:t>
      </w:r>
    </w:p>
    <w:p>
      <w:pPr>
        <w:pStyle w:val="Heading2"/>
        <w:spacing w:before="240" w:after="100"/>
      </w:pPr>
      <w:r>
        <w:rPr>
          <w:rFonts w:ascii="Arial" w:cs="Arial" w:eastAsia="Arial" w:hAnsi="Arial"/>
          <w:b/>
          <w:bCs/>
          <w:color w:val="0D6E8A"/>
          <w:sz w:val="26"/>
          <w:szCs w:val="26"/>
        </w:rPr>
        <w:t xml:space="preserve">5.4  Complexity Gap Closure and Architecture Evolution</w:t>
      </w:r>
    </w:p>
    <w:p>
      <w:pPr>
        <w:spacing w:before="200" w:after="80"/>
      </w:pPr>
      <w:r>
        <w:rPr>
          <w:rFonts w:ascii="Arial" w:cs="Arial" w:eastAsia="Arial" w:hAnsi="Arial"/>
          <w:b/>
          <w:bCs/>
          <w:color w:val="107C9E"/>
          <w:sz w:val="22"/>
          <w:szCs w:val="22"/>
        </w:rPr>
        <w:t xml:space="preserve">Neuroplasticity Signal: Rep ID vs. Data ID</w:t>
      </w:r>
    </w:p>
    <w:p>
      <w:pPr>
        <w:spacing w:after="160" w:before="0"/>
        <w:jc w:val="left"/>
      </w:pPr>
      <w:r>
        <w:rPr>
          <w:rFonts w:ascii="Arial" w:cs="Arial" w:eastAsia="Arial" w:hAnsi="Arial"/>
          <w:b w:val="false"/>
          <w:bCs w:val="false"/>
          <w:i w:val="false"/>
          <w:iCs w:val="false"/>
          <w:color w:val="1E293B"/>
          <w:sz w:val="22"/>
          <w:szCs w:val="22"/>
        </w:rPr>
        <w:t xml:space="preserve">The central result of the experiment. Rep ID rises from 1.72 to 9.01 while Data ID remains fixed at 17.07. The red-shaded complexity gap shrinks at each growth event, with the largest single closure at the first growth: Rep ID jumps from 1.89 to 3.33 in one epoch (epoch 16 → 17) as 12 new neurons per layer immediately allow the representations to organise along new geometric dimensions. By epoch 65, 47% of the initial gap has been closed (15.35 → 8.06).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rFonts w:ascii="Arial" w:cs="Arial" w:eastAsia="Arial" w:hAnsi="Arial"/>
                <w:b/>
                <w:bCs/>
                <w:color w:val="1B5E20"/>
                <w:sz w:val="22"/>
                <w:szCs w:val="22"/>
              </w:rPr>
              <w:t xml:space="preserve">Key result</w:t>
            </w:r>
          </w:p>
          <w:p>
            <w:pPr>
              <w:spacing w:after="0"/>
            </w:pPr>
            <w:r>
              <w:rPr>
                <w:rFonts w:ascii="Arial" w:cs="Arial" w:eastAsia="Arial" w:hAnsi="Arial"/>
                <w:color w:val="374151"/>
                <w:sz w:val="20"/>
                <w:szCs w:val="20"/>
              </w:rPr>
              <w:t xml:space="preserve">The gap (Data ID − Rep ID) fell from 15.35 to 8.06 over 65 epochs—a 47% closure. Every single growth event produced a measurable jump in Rep ID, directly confirming that adding new neurons increases the intrinsic dimensionality of learned representations. The model’s internal world grows more geometrically complex in exact proportion to its new synaptic capacity.</w:t>
            </w:r>
          </w:p>
        </w:tc>
      </w:tr>
    </w:tbl>
    <w:p>
      <w:pPr>
        <w:spacing w:after="80"/>
      </w:pPr>
      <w:r>
        <w:t xml:space="preserve"/>
      </w:r>
    </w:p>
    <w:p>
      <w:pPr>
        <w:spacing w:before="200" w:after="80"/>
      </w:pPr>
      <w:r>
        <w:rPr>
          <w:rFonts w:ascii="Arial" w:cs="Arial" w:eastAsia="Arial" w:hAnsi="Arial"/>
          <w:b/>
          <w:bCs/>
          <w:color w:val="107C9E"/>
          <w:sz w:val="22"/>
          <w:szCs w:val="22"/>
        </w:rPr>
        <w:t xml:space="preserve">Architecture Evolution</w:t>
      </w:r>
    </w:p>
    <w:p>
      <w:pPr>
        <w:spacing w:after="160" w:before="0"/>
        <w:jc w:val="left"/>
      </w:pPr>
      <w:r>
        <w:rPr>
          <w:rFonts w:ascii="Arial" w:cs="Arial" w:eastAsia="Arial" w:hAnsi="Arial"/>
          <w:b w:val="false"/>
          <w:bCs w:val="false"/>
          <w:i w:val="false"/>
          <w:iCs w:val="false"/>
          <w:color w:val="1E293B"/>
          <w:sz w:val="22"/>
          <w:szCs w:val="22"/>
        </w:rPr>
        <w:t xml:space="preserve">The stacked bar shows hidden-layer widths per epoch. Starting from [4, 4] (8 total hidden neurons), the model grows to [64, 64] (128 total) across six width events, each adding 24 neurons (12 per layer). Both layers always remain equal in width because the depth-growth condition was never triggered—width expansion alone was sufficient to sustain improvement throughout the 65-epoch run.</w:t>
      </w:r>
    </w:p>
    <w:p>
      <w:pPr>
        <w:spacing w:before="160" w:after="40"/>
        <w:jc w:val="center"/>
      </w:pPr>
      <w:r>
        <w:drawing>
          <wp:inline distT="0" distB="0" distL="0" distR="0">
            <wp:extent cx="59436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466850"/>
                    </a:xfrm>
                    <a:prstGeom prst="rect">
                      <a:avLst/>
                    </a:prstGeom>
                  </pic:spPr>
                </pic:pic>
              </a:graphicData>
            </a:graphic>
          </wp:inline>
        </w:drawing>
      </w:r>
    </w:p>
    <w:p>
      <w:pPr>
        <w:spacing w:before="0" w:after="200"/>
        <w:jc w:val="center"/>
      </w:pPr>
      <w:r>
        <w:rPr>
          <w:rFonts w:ascii="Arial" w:cs="Arial" w:eastAsia="Arial" w:hAnsi="Arial"/>
          <w:i/>
          <w:iCs/>
          <w:color w:val="64748B"/>
          <w:sz w:val="18"/>
          <w:szCs w:val="18"/>
        </w:rPr>
        <w:t xml:space="preserve">Figure 3. (Left, spanning two-thirds of the width) The neuroplasticity signal: TwoNN Intrinsic Dimensionality of learned representations (Rep ID) vs. the fixed Data ID = 17.07. The red shaded region is the complexity gap; each growth event closes part of it. (Right) Architecture evolution: cumulative hidden neurons per epoch, growing in staircase steps from [4,4] to [64,64].</w:t>
      </w:r>
    </w:p>
    <w:p>
      <w:pPr>
        <w:pStyle w:val="Heading1"/>
        <w:pBdr>
          <w:bottom w:val="single" w:color="0D6E8A" w:sz="6" w:space="6"/>
        </w:pBdr>
        <w:spacing w:before="360" w:after="160"/>
      </w:pPr>
      <w:r>
        <w:rPr>
          <w:rFonts w:ascii="Arial" w:cs="Arial" w:eastAsia="Arial" w:hAnsi="Arial"/>
          <w:b/>
          <w:bCs/>
          <w:color w:val="1F3864"/>
          <w:sz w:val="32"/>
          <w:szCs w:val="32"/>
        </w:rPr>
        <w:t xml:space="preserve">6.  Discussion</w:t>
      </w:r>
    </w:p>
    <w:p>
      <w:pPr>
        <w:pStyle w:val="Heading2"/>
        <w:spacing w:before="240" w:after="100"/>
      </w:pPr>
      <w:r>
        <w:rPr>
          <w:rFonts w:ascii="Arial" w:cs="Arial" w:eastAsia="Arial" w:hAnsi="Arial"/>
          <w:b/>
          <w:bCs/>
          <w:color w:val="0D6E8A"/>
          <w:sz w:val="26"/>
          <w:szCs w:val="26"/>
        </w:rPr>
        <w:t xml:space="preserve">6.1  What the Experiment Demonstrates</w:t>
      </w:r>
    </w:p>
    <w:p>
      <w:pPr>
        <w:spacing w:after="80" w:before="0"/>
        <w:jc w:val="left"/>
      </w:pPr>
      <w:r>
        <w:rPr>
          <w:rFonts w:ascii="Arial" w:cs="Arial" w:eastAsia="Arial" w:hAnsi="Arial"/>
          <w:b w:val="false"/>
          <w:bCs w:val="false"/>
          <w:i w:val="false"/>
          <w:iCs w:val="false"/>
          <w:color w:val="1E293B"/>
          <w:sz w:val="22"/>
          <w:szCs w:val="22"/>
        </w:rPr>
        <w:t xml:space="preserve">Four key demonstrations:</w:t>
      </w:r>
    </w:p>
    <w:p>
      <w:pPr>
        <w:pStyle w:val="ListParagraph"/>
        <w:numPr>
          <w:ilvl w:val="0"/>
          <w:numId w:val="2"/>
        </w:numPr>
        <w:spacing w:after="80" w:before="40"/>
      </w:pPr>
      <w:r>
        <w:rPr>
          <w:rFonts w:ascii="Arial" w:cs="Arial" w:eastAsia="Arial" w:hAnsi="Arial"/>
          <w:color w:val="1E293B"/>
          <w:sz w:val="22"/>
          <w:szCs w:val="22"/>
        </w:rPr>
        <w:t xml:space="preserve">Structural underfitting is real and measurable. All four IT signals flag the inadequacy of the 4-neuron model in complementary ways: low effective rank, high Fisher trace, low I(T;Y), and low Rep ID.</w:t>
      </w:r>
    </w:p>
    <w:p>
      <w:pPr>
        <w:pStyle w:val="ListParagraph"/>
        <w:numPr>
          <w:ilvl w:val="0"/>
          <w:numId w:val="2"/>
        </w:numPr>
        <w:spacing w:after="80" w:before="40"/>
      </w:pPr>
      <w:r>
        <w:rPr>
          <w:rFonts w:ascii="Arial" w:cs="Arial" w:eastAsia="Arial" w:hAnsi="Arial"/>
          <w:color w:val="1E293B"/>
          <w:sz w:val="22"/>
          <w:szCs w:val="22"/>
        </w:rPr>
        <w:t xml:space="preserve">Growth works. Every growth event produces simultaneous improvement across all four signals, because they measure different facets of the same underlying quantity: the mismatch between model capacity and data complexity.</w:t>
      </w:r>
    </w:p>
    <w:p>
      <w:pPr>
        <w:pStyle w:val="ListParagraph"/>
        <w:numPr>
          <w:ilvl w:val="0"/>
          <w:numId w:val="2"/>
        </w:numPr>
        <w:spacing w:after="80" w:before="40"/>
      </w:pPr>
      <w:r>
        <w:rPr>
          <w:rFonts w:ascii="Arial" w:cs="Arial" w:eastAsia="Arial" w:hAnsi="Arial"/>
          <w:color w:val="1E293B"/>
          <w:sz w:val="22"/>
          <w:szCs w:val="22"/>
        </w:rPr>
        <w:t xml:space="preserve">Net2Net expansion preserves learned features. The staircase accuracy pattern (brief plateau then acceleration) is evidence that existing computation is not disrupted—the model picks up exactly where it left off, with new capacity added on top.</w:t>
      </w:r>
    </w:p>
    <w:p>
      <w:pPr>
        <w:pStyle w:val="ListParagraph"/>
        <w:numPr>
          <w:ilvl w:val="0"/>
          <w:numId w:val="2"/>
        </w:numPr>
        <w:spacing w:after="80" w:before="40"/>
      </w:pPr>
      <w:r>
        <w:rPr>
          <w:rFonts w:ascii="Arial" w:cs="Arial" w:eastAsia="Arial" w:hAnsi="Arial"/>
          <w:color w:val="1E293B"/>
          <w:sz w:val="22"/>
          <w:szCs w:val="22"/>
        </w:rPr>
        <w:t xml:space="preserve">The neuroplasticity analogy is quantitatively grounded. The complexity gap (Data ID − Rep ID) provides a single interpretable number measuring how far the model’s internal geometry is from matching the data manifold.</w:t>
      </w:r>
    </w:p>
    <w:p>
      <w:pPr>
        <w:spacing w:after="80"/>
      </w:pPr>
      <w:r>
        <w:t xml:space="preserve"/>
      </w:r>
    </w:p>
    <w:p>
      <w:pPr>
        <w:pStyle w:val="Heading2"/>
        <w:spacing w:before="240" w:after="100"/>
      </w:pPr>
      <w:r>
        <w:rPr>
          <w:rFonts w:ascii="Arial" w:cs="Arial" w:eastAsia="Arial" w:hAnsi="Arial"/>
          <w:b/>
          <w:bCs/>
          <w:color w:val="0D6E8A"/>
          <w:sz w:val="26"/>
          <w:szCs w:val="26"/>
        </w:rPr>
        <w:t xml:space="preserve">6.2  Limitations and Extensions</w:t>
      </w:r>
    </w:p>
    <w:p>
      <w:pPr>
        <w:spacing w:after="160" w:before="0"/>
        <w:jc w:val="left"/>
      </w:pPr>
      <w:r>
        <w:rPr>
          <w:rFonts w:ascii="Arial" w:cs="Arial" w:eastAsia="Arial" w:hAnsi="Arial"/>
          <w:b w:val="false"/>
          <w:bCs w:val="false"/>
          <w:i w:val="false"/>
          <w:iCs w:val="false"/>
          <w:color w:val="1E293B"/>
          <w:sz w:val="22"/>
          <w:szCs w:val="22"/>
        </w:rPr>
        <w:t xml:space="preserve">The quadratic label function, while genuinely non-linear, is less complex than real CIFAR-10. On the real dataset with a convolutional backbone, the experiment requires a PyTorch implementation with GPU compute and likely more growth events. The I(T;Y) estimator using 1D binning underestimates true mutual information in high-dimensional representations; a matrix-based estimator (e.g. HSIC) would give more reliable values. The plateau threshold is hand-tuned and could itself be made adaptive.</w:t>
      </w:r>
    </w:p>
    <w:p>
      <w:pPr>
        <w:spacing w:after="160" w:before="0"/>
        <w:jc w:val="left"/>
      </w:pPr>
      <w:r>
        <w:rPr>
          <w:rFonts w:ascii="Arial" w:cs="Arial" w:eastAsia="Arial" w:hAnsi="Arial"/>
          <w:b w:val="false"/>
          <w:bCs w:val="false"/>
          <w:i w:val="false"/>
          <w:iCs w:val="false"/>
          <w:color w:val="1E293B"/>
          <w:sz w:val="22"/>
          <w:szCs w:val="22"/>
        </w:rPr>
        <w:t xml:space="preserve">Natural extensions include: (a) convolutional growth (growing new filters rather than FC neurons); (b) using the Rep ID gap as the sole growth trigger, removing the accuracy threshold entirely; (c) implementing shrinkage—removing neurons when Rep ID exceeds Data ID (the model has over-grown its representations); (d) testing on other modalities where the intrinsic dimensionality of the data manifold is well-studied.</w:t>
      </w:r>
    </w:p>
    <w:p>
      <w:pPr>
        <w:pStyle w:val="Heading1"/>
        <w:pBdr>
          <w:bottom w:val="single" w:color="0D6E8A" w:sz="6" w:space="6"/>
        </w:pBdr>
        <w:spacing w:before="360" w:after="160"/>
      </w:pPr>
      <w:r>
        <w:rPr>
          <w:rFonts w:ascii="Arial" w:cs="Arial" w:eastAsia="Arial" w:hAnsi="Arial"/>
          <w:b/>
          <w:bCs/>
          <w:color w:val="1F3864"/>
          <w:sz w:val="32"/>
          <w:szCs w:val="32"/>
        </w:rPr>
        <w:t xml:space="preserve">7.  Conclusions</w:t>
      </w:r>
    </w:p>
    <w:p>
      <w:pPr>
        <w:spacing w:after="160" w:before="0"/>
        <w:jc w:val="left"/>
      </w:pPr>
      <w:r>
        <w:rPr>
          <w:rFonts w:ascii="Arial" w:cs="Arial" w:eastAsia="Arial" w:hAnsi="Arial"/>
          <w:b w:val="false"/>
          <w:bCs w:val="false"/>
          <w:i w:val="false"/>
          <w:iCs w:val="false"/>
          <w:color w:val="1E293B"/>
          <w:sz w:val="22"/>
          <w:szCs w:val="22"/>
        </w:rPr>
        <w:t xml:space="preserve">This experiment demonstrates that a neural network can autonomously grow its architecture in direct response to data complexity, guided by information-theoretic signals measuring the mismatch between model capacity and data structure. Starting from 458 parameters guaranteed to underfit, the network grew to 13,994 parameters across six autonomous growth events, achieving 89.1% training accuracy and 75.8% test accuracy on a CIFAR-10 analog dataset.</w:t>
      </w:r>
    </w:p>
    <w:p>
      <w:pPr>
        <w:spacing w:after="160" w:before="0"/>
        <w:jc w:val="left"/>
      </w:pPr>
      <w:r>
        <w:rPr>
          <w:rFonts w:ascii="Arial" w:cs="Arial" w:eastAsia="Arial" w:hAnsi="Arial"/>
          <w:b w:val="false"/>
          <w:bCs w:val="false"/>
          <w:i w:val="false"/>
          <w:iCs w:val="false"/>
          <w:color w:val="1E293B"/>
          <w:sz w:val="22"/>
          <w:szCs w:val="22"/>
        </w:rPr>
        <w:t xml:space="preserve">Effective rank tracked spectral diversity of learned features; Fisher Information revealed the characteristic dip-then-rise neuroplasticity signature; mutual information confirmed progressively class-discriminative representations; and TwoNN intrinsic dimensionality quantified 47% closure of the complexity gap between model and data.</w:t>
      </w:r>
    </w:p>
    <w:p>
      <w:pPr>
        <w:spacing w:after="240" w:before="0"/>
        <w:jc w:val="left"/>
      </w:pPr>
      <w:r>
        <w:rPr>
          <w:rFonts w:ascii="Arial" w:cs="Arial" w:eastAsia="Arial" w:hAnsi="Arial"/>
          <w:b w:val="false"/>
          <w:bCs w:val="false"/>
          <w:i w:val="false"/>
          <w:iCs w:val="false"/>
          <w:color w:val="1E293B"/>
          <w:sz w:val="22"/>
          <w:szCs w:val="22"/>
        </w:rPr>
        <w:t xml:space="preserve">The core principle—capacity as an emergent property of training, determined by the tension between model and data complexity rather than fixed by the designer—offers a principled alternative to architecture search and manual capacity tuning, maintaining a direct and measurable connection to the biological neuroplasticity that motivates it.</w:t>
      </w:r>
    </w:p>
    <w:p>
      <w:pPr>
        <w:pBdr>
          <w:bottom w:val="single" w:color="E2E8F0" w:sz="4" w:space="1"/>
        </w:pBdr>
        <w:spacing w:before="80" w:after="80"/>
      </w:pPr>
      <w:r>
        <w:rPr>
          <w:rFonts w:ascii="Arial" w:cs="Arial" w:eastAsia="Arial" w:hAnsi="Arial"/>
        </w:rPr>
        <w:t xml:space="preserve"/>
      </w:r>
    </w:p>
    <w:p>
      <w:pPr>
        <w:pStyle w:val="Heading1"/>
        <w:pBdr>
          <w:bottom w:val="single" w:color="0D6E8A" w:sz="6" w:space="6"/>
        </w:pBdr>
        <w:spacing w:before="360" w:after="160"/>
      </w:pPr>
      <w:r>
        <w:rPr>
          <w:rFonts w:ascii="Arial" w:cs="Arial" w:eastAsia="Arial" w:hAnsi="Arial"/>
          <w:b/>
          <w:bCs/>
          <w:color w:val="1F3864"/>
          <w:sz w:val="32"/>
          <w:szCs w:val="32"/>
        </w:rPr>
        <w:t xml:space="preserve">Appendix: Experimental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Optimiser</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Adam (β1=0.9, β2=0.999, ε=10⁻⁷)</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Learning rate (initial)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2.5 × 10⁻³</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Learning rate (post-growth)</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1.8 × 10⁻³</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Weight decay (L2)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5 × 10⁻⁴</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Batch size</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256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Total epochs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65</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Growth check frequency</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Every epoch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Width delta per growth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12 neurons per hidden layer</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Growth accuracy threshold</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88%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Growth plateau threshold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&lt;0.6% improvement/epoch</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Growth cooldown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7 epochs minimum between events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Width→Depth switch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≥3 consecutive width growths each &lt;1.5% gain</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New neuron weight scale</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He-init × 0.1 (output), 10⁻³ (input)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Adam state transfer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Preserved for existing neurons</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TwoNN subset size</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150 samples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MI / Fisher subset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300 / 256 samples</w:t>
            </w:r>
          </w:p>
        </w:tc>
      </w:tr>
      <w:tr>
        <w:tc>
          <w:tcPr>
            <w:tcW w:type="dxa" w:w="3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Implementation</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Pure NumPy (float32), no deep learning framework</w:t>
            </w:r>
          </w:p>
        </w:tc>
      </w:tr>
    </w:tbl>
    <w:p>
      <w:pPr>
        <w:spacing w:after="12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6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4" w:space="4"/>
      </w:pBdr>
      <w:spacing w:after="0"/>
      <w:jc w:val="right"/>
    </w:pPr>
    <w:r>
      <w:rPr>
        <w:rFonts w:ascii="Arial" w:cs="Arial" w:eastAsia="Arial" w:hAnsi="Arial"/>
        <w:color w:val="64748B"/>
        <w:sz w:val="18"/>
        <w:szCs w:val="18"/>
      </w:rPr>
      <w:t xml:space="preserve">Neuroplasticity-Inspired Growing Neural Network  |  Experiment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D6E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97a1ba7b7950023b38560f4819643f9d81bdc64.png"/><Relationship Id="rId9" Type="http://schemas.openxmlformats.org/officeDocument/2006/relationships/image" Target="media/7f4b81a521f2bbd25d06e7b2bb1b0de2e8d72c4b.png"/><Relationship Id="rId10" Type="http://schemas.openxmlformats.org/officeDocument/2006/relationships/image" Target="media/35006163a23d4ee8070bd08fca2cd1e97b2e94a9.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2026-03-23T07:08:30.180Z</dcterms:created>
  <dcterms:modified xsi:type="dcterms:W3CDTF">2026-03-23T07:08:30.181Z</dcterms:modified>
</cp:coreProperties>
</file>

<file path=docProps/custom.xml><?xml version="1.0" encoding="utf-8"?>
<Properties xmlns="http://schemas.openxmlformats.org/officeDocument/2006/custom-properties" xmlns:vt="http://schemas.openxmlformats.org/officeDocument/2006/docPropsVTypes"/>
</file>