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rPr>
          <w:rFonts w:ascii="Arial" w:cs="Arial" w:eastAsia="Arial" w:hAnsi="Arial"/>
          <w:b/>
          <w:bCs/>
          <w:color w:val="1B2838"/>
          <w:sz w:val="56"/>
          <w:szCs w:val="56"/>
        </w:rPr>
        <w:t xml:space="preserve">Neuroplasticity-Inspired</w:t>
      </w:r>
    </w:p>
    <w:p>
      <w:pPr>
        <w:jc w:val="center"/>
      </w:pPr>
      <w:r>
        <w:rPr>
          <w:rFonts w:ascii="Arial" w:cs="Arial" w:eastAsia="Arial" w:hAnsi="Arial"/>
          <w:b/>
          <w:bCs/>
          <w:color w:val="1B2838"/>
          <w:sz w:val="56"/>
          <w:szCs w:val="56"/>
        </w:rPr>
        <w:t xml:space="preserve">Growing Neural Networks</w:t>
      </w:r>
    </w:p>
    <w:p>
      <w:pPr>
        <w:spacing w:after="200"/>
      </w:pPr>
    </w:p>
    <w:p>
      <w:pPr>
        <w:pBdr>
          <w:top w:val="single" w:color="2E75B6" w:sz="4" w:space="8"/>
          <w:bottom w:val="single" w:color="2E75B6" w:sz="4" w:space="8"/>
        </w:pBdr>
        <w:spacing w:before="200" w:after="200"/>
        <w:jc w:val="center"/>
      </w:pPr>
      <w:r>
        <w:rPr>
          <w:rFonts w:ascii="Arial" w:cs="Arial" w:eastAsia="Arial" w:hAnsi="Arial"/>
          <w:color w:val="2E75B6"/>
          <w:sz w:val="30"/>
          <w:szCs w:val="30"/>
        </w:rPr>
        <w:t xml:space="preserve">When Networks Learn to Grow</w:t>
      </w:r>
    </w:p>
    <w:p>
      <w:pPr>
        <w:spacing w:after="100"/>
      </w:pPr>
    </w:p>
    <w:p>
      <w:pPr>
        <w:spacing w:after="60"/>
        <w:jc w:val="center"/>
      </w:pPr>
      <w:r>
        <w:rPr>
          <w:rFonts w:ascii="Arial" w:cs="Arial" w:eastAsia="Arial" w:hAnsi="Arial"/>
          <w:color w:val="555555"/>
          <w:sz w:val="22"/>
          <w:szCs w:val="22"/>
        </w:rPr>
        <w:t xml:space="preserve">Entropy-Guided Synaptic Growth · Residual Skip Connections · Dataset-Informed Initialisation</w:t>
      </w:r>
    </w:p>
    <w:p>
      <w:pPr>
        <w:spacing w:after="60"/>
        <w:jc w:val="center"/>
      </w:pPr>
      <w:r>
        <w:rPr>
          <w:rFonts w:ascii="Arial" w:cs="Arial" w:eastAsia="Arial" w:hAnsi="Arial"/>
          <w:color w:val="555555"/>
          <w:sz w:val="22"/>
          <w:szCs w:val="22"/>
        </w:rPr>
        <w:t xml:space="preserve">Convolutional Front-End · Synaptic Pruning · GradCAM Visualisation</w:t>
      </w:r>
    </w:p>
    <w:p>
      <w:pPr>
        <w:spacing w:after="500"/>
      </w:pPr>
    </w:p>
    <w:p>
      <w:pPr>
        <w:jc w:val="center"/>
      </w:pPr>
      <w:r>
        <w:rPr>
          <w:rFonts w:ascii="Arial" w:cs="Arial" w:eastAsia="Arial" w:hAnsi="Arial"/>
          <w:sz w:val="28"/>
          <w:szCs w:val="28"/>
        </w:rPr>
        <w:t xml:space="preserve">Evam Kaushik</w:t>
      </w:r>
    </w:p>
    <w:p>
      <w:pPr>
        <w:jc w:val="center"/>
      </w:pPr>
      <w:r>
        <w:rPr>
          <w:rFonts w:ascii="Arial" w:cs="Arial" w:eastAsia="Arial" w:hAnsi="Arial"/>
          <w:color w:val="2E75B6"/>
          <w:sz w:val="22"/>
          <w:szCs w:val="22"/>
        </w:rPr>
        <w:t xml:space="preserve">evam.kaushik@adelaide.edu.au</w:t>
      </w:r>
    </w:p>
    <w:p>
      <w:pPr>
        <w:jc w:val="center"/>
      </w:pPr>
      <w:r>
        <w:rPr>
          <w:rFonts w:ascii="Arial" w:cs="Arial" w:eastAsia="Arial" w:hAnsi="Arial"/>
          <w:color w:val="666666"/>
          <w:sz w:val="22"/>
          <w:szCs w:val="22"/>
        </w:rPr>
        <w:t xml:space="preserve">University of Adelaide</w:t>
      </w:r>
    </w:p>
    <w:p>
      <w:pPr>
        <w:spacing w:after="600"/>
        <w:jc w:val="center"/>
      </w:pPr>
      <w:r>
        <w:rPr>
          <w:rFonts w:ascii="Arial" w:cs="Arial" w:eastAsia="Arial" w:hAnsi="Arial"/>
          <w:color w:val="666666"/>
          <w:sz w:val="22"/>
          <w:szCs w:val="22"/>
        </w:rPr>
        <w:t xml:space="preserve">March 2026</w:t>
      </w:r>
    </w:p>
    <w:p>
      <w:pPr>
        <w:pBdr>
          <w:top w:val="single" w:color="CCCCCC" w:sz="2" w:space="4"/>
        </w:pBdr>
        <w:spacing w:before="400"/>
      </w:pPr>
      <w:r>
        <w:rPr>
          <w:rFonts w:ascii="Arial" w:cs="Arial" w:eastAsia="Arial" w:hAnsi="Arial"/>
          <w:b/>
          <w:bCs/>
          <w:sz w:val="24"/>
          <w:szCs w:val="24"/>
        </w:rPr>
        <w:t xml:space="preserve">Abstract</w:t>
      </w:r>
    </w:p>
    <w:p>
      <w:pPr>
        <w:spacing w:after="200"/>
      </w:pPr>
      <w:r>
        <w:rPr>
          <w:rFonts w:ascii="Arial" w:cs="Arial" w:eastAsia="Arial" w:hAnsi="Arial"/>
          <w:sz w:val="22"/>
          <w:szCs w:val="22"/>
        </w:rPr>
        <w:t xml:space="preserve">What if neural networks could grow their own architecture, the same way brains do? This report presents six experiments that take that question seriously. We start a network so small it literally cannot solve the task, then let it grow new neurons whenever four information-theoretic signals detect it is struggling. The results: autonomous growth from 458 to 550,650 parameters, effective rank climbing from 36 to 142, and test accuracy reaching 77.8% on real CIFAR-10. The final experiment adds a convolutional front-end, BatchNorm, residual skip connections, and synaptic pruning—completing the biological analogy with both growth and elimination. GradCAM visualisations track the network’s developing “visual cortex” across 120 epochs, showing conv layers progressively learning edge detection, texture sensitivity, and object-level spatial attention. Nine width growth events expand the architecture from 64 to 352 hidden neurons while the pruning system stands ready to eliminate weak connections when overfitting is detected. The central finding across all six experiments: capacity should be an emergent property of training, not a designer’s guess.</w:t>
      </w:r>
    </w:p>
    <w:p>
      <w:r>
        <w:br w:type="page"/>
      </w:r>
    </w:p>
    <w:p>
      <w:pPr>
        <w:pStyle w:val="Heading1"/>
      </w:pPr>
      <w:r>
        <w:t xml:space="preserve">1.  Introduction</w:t>
      </w:r>
    </w:p>
    <w:p>
      <w:pPr>
        <w:pStyle w:val="Heading2"/>
      </w:pPr>
      <w:r>
        <w:t xml:space="preserve">1.1  The Neuroscience Analogy</w:t>
      </w:r>
    </w:p>
    <w:p>
      <w:pPr>
        <w:spacing w:after="120"/>
      </w:pPr>
      <w:r>
        <w:rPr>
          <w:rFonts w:ascii="Arial" w:cs="Arial" w:eastAsia="Arial" w:hAnsi="Arial"/>
          <w:sz w:val="22"/>
          <w:szCs w:val="22"/>
        </w:rPr>
        <w:t xml:space="preserve">You are reading this sentence because your brain once grew new synapses to handle the complexity of written language. When humans face problems exceeding their current cognitive capacity, the brain does not simply try harder—it physically rewires. New synaptic connections form, dendrites branch, and in some regions entirely new neurons are generated. Later, during developmental pruning, connections that are not earning their keep get eliminated. The ones that fire together wire together; the rest are cut. This is neuroplasticity: growth followed by refinement.</w:t>
      </w:r>
    </w:p>
    <w:p>
      <w:pPr>
        <w:spacing w:after="120"/>
      </w:pPr>
      <w:r>
        <w:rPr>
          <w:rFonts w:ascii="Arial" w:cs="Arial" w:eastAsia="Arial" w:hAnsi="Arial"/>
          <w:sz w:val="22"/>
          <w:szCs w:val="22"/>
        </w:rPr>
        <w:t xml:space="preserve">This experiment series operationalises that principle directly. A neural network begins with a capacity so small it is structurally incapable of solving the task. When it detects struggle, it grows. When it detects overfitting, it prunes. Four information-theoretic signals—Effective Rank, Fisher Information Trace, Mutual Information I(T;Y), and TwoNN Intrinsic Dimensionality—provide the quantitative basis for every architectural decision.</w:t>
      </w:r>
    </w:p>
    <w:p>
      <w:pPr>
        <w:pStyle w:val="Heading2"/>
      </w:pPr>
      <w:r>
        <w:t xml:space="preserve">1.2  The Six-Experiment Journey</w:t>
      </w:r>
    </w:p>
    <w:p>
      <w:pPr>
        <w:spacing w:after="120"/>
      </w:pPr>
      <w:r>
        <w:rPr>
          <w:rFonts w:ascii="Arial" w:cs="Arial" w:eastAsia="Arial" w:hAnsi="Arial"/>
          <w:sz w:val="22"/>
          <w:szCs w:val="22"/>
        </w:rPr>
        <w:t xml:space="preserve">Experiment 1 (Plain MLP, synthetic data): Validates the core growth mechanism. 458 → 13,994 params, 6 growth events, 47% complexity gap closure.</w:t>
      </w:r>
    </w:p>
    <w:p>
      <w:pPr>
        <w:spacing w:after="120"/>
      </w:pPr>
      <w:r>
        <w:rPr>
          <w:rFonts w:ascii="Arial" w:cs="Arial" w:eastAsia="Arial" w:hAnsi="Arial"/>
          <w:sz w:val="22"/>
          <w:szCs w:val="22"/>
        </w:rPr>
        <w:t xml:space="preserve">Experiments 2–3 (Plain MLP, scaled to ResNet-20 and airbench95): Discover the 74–77% accuracy ceiling. More parameters change nothing. The 15.5 pp gap to ResNet-20 directly measures the convolutional inductive bias.</w:t>
      </w:r>
    </w:p>
    <w:p>
      <w:pPr>
        <w:spacing w:after="120"/>
      </w:pPr>
      <w:r>
        <w:rPr>
          <w:rFonts w:ascii="Arial" w:cs="Arial" w:eastAsia="Arial" w:hAnsi="Arial"/>
          <w:sz w:val="22"/>
          <w:szCs w:val="22"/>
        </w:rPr>
        <w:t xml:space="preserve">Experiment 4 (SkipMLP + dataset-informed init, v1): Adds skip connections and PCsInit. +14.5 pp cold-start advantage from initialisation. Skip connections neutral at shallow depth.</w:t>
      </w:r>
    </w:p>
    <w:p>
      <w:pPr>
        <w:spacing w:after="120"/>
      </w:pPr>
      <w:r>
        <w:rPr>
          <w:rFonts w:ascii="Arial" w:cs="Arial" w:eastAsia="Arial" w:hAnsi="Arial"/>
          <w:sz w:val="22"/>
          <w:szCs w:val="22"/>
        </w:rPr>
        <w:t xml:space="preserve">Experiment 5 (SkipMLP verified gradients, v2): Rewrites with verified backward pass. Skip connections deliver +17.9 pp on harder balanced data. Autonomous depth growth triggered.</w:t>
      </w:r>
    </w:p>
    <w:p>
      <w:pPr>
        <w:spacing w:after="120"/>
      </w:pPr>
      <w:r>
        <w:rPr>
          <w:rFonts w:ascii="Arial" w:cs="Arial" w:eastAsia="Arial" w:hAnsi="Arial"/>
          <w:sz w:val="22"/>
          <w:szCs w:val="22"/>
        </w:rPr>
        <w:t xml:space="preserve">Experiment 6 (Conv + SkipMLP + BatchNorm + Pruning): The complete neuroplasticity system. Conv front-end provides spatial inductive bias. BatchNorm stabilises training. Pruning completes the biological cycle. GradCAM tracks the developing visual cortex. 45,786 → 550,650 params across 9 growth events. Train 89.8%, Test 77.8% on real CIFAR-10.</w:t>
      </w:r>
    </w:p>
    <w:p>
      <w:r>
        <w:br w:type="page"/>
      </w:r>
    </w:p>
    <w:p>
      <w:pPr>
        <w:pStyle w:val="Heading1"/>
      </w:pPr>
      <w:r>
        <w:t xml:space="preserve">2.  Methodology</w:t>
      </w:r>
    </w:p>
    <w:p>
      <w:pPr>
        <w:pStyle w:val="Heading2"/>
      </w:pPr>
      <w:r>
        <w:t xml:space="preserve">2.1  Four Information-Theoretic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060"/>
      </w:tblGrid>
      <w:tr>
        <w:tc>
          <w:tcPr>
            <w:tcW w:type="dxa" w:w="20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3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406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Effective Rank</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exp(H(σ̃)) from SVD of weight matrices. Measures independent feature directions.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Sharp jump at each growth event. 36.6 → 142.1 in Experiment 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Fisher Trace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E[(∂L/∂θ)²]. Measures per-parameter sensitivity.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Dip-then-rise: new neurons idle, then specialise. Spikes visible at each growth in Exp 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I(T;Y)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Mutual information between representations and labels (Tishby 2000).</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Oscillates 0.32–0.68 in Exp 6 as representations reorganise after each growth.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TwoNN ID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Intrinsic dimensionality of representations (Facco et al. 2017).</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 ID: 10.7 → 26.5. Complexity gap (Data ID 49.2 − Rep ID) narrows steadily.</w:t>
            </w:r>
          </w:p>
        </w:tc>
      </w:tr>
    </w:tbl>
    <w:p>
      <w:pPr>
        <w:spacing w:after="200"/>
      </w:pPr>
    </w:p>
    <w:p>
      <w:pPr>
        <w:pStyle w:val="Heading2"/>
      </w:pPr>
      <w:r>
        <w:t xml:space="preserve">2.2  Growth Protocol</w:t>
      </w:r>
    </w:p>
    <w:p>
      <w:pPr>
        <w:spacing w:after="120"/>
      </w:pPr>
      <w:r>
        <w:rPr>
          <w:rFonts w:ascii="Arial" w:cs="Arial" w:eastAsia="Arial" w:hAnsi="Arial"/>
          <w:sz w:val="22"/>
          <w:szCs w:val="22"/>
        </w:rPr>
        <w:t xml:space="preserve">The controller checks every epoch (after a 6-epoch cooldown) whether training accuracy is below 95% and per-epoch improvement is below 0.3%. When triggered, a dual-score system decides width vs. depth growth. Width growth adds 32 neurons via Net2Net function-preserving expansion. Depth growth adds a new residual block with near-identity (FixUp) initialisation. The dual scorer compares width saturation (effective rank / width) against the representation gap, preferring depth when neurons are fully utilised but the complexity gap remains large.</w:t>
      </w:r>
    </w:p>
    <w:p>
      <w:pPr>
        <w:pStyle w:val="Heading2"/>
      </w:pPr>
      <w:r>
        <w:t xml:space="preserve">2.3  Synaptic Pruning (Experiment 6)</w:t>
      </w:r>
    </w:p>
    <w:p>
      <w:pPr>
        <w:spacing w:after="120"/>
      </w:pPr>
      <w:r>
        <w:rPr>
          <w:rFonts w:ascii="Arial" w:cs="Arial" w:eastAsia="Arial" w:hAnsi="Arial"/>
          <w:sz w:val="22"/>
          <w:szCs w:val="22"/>
        </w:rPr>
        <w:t xml:space="preserve">Two-stage structured pruning inspired by recent literature on cosine-similarity-based neuron importance. Stage 1: compute cosine similarity between each MLP block’s input and output activations—blocks with cos ≈ 1.0 are near-identity (doing nothing). Stage 2: within flagged blocks, score individual neurons using a composite of weight magnitude (L2 norm), Fisher sensitivity (gradient contribution), and BatchNorm γ magnitude. Bottom 8% of neurons by composite score are permanently removed. All adjacent layers, BN parameters, and the output head are adjusted accordingly.</w:t>
      </w:r>
    </w:p>
    <w:p>
      <w:pPr>
        <w:pStyle w:val="Heading2"/>
      </w:pPr>
      <w:r>
        <w:t xml:space="preserve">2.4  Architecture: Experiment 6</w:t>
      </w:r>
    </w:p>
    <w:p>
      <w:pPr>
        <w:spacing w:after="120"/>
      </w:pPr>
      <w:r>
        <w:rPr>
          <w:rFonts w:ascii="Arial" w:cs="Arial" w:eastAsia="Arial" w:hAnsi="Arial"/>
          <w:sz w:val="22"/>
          <w:szCs w:val="22"/>
        </w:rPr>
        <w:t xml:space="preserve">Conv front-end: three ConvBlocks (16 → 32 → 64 channels), each with Conv2d(3×3) → BatchNorm2d → ReLU → MaxPool(2×2). Global average pooling flattens to 64 dims. Growing Skip-MLP tail: projection layer (64 → width) with BatchNorm1d, followed by N residual blocks (Linear → BN → ReLU → Linear → BN + skip → ReLU), and an output head. Initial config: width=64, blocks=2, 45,786 parameters.</w:t>
      </w:r>
    </w:p>
    <w:p>
      <w:pPr>
        <w:pStyle w:val="Heading2"/>
      </w:pPr>
      <w:r>
        <w:t xml:space="preserve">2.5  GradCAM Visualisation</w:t>
      </w:r>
    </w:p>
    <w:p>
      <w:pPr>
        <w:spacing w:after="120"/>
      </w:pPr>
      <w:r>
        <w:rPr>
          <w:rFonts w:ascii="Arial" w:cs="Arial" w:eastAsia="Arial" w:hAnsi="Arial"/>
          <w:sz w:val="22"/>
          <w:szCs w:val="22"/>
        </w:rPr>
        <w:t xml:space="preserve">Gradient-weighted Class Activation Mapping (Selvaraju et al. 2017) generates heatmaps at each conv layer, showing which spatial regions drive the predicted class. Snapshots are captured at initialisation, after every growth event, and at the final epoch. A grid of rows (conv layers) × columns (one sample per class) creates a “developmental timeline” of the network’s visual attention.</w:t>
      </w:r>
    </w:p>
    <w:p>
      <w:r>
        <w:br w:type="page"/>
      </w:r>
    </w:p>
    <w:p>
      <w:pPr>
        <w:pStyle w:val="Heading1"/>
      </w:pPr>
      <w:r>
        <w:t xml:space="preserve">3.  Experiments 1–5: Summary of Prior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100"/>
        <w:gridCol w:w="1000"/>
        <w:gridCol w:w="900"/>
        <w:gridCol w:w="900"/>
        <w:gridCol w:w="900"/>
        <w:gridCol w:w="960"/>
      </w:tblGrid>
      <w:tr>
        <w:tc>
          <w:tcPr>
            <w:tcW w:type="dxa" w:w="24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Experiment</w:t>
            </w:r>
          </w:p>
        </w:tc>
        <w:tc>
          <w:tcPr>
            <w:tcW w:type="dxa" w:w="12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11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Arch</w:t>
            </w:r>
          </w:p>
        </w:tc>
        <w:tc>
          <w:tcPr>
            <w:tcW w:type="dxa" w:w="10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Params</w:t>
            </w:r>
          </w:p>
        </w:tc>
        <w:tc>
          <w:tcPr>
            <w:tcW w:type="dxa" w:w="9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9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Events</w:t>
            </w:r>
          </w:p>
        </w:tc>
        <w:tc>
          <w:tcPr>
            <w:tcW w:type="dxa" w:w="9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ER Δ</w:t>
            </w:r>
          </w:p>
        </w:tc>
        <w:tc>
          <w:tcPr>
            <w:tcW w:type="dxa" w:w="96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Gap↓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 Baseline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Synth 64d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13,994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 ResNet scale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Analog 96d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139,978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 airbench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Analog 96d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321,994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 Skip v1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Analog 96d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SkipMLP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252,654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74.4%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Skip v2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Synth 96d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SkipMLP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113,242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r>
    </w:tbl>
    <w:p>
      <w:pPr>
        <w:spacing w:after="200"/>
      </w:pPr>
    </w:p>
    <w:p>
      <w:pPr>
        <w:spacing w:after="120"/>
      </w:pPr>
      <w:r>
        <w:rPr>
          <w:rFonts w:ascii="Arial" w:cs="Arial" w:eastAsia="Arial" w:hAnsi="Arial"/>
          <w:sz w:val="22"/>
          <w:szCs w:val="22"/>
        </w:rPr>
        <w:t xml:space="preserve">The central finding from Experiments 1–5: a persistent 74–77% accuracy ceiling on the CIFAR-10 analog regardless of parameter count, architecture, or initialisation. This ceiling directly measures the convolutional inductive bias at 15.5 percentage points vs. ResNet-20’s 91.25%. Experiment 6 addresses this by adding a convolutional front-end.</w:t>
      </w:r>
    </w:p>
    <w:p>
      <w:r>
        <w:br w:type="page"/>
      </w:r>
    </w:p>
    <w:p>
      <w:pPr>
        <w:pStyle w:val="Heading1"/>
      </w:pPr>
      <w:r>
        <w:t xml:space="preserve">4.  Experiment 6: The Complete Neuroplasticity System</w:t>
      </w:r>
    </w:p>
    <w:p>
      <w:pPr>
        <w:pStyle w:val="Heading2"/>
      </w:pPr>
      <w:r>
        <w:t xml:space="preserve">4.1  Configuration</w:t>
      </w:r>
    </w:p>
    <w:p>
      <w:pPr>
        <w:spacing w:after="120"/>
      </w:pPr>
      <w:r>
        <w:rPr>
          <w:rFonts w:ascii="Arial" w:cs="Arial" w:eastAsia="Arial" w:hAnsi="Arial"/>
          <w:sz w:val="22"/>
          <w:szCs w:val="22"/>
        </w:rPr>
        <w:t xml:space="preserve">Architecture: NeuroplasticityNet with Conv(16,32,64) front-end + Growing SkipMLP(w=64, b=2) + BatchNorm + Pruning. Dataset: Real CIFAR-10 (50,000 train / 10,000 test) with data augmentation (random crops, horizontal flips). Training: 120 epochs, SGD with momentum 0.9, cosine LR schedule (0.01 → 0.0001), weight decay 5×10⁻⁴. Growth: +32 neurons per width event, 500K parameter cap. Pruning: 8% ratio, 15-epoch cooldown, 18% overfit gap threshold.</w:t>
      </w:r>
    </w:p>
    <w:p>
      <w:pPr>
        <w:pStyle w:val="Heading2"/>
      </w:pPr>
      <w:r>
        <w:t xml:space="preserve">4.2  Results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8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Start (Ep 1)</w:t>
            </w:r>
          </w:p>
        </w:tc>
        <w:tc>
          <w:tcPr>
            <w:tcW w:type="dxa" w:w="318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End (Ep 120)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Architecture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Conv[16,32,64] + MLP w=64, b=2</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Conv[16,32,64] + MLP w=352, b=2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Parameters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45,786</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550,650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Train Accuracy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37.4%</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89.8%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 Accuracy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38.7%</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77.8%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Effective Rank</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36.6</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142.1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Rep ID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10.7</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26.5 (Data ID=49.2)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Growth Events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width events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Prune Events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(gap stayed below 18%)</w:t>
            </w:r>
          </w:p>
        </w:tc>
      </w:tr>
    </w:tbl>
    <w:p>
      <w:pPr>
        <w:spacing w:after="200"/>
      </w:pPr>
    </w:p>
    <w:p>
      <w:pPr>
        <w:pStyle w:val="Heading2"/>
      </w:pPr>
      <w:r>
        <w:t xml:space="preserve">4.3  Growth Events</w:t>
      </w:r>
    </w:p>
    <w:p>
      <w:pPr>
        <w:spacing w:after="120"/>
      </w:pPr>
      <w:r>
        <w:rPr>
          <w:rFonts w:ascii="Arial" w:cs="Arial" w:eastAsia="Arial" w:hAnsi="Arial"/>
          <w:sz w:val="22"/>
          <w:szCs w:val="22"/>
        </w:rPr>
        <w:t xml:space="preserve">Nine width growth events fired between epochs 28 and 76, each adding 32 neurons to the MLP width. The model grew from width=64 (45,786 params) to width=352 (550,650 params). All growth events were width-type—the dual-score controller did not trigger depth growth because the width saturation threshold (60%) was never reached, indicating that the conv front-end was providing sufficiently rich features that width alone could exploit. The architecture remained at 2 residual blocks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2000"/>
        <w:gridCol w:w="2960"/>
      </w:tblGrid>
      <w:tr>
        <w:tc>
          <w:tcPr>
            <w:tcW w:type="dxa" w:w="12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Epoch</w:t>
            </w:r>
          </w:p>
        </w:tc>
        <w:tc>
          <w:tcPr>
            <w:tcW w:type="dxa" w:w="12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Width</w:t>
            </w:r>
          </w:p>
        </w:tc>
        <w:tc>
          <w:tcPr>
            <w:tcW w:type="dxa" w:w="20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Params Before</w:t>
            </w:r>
          </w:p>
        </w:tc>
        <w:tc>
          <w:tcPr>
            <w:tcW w:type="dxa" w:w="20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Params After</w:t>
            </w:r>
          </w:p>
        </w:tc>
        <w:tc>
          <w:tcPr>
            <w:tcW w:type="dxa" w:w="296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64→96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45,786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69,114</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stalled (Δ=0.0027/ep)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96→128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69,114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100,634</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stalled (Δ=0.0019/ep)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128→160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100,634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140,346</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stalled (Δ=0.0015/ep)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160→192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140,346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188,250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stalled (Δ=0.0015/ep)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192→224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188,250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244,346</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stalled (Δ=0.0023/ep)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224→256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244,346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308,634</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stalled (Δ=0.0004/ep)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256→288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308,634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381,114</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stalled (Δ=0.0010/ep)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288→320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381,114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461,786</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stalled (Δ=0.0013/ep)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320→352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461,786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550,650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stalled (Δ=0.0009/ep)</w:t>
            </w:r>
          </w:p>
        </w:tc>
      </w:tr>
    </w:tbl>
    <w:p>
      <w:pPr>
        <w:spacing w:after="200"/>
      </w:pPr>
    </w:p>
    <w:p>
      <w:pPr>
        <w:pStyle w:val="Heading2"/>
      </w:pPr>
      <w:r>
        <w:t xml:space="preserve">4.4  Accuracy, Loss &amp; Capacity</w:t>
      </w:r>
    </w:p>
    <w:p>
      <w:pPr>
        <w:jc w:val="center"/>
      </w:pPr>
      <w:r>
        <w:drawing>
          <wp:inline distT="0" distB="0" distL="0" distR="0">
            <wp:extent cx="552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714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1. Accuracy (left), training loss (centre), and parameter growth (right). Red dashed lines mark width growth events. No pruning events were triggered (train-test gap stayed below 18%).</w:t>
      </w:r>
    </w:p>
    <w:p>
      <w:pPr>
        <w:spacing w:after="120"/>
      </w:pPr>
      <w:r>
        <w:rPr>
          <w:rFonts w:ascii="Arial" w:cs="Arial" w:eastAsia="Arial" w:hAnsi="Arial"/>
          <w:sz w:val="22"/>
          <w:szCs w:val="22"/>
        </w:rPr>
        <w:t xml:space="preserve">Train accuracy climbed steadily from 37.4% to 89.8% with a clear staircase pattern—each growth event triggers a brief acceleration as new neurons begin specialising. Test accuracy followed to 77.8%, with the train-test gap widening from near-zero to ~12 percentage points by epoch 120. The gap stayed below the 18% pruning threshold, so no pruning was triggered—the conv front-end’s inductive bias and data augmentation provided enough regularisation to prevent the severe overfitting seen in earlier MLP-only experiments.</w:t>
      </w:r>
    </w:p>
    <w:p>
      <w:pPr>
        <w:pStyle w:val="Heading2"/>
      </w:pPr>
      <w:r>
        <w:t xml:space="preserve">4.5  Information-Theoretic Signals</w:t>
      </w:r>
    </w:p>
    <w:p>
      <w:pPr>
        <w:jc w:val="center"/>
      </w:pPr>
      <w:r>
        <w:drawing>
          <wp:inline distT="0" distB="0" distL="0" distR="0">
            <wp:extent cx="552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714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2. IT signals: Effective Rank (left), Fisher Trace (centre), I(T;Y) (right). Growth events marked with dashed lines.</w:t>
      </w:r>
    </w:p>
    <w:p>
      <w:pPr>
        <w:spacing w:after="120"/>
      </w:pPr>
      <w:r>
        <w:rPr>
          <w:rFonts w:ascii="Arial" w:cs="Arial" w:eastAsia="Arial" w:hAnsi="Arial"/>
          <w:sz w:val="22"/>
          <w:szCs w:val="22"/>
        </w:rPr>
        <w:t xml:space="preserve">Effective rank grew from 36.6 to 142.1 (3.9×)—a staircase of sharp jumps at each growth event, confirming that every set of 32 new neurons created genuinely independent feature directions. The final effective rank of 142 out of a maximum possible 352 indicates 40% spectral utilisation, meaning the network is using its capacity reasonably efficiently but has room to specialise further.</w:t>
      </w:r>
    </w:p>
    <w:p>
      <w:pPr>
        <w:spacing w:after="120"/>
      </w:pPr>
      <w:r>
        <w:rPr>
          <w:rFonts w:ascii="Arial" w:cs="Arial" w:eastAsia="Arial" w:hAnsi="Arial"/>
          <w:sz w:val="22"/>
          <w:szCs w:val="22"/>
        </w:rPr>
        <w:t xml:space="preserve">Fisher Information trace showed pronounced spikes at epochs 3, 10, and 40, with the classic dip-then-rise pattern visible across the growth phase (epochs 28–76). The large spike near epoch 115 suggests the model was pushing hard against its capacity ceiling as the learning rate decayed to its minimum.</w:t>
      </w:r>
    </w:p>
    <w:p>
      <w:pPr>
        <w:spacing w:after="120"/>
      </w:pPr>
      <w:r>
        <w:rPr>
          <w:rFonts w:ascii="Arial" w:cs="Arial" w:eastAsia="Arial" w:hAnsi="Arial"/>
          <w:sz w:val="22"/>
          <w:szCs w:val="22"/>
        </w:rPr>
        <w:t xml:space="preserve">I(T;Y) oscillated between 0.32 and 0.68 nats, with drops after each growth event (new neurons temporarily dilute the class-discriminative structure) followed by recovery. The overall trend is flat rather than rising, suggesting the representations are reorganising at each growth rather than monotonically becoming more class-discriminative—a signature of the width-dominant growth mode where feature space is expanding laterally rather than deepening compositionally.</w:t>
      </w:r>
    </w:p>
    <w:p>
      <w:pPr>
        <w:pStyle w:val="Heading2"/>
      </w:pPr>
      <w:r>
        <w:t xml:space="preserve">4.6  Complexity Gap &amp; Architecture</w:t>
      </w:r>
    </w:p>
    <w:p>
      <w:pPr>
        <w:jc w:val="center"/>
      </w:pPr>
      <w:r>
        <w:drawing>
          <wp:inline distT="0" distB="0" distL="0" distR="0">
            <wp:extent cx="5524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0002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3. Neuroplasticity signal: Rep ID vs Data ID (left). Architecture evolution showing width growth (right). Blocks remained at 2 throughout.</w:t>
      </w:r>
    </w:p>
    <w:p>
      <w:pPr>
        <w:spacing w:after="120"/>
      </w:pPr>
      <w:r>
        <w:rPr>
          <w:rFonts w:ascii="Arial" w:cs="Arial" w:eastAsia="Arial" w:hAnsi="Arial"/>
          <w:sz w:val="22"/>
          <w:szCs w:val="22"/>
        </w:rPr>
        <w:t xml:space="preserve">Rep ID rose from 10.7 to a peak of 31.0 (epoch 105) before settling at 26.5, against a Data ID of 49.2. The complexity gap closed by approximately 46%—remarkably consistent with the 47% closure in Experiment 1, despite using real CIFAR-10 images rather than synthetic data. This consistency suggests the growth controller is finding a natural equilibrium point where the model’s representational capacity balances against the data’s geometric complexity.</w:t>
      </w:r>
    </w:p>
    <w:p>
      <w:r>
        <w:br w:type="page"/>
      </w:r>
    </w:p>
    <w:p>
      <w:pPr>
        <w:pStyle w:val="Heading1"/>
      </w:pPr>
      <w:r>
        <w:t xml:space="preserve">5.  GradCAM Analysis: Watching the Visual Cortex Develop</w:t>
      </w:r>
    </w:p>
    <w:p>
      <w:pPr>
        <w:spacing w:after="120"/>
      </w:pPr>
      <w:r>
        <w:rPr>
          <w:rFonts w:ascii="Arial" w:cs="Arial" w:eastAsia="Arial" w:hAnsi="Arial"/>
          <w:sz w:val="22"/>
          <w:szCs w:val="22"/>
        </w:rPr>
        <w:t xml:space="preserve">The GradCAM snapshots provide a unique window into the network’s developing spatial attention. Row 1 shows the original images. Rows 2–4 show GradCAM heatmaps for conv layers 1, 2, and 3 respectively. Red/yellow regions indicate high activation importance; blue regions are ignored.</w:t>
      </w:r>
    </w:p>
    <w:p>
      <w:pPr>
        <w:pStyle w:val="Heading2"/>
      </w:pPr>
      <w:r>
        <w:t xml:space="preserve">5.1  Epoch 0 (Random Initialisation)</w:t>
      </w:r>
    </w:p>
    <w:p>
      <w:pPr>
        <w:jc w:val="center"/>
      </w:pPr>
      <w:r>
        <w:drawing>
          <wp:inline distT="0" distB="0" distL="0" distR="0">
            <wp:extent cx="5524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333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4. GradCAM at initialisation. Conv 1 shows diffuse, noisy activation. Conv 3 shows random spatial patterns unrelated to object boundaries.</w:t>
      </w:r>
    </w:p>
    <w:p>
      <w:pPr>
        <w:spacing w:after="120"/>
      </w:pPr>
      <w:r>
        <w:rPr>
          <w:rFonts w:ascii="Arial" w:cs="Arial" w:eastAsia="Arial" w:hAnsi="Arial"/>
          <w:sz w:val="22"/>
          <w:szCs w:val="22"/>
        </w:rPr>
        <w:t xml:space="preserve">At initialisation, conv layer 1 shows broad, unfocused activations—the untrained filters respond to random features like colour gradients. Conv layers 2 and 3 show scattered, noisy patterns with no spatial coherence. The network has no concept of object boundaries or class-relevant features.</w:t>
      </w:r>
    </w:p>
    <w:p>
      <w:pPr>
        <w:pStyle w:val="Heading2"/>
      </w:pPr>
      <w:r>
        <w:t xml:space="preserve">5.2  Epoch 28 (First Growth Event)</w:t>
      </w:r>
    </w:p>
    <w:p>
      <w:pPr>
        <w:jc w:val="center"/>
      </w:pPr>
      <w:r>
        <w:drawing>
          <wp:inline distT="0" distB="0" distL="0" distR="0">
            <wp:extent cx="5524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333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5. GradCAM at first growth (epoch 28, width 64→96). Conv 1 begins showing edge sensitivity. Conv 3 shows emerging spatial localisation on some objects.</w:t>
      </w:r>
    </w:p>
    <w:p>
      <w:pPr>
        <w:spacing w:after="120"/>
      </w:pPr>
      <w:r>
        <w:rPr>
          <w:rFonts w:ascii="Arial" w:cs="Arial" w:eastAsia="Arial" w:hAnsi="Arial"/>
          <w:sz w:val="22"/>
          <w:szCs w:val="22"/>
        </w:rPr>
        <w:t xml:space="preserve">By epoch 28, conv layer 1 has learned to highlight edges—particularly visible on the ship (hull outline), plane (wing edges), and horse (body contour). Conv layer 3 shows the first signs of spatial localisation on specific objects: the frog activates on the body region, the car on the vehicle body, and the dog on the head/face area. The network is beginning to develop its “visual cortex.”</w:t>
      </w:r>
    </w:p>
    <w:p>
      <w:pPr>
        <w:pStyle w:val="Heading2"/>
      </w:pPr>
      <w:r>
        <w:t xml:space="preserve">5.3  Epochs 40–64 (Active Growth Phase)</w:t>
      </w:r>
    </w:p>
    <w:p>
      <w:pPr>
        <w:jc w:val="center"/>
      </w:pPr>
      <w:r>
        <w:drawing>
          <wp:inline distT="0" distB="0" distL="0" distR="0">
            <wp:extent cx="5524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1333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6. GradCAM at epoch 52 (width 192→224). Conv layers show increasingly class-specific spatial attention.</w:t>
      </w:r>
    </w:p>
    <w:p>
      <w:pPr>
        <w:spacing w:after="120"/>
      </w:pPr>
      <w:r>
        <w:rPr>
          <w:rFonts w:ascii="Arial" w:cs="Arial" w:eastAsia="Arial" w:hAnsi="Arial"/>
          <w:sz w:val="22"/>
          <w:szCs w:val="22"/>
        </w:rPr>
        <w:t xml:space="preserve">Through the active growth phase, the GradCAM heatmaps become progressively more focused. Conv 1 stabilises as an edge/texture detector (note the consistent horizontal line activation on the ship and plane across epochs). Conv 2 develops sensitivity to mid-level features—textures and parts. Conv 3 shows the most dramatic evolution: by epoch 52, it activates strongly on class-specific object regions (the frog’s body, the horse’s silhouette, the truck’s cabin).</w:t>
      </w:r>
    </w:p>
    <w:p>
      <w:pPr>
        <w:pStyle w:val="Heading2"/>
      </w:pPr>
      <w:r>
        <w:t xml:space="preserve">5.4  Epoch 120 (Final)</w:t>
      </w:r>
    </w:p>
    <w:p>
      <w:pPr>
        <w:jc w:val="center"/>
      </w:pPr>
      <w:r>
        <w:drawing>
          <wp:inline distT="0" distB="0" distL="0" distR="0">
            <wp:extent cx="5524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1333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7. Final GradCAM (epoch 120, width=352). Conv 3 shows mature spatial attention on class-discriminative regions.</w:t>
      </w:r>
    </w:p>
    <w:p>
      <w:pPr>
        <w:spacing w:after="120"/>
      </w:pPr>
      <w:r>
        <w:rPr>
          <w:rFonts w:ascii="Arial" w:cs="Arial" w:eastAsia="Arial" w:hAnsi="Arial"/>
          <w:sz w:val="22"/>
          <w:szCs w:val="22"/>
        </w:rPr>
        <w:t xml:space="preserve">The final GradCAM reveals a mature feature hierarchy. Conv 1 (row 2) detects edges and low-level textures—acting as the network’s V1 analogue. Conv 2 (row 3) responds to mid-level structures and part boundaries. Conv 3 (row 4) shows the strongest spatial attention: the cat activates on the face/body region, the ship on the hull, the frog on the entire body against the background, the dog on the head, and the horse on its distinctive silhouette. This is exactly the hierarchical feature development predicted by the neuroscience analogy—and it emerged autonomously through the growth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6"/>
              <w:left w:val="single" w:color="1B5E20" w:sz="6"/>
              <w:bottom w:val="single" w:color="1B5E20" w:sz="1"/>
              <w:right w:val="single" w:color="1B5E20" w:sz="1"/>
            </w:tcBorders>
            <w:shd w:fill="E8F5E9" w:val="clear"/>
            <w:tcMar>
              <w:top w:type="dxa" w:w="120"/>
              <w:left w:type="dxa" w:w="200"/>
              <w:bottom w:type="dxa" w:w="120"/>
              <w:right w:type="dxa" w:w="200"/>
            </w:tcMar>
          </w:tcPr>
          <w:p>
            <w:r>
              <w:rPr>
                <w:rFonts w:ascii="Arial" w:cs="Arial" w:eastAsia="Arial" w:hAnsi="Arial"/>
                <w:b/>
                <w:bCs/>
                <w:color w:val="1B5E20"/>
                <w:sz w:val="22"/>
                <w:szCs w:val="22"/>
              </w:rPr>
              <w:t xml:space="preserve">GradCAM Finding</w:t>
            </w:r>
          </w:p>
          <w:p>
            <w:pPr>
              <w:spacing w:before="60"/>
            </w:pPr>
            <w:r>
              <w:rPr>
                <w:rFonts w:ascii="Arial" w:cs="Arial" w:eastAsia="Arial" w:hAnsi="Arial"/>
                <w:sz w:val="20"/>
                <w:szCs w:val="20"/>
              </w:rPr>
              <w:t xml:space="preserve">The conv layers developed a clear feature hierarchy during training: edges (Conv 1) → textures/parts (Conv 2) → object-level spatial attention (Conv 3). This mirrors the V1 → V2 → V4 hierarchy in biological vision. Crucially, this hierarchy stabilised during the growth phase (epochs 28–76) and remained consistent afterward, suggesting the growth events helped the conv layers discover and refine their spatial roles.</w:t>
            </w:r>
          </w:p>
        </w:tc>
      </w:tr>
    </w:tbl>
    <w:p>
      <w:r>
        <w:br w:type="page"/>
      </w:r>
    </w:p>
    <w:p>
      <w:pPr>
        <w:pStyle w:val="Heading1"/>
      </w:pPr>
      <w:r>
        <w:t xml:space="preserve">6.  Pruning Analysis</w:t>
      </w:r>
    </w:p>
    <w:p>
      <w:pPr>
        <w:spacing w:after="120"/>
      </w:pPr>
      <w:r>
        <w:rPr>
          <w:rFonts w:ascii="Arial" w:cs="Arial" w:eastAsia="Arial" w:hAnsi="Arial"/>
          <w:sz w:val="22"/>
          <w:szCs w:val="22"/>
        </w:rPr>
        <w:t xml:space="preserve">No pruning events were triggered in the Experiment 6 run. The train-test gap reached a maximum of approximately 12 percentage points (89.8% train vs 77.8% test), which stayed below the 18% pruning threshold. This is itself an important finding: the combination of a convolutional front-end (spatial inductive bias), BatchNorm (implicit regularisation), and data augmentation (random crops + flips) provided sufficient regularisation that the aggressive overfitting seen in MLP-only experiments did not occur.</w:t>
      </w:r>
    </w:p>
    <w:p>
      <w:pPr>
        <w:spacing w:after="120"/>
      </w:pPr>
      <w:r>
        <w:rPr>
          <w:rFonts w:ascii="Arial" w:cs="Arial" w:eastAsia="Arial" w:hAnsi="Arial"/>
          <w:sz w:val="22"/>
          <w:szCs w:val="22"/>
        </w:rPr>
        <w:t xml:space="preserve">In contrast, the earlier NumPy sandbox run without real convolutions triggered 7 pruning events in 70 epochs, with the grow-prune oscillation clearly visible. This suggests that pruning is most needed when the architecture lacks appropriate inductive biases—exactly as the biological analogy predicts. A brain region with the right cortical wiring (conv layers) needs less synaptic pruning than one that’s wiring itself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1"/>
              <w:right w:val="single" w:color="E65100" w:sz="1"/>
            </w:tcBorders>
            <w:shd w:fill="FFF3E0" w:val="clear"/>
            <w:tcMar>
              <w:top w:type="dxa" w:w="120"/>
              <w:left w:type="dxa" w:w="200"/>
              <w:bottom w:type="dxa" w:w="120"/>
              <w:right w:type="dxa" w:w="200"/>
            </w:tcMar>
          </w:tcPr>
          <w:p>
            <w:r>
              <w:rPr>
                <w:rFonts w:ascii="Arial" w:cs="Arial" w:eastAsia="Arial" w:hAnsi="Arial"/>
                <w:b/>
                <w:bCs/>
                <w:color w:val="E65100"/>
                <w:sz w:val="22"/>
                <w:szCs w:val="22"/>
              </w:rPr>
              <w:t xml:space="preserve">Pruning Insight</w:t>
            </w:r>
          </w:p>
          <w:p>
            <w:pPr>
              <w:spacing w:before="60"/>
            </w:pPr>
            <w:r>
              <w:rPr>
                <w:rFonts w:ascii="Arial" w:cs="Arial" w:eastAsia="Arial" w:hAnsi="Arial"/>
                <w:sz w:val="20"/>
                <w:szCs w:val="20"/>
              </w:rPr>
              <w:t xml:space="preserve">The conv front-end eliminated the need for aggressive pruning by providing the right structural prior. This mirrors neuroscience: regions with genetically specified connectivity (visual cortex) undergo less pruning than regions that self-organise from experience (association cortex). The pruning system remains ready for architectures without conv layers or for longer training runs where overfitting eventually emerges.</w:t>
            </w:r>
          </w:p>
        </w:tc>
      </w:tr>
    </w:tbl>
    <w:p>
      <w:r>
        <w:br w:type="page"/>
      </w:r>
    </w:p>
    <w:p>
      <w:pPr>
        <w:pStyle w:val="Heading1"/>
      </w:pPr>
      <w:r>
        <w:t xml:space="preserve">7.  Cross-Experiment Synthesis</w:t>
      </w:r>
    </w:p>
    <w:p>
      <w:pPr>
        <w:pStyle w:val="Heading2"/>
      </w:pPr>
      <w:r>
        <w:t xml:space="preserve">7.1  Master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1000"/>
        <w:gridCol w:w="800"/>
        <w:gridCol w:w="800"/>
        <w:gridCol w:w="1000"/>
        <w:gridCol w:w="1360"/>
      </w:tblGrid>
      <w:tr>
        <w:tc>
          <w:tcPr>
            <w:tcW w:type="dxa" w:w="22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Experiment</w:t>
            </w:r>
          </w:p>
        </w:tc>
        <w:tc>
          <w:tcPr>
            <w:tcW w:type="dxa" w:w="12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10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Arch</w:t>
            </w:r>
          </w:p>
        </w:tc>
        <w:tc>
          <w:tcPr>
            <w:tcW w:type="dxa" w:w="10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Params</w:t>
            </w:r>
          </w:p>
        </w:tc>
        <w:tc>
          <w:tcPr>
            <w:tcW w:type="dxa" w:w="8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8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Events</w:t>
            </w:r>
          </w:p>
        </w:tc>
        <w:tc>
          <w:tcPr>
            <w:tcW w:type="dxa" w:w="100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ER</w:t>
            </w:r>
          </w:p>
        </w:tc>
        <w:tc>
          <w:tcPr>
            <w:tcW w:type="dxa" w:w="136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sz w:val="20"/>
                <w:szCs w:val="20"/>
              </w:rPr>
              <w:t xml:space="preserve">Gap↓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 Baseline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Synth 64d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 ResNet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Analog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140K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 airbench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Analog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322K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 Skip v1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Analog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SkipMLP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253K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74.4%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Skip v2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Synth 96d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SkipMLP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113K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 Conv+Skip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CIFAR-10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Conv+Skip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551K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77.8%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142</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ResNet-20 ref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CIFAR-10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CNN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272K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spacing w:after="200"/>
      </w:pPr>
    </w:p>
    <w:p>
      <w:pPr>
        <w:pStyle w:val="Heading2"/>
      </w:pPr>
      <w:r>
        <w:t xml:space="preserve">7.2  Key Findings Across All Experiments</w:t>
      </w:r>
    </w:p>
    <w:p>
      <w:pPr>
        <w:pStyle w:val="ListParagraph"/>
        <w:numPr>
          <w:ilvl w:val="0"/>
          <w:numId w:val="2"/>
        </w:numPr>
      </w:pPr>
      <w:r>
        <w:rPr>
          <w:rFonts w:ascii="Arial" w:cs="Arial" w:eastAsia="Arial" w:hAnsi="Arial"/>
          <w:sz w:val="22"/>
          <w:szCs w:val="22"/>
        </w:rPr>
        <w:t xml:space="preserve">Neuroplasticity works: Autonomous growth consistently improves all four IT signals. Every experiment produced multiple meaningful growth events.</w:t>
      </w:r>
    </w:p>
    <w:p>
      <w:pPr>
        <w:pStyle w:val="ListParagraph"/>
        <w:numPr>
          <w:ilvl w:val="0"/>
          <w:numId w:val="2"/>
        </w:numPr>
      </w:pPr>
      <w:r>
        <w:rPr>
          <w:rFonts w:ascii="Arial" w:cs="Arial" w:eastAsia="Arial" w:hAnsi="Arial"/>
          <w:sz w:val="22"/>
          <w:szCs w:val="22"/>
        </w:rPr>
        <w:t xml:space="preserve">The 74–77% CIFAR ceiling: Persists across Experiments 1–4 and 6 regardless of parameter count, architecture, or initialisation. Even with real convolutions, the growing network reaches 77.8%—consistent with the analog results.</w:t>
      </w:r>
    </w:p>
    <w:p>
      <w:pPr>
        <w:pStyle w:val="ListParagraph"/>
        <w:numPr>
          <w:ilvl w:val="0"/>
          <w:numId w:val="2"/>
        </w:numPr>
      </w:pPr>
      <w:r>
        <w:rPr>
          <w:rFonts w:ascii="Arial" w:cs="Arial" w:eastAsia="Arial" w:hAnsi="Arial"/>
          <w:sz w:val="22"/>
          <w:szCs w:val="22"/>
        </w:rPr>
        <w:t xml:space="preserve">Conv front-end helps but doesn’t break through: Experiment 6’s conv layers provided spatial features and reduced overfitting, but the growing MLP tail still hits the same ~78% ceiling. The remaining 13 pp gap to ResNet-20 likely requires deeper conv stacks, skip connections within the conv layers, and more aggressive augmentation.</w:t>
      </w:r>
    </w:p>
    <w:p>
      <w:pPr>
        <w:pStyle w:val="ListParagraph"/>
        <w:numPr>
          <w:ilvl w:val="0"/>
          <w:numId w:val="2"/>
        </w:numPr>
      </w:pPr>
      <w:r>
        <w:rPr>
          <w:rFonts w:ascii="Arial" w:cs="Arial" w:eastAsia="Arial" w:hAnsi="Arial"/>
          <w:sz w:val="22"/>
          <w:szCs w:val="22"/>
        </w:rPr>
        <w:t xml:space="preserve">The ~46% complexity gap closure is remarkably consistent: Experiments 1, 2, and 6 all closed 46–47% of the gap, suggesting a natural equilibrium between growth and data complexity.</w:t>
      </w:r>
    </w:p>
    <w:p>
      <w:pPr>
        <w:pStyle w:val="ListParagraph"/>
        <w:numPr>
          <w:ilvl w:val="0"/>
          <w:numId w:val="2"/>
        </w:numPr>
      </w:pPr>
      <w:r>
        <w:rPr>
          <w:rFonts w:ascii="Arial" w:cs="Arial" w:eastAsia="Arial" w:hAnsi="Arial"/>
          <w:sz w:val="22"/>
          <w:szCs w:val="22"/>
        </w:rPr>
        <w:t xml:space="preserve">Pruning is most needed without the right inductive bias: The NumPy run without convolutions triggered 7 prune events; the PyTorch run with convolutions triggered 0. Conv layers provide implicit regularisation.</w:t>
      </w:r>
    </w:p>
    <w:p>
      <w:pPr>
        <w:pStyle w:val="ListParagraph"/>
        <w:numPr>
          <w:ilvl w:val="0"/>
          <w:numId w:val="2"/>
        </w:numPr>
      </w:pPr>
      <w:r>
        <w:rPr>
          <w:rFonts w:ascii="Arial" w:cs="Arial" w:eastAsia="Arial" w:hAnsi="Arial"/>
          <w:sz w:val="22"/>
          <w:szCs w:val="22"/>
        </w:rPr>
        <w:t xml:space="preserve">GradCAM confirms hierarchical feature development: Conv layers autonomously developed the edge → texture → object hierarchy predicted by the biological analogy.</w:t>
      </w:r>
    </w:p>
    <w:p>
      <w:r>
        <w:br w:type="page"/>
      </w:r>
    </w:p>
    <w:p>
      <w:pPr>
        <w:pStyle w:val="Heading1"/>
      </w:pPr>
      <w:r>
        <w:t xml:space="preserve">8.  Conclusions</w:t>
      </w:r>
    </w:p>
    <w:p>
      <w:pPr>
        <w:spacing w:after="120"/>
      </w:pPr>
      <w:r>
        <w:rPr>
          <w:rFonts w:ascii="Arial" w:cs="Arial" w:eastAsia="Arial" w:hAnsi="Arial"/>
          <w:sz w:val="22"/>
          <w:szCs w:val="22"/>
        </w:rPr>
        <w:t xml:space="preserve">This six-experiment investigation demonstrates that neural networks can autonomously grow their architecture in direct response to data complexity, guided by four information-theoretic signals. The final experiment completes the biological analogy by adding synaptic pruning alongside growth, convolutional layers as the visual cortex, BatchNorm as homeostatic plasticity, and GradCAM as neural imaging.</w:t>
      </w:r>
    </w:p>
    <w:p>
      <w:pPr>
        <w:spacing w:after="120"/>
      </w:pPr>
      <w:r>
        <w:rPr>
          <w:rFonts w:ascii="Arial" w:cs="Arial" w:eastAsia="Arial" w:hAnsi="Arial"/>
          <w:sz w:val="22"/>
          <w:szCs w:val="22"/>
        </w:rPr>
        <w:t xml:space="preserve">The progression from plain MLPs (Experiments 1–3) through skip connections and dataset-informed initialisation (Experiments 4–5) to the full conv+skip+BN+prune system (Experiment 6) mirrors the biological insight that both synaptic growth and cortical organisation are necessary for effective learning. The GradCAM visualisations provide direct evidence that the conv layers develop a hierarchical feature representation during training—edges, then textures, then object-level spatial attention—in exactly the pattern predicted by the neuroscience analogy.</w:t>
      </w:r>
    </w:p>
    <w:p>
      <w:pPr>
        <w:spacing w:after="120"/>
      </w:pPr>
      <w:r>
        <w:rPr>
          <w:rFonts w:ascii="Arial" w:cs="Arial" w:eastAsia="Arial" w:hAnsi="Arial"/>
          <w:sz w:val="22"/>
          <w:szCs w:val="22"/>
        </w:rPr>
        <w:t xml:space="preserve">The core principle remains validated: capacity should be an emergent property of training, determined by the tension between model and data complexity rather than fixed by the designer. The network decides for itself how many neurons it needs, when to grow them, and when to eliminate the ones that aren’t contributing. The four IT signals make every decision principled, measurable, and interpretable.</w:t>
      </w:r>
    </w:p>
    <w:p>
      <w:pPr>
        <w:spacing w:after="300"/>
      </w:pPr>
    </w:p>
    <w:p>
      <w:pPr>
        <w:pStyle w:val="Heading1"/>
      </w:pPr>
      <w:r>
        <w:t xml:space="preserve">9.  References</w:t>
      </w:r>
    </w:p>
    <w:p>
      <w:pPr>
        <w:spacing w:after="120"/>
      </w:pPr>
      <w:r>
        <w:rPr>
          <w:rFonts w:ascii="Arial" w:cs="Arial" w:eastAsia="Arial" w:hAnsi="Arial"/>
          <w:sz w:val="22"/>
          <w:szCs w:val="22"/>
        </w:rPr>
        <w:t xml:space="preserve">Chen, T., Goodfellow, I., &amp; Shlens, J. (2016). Net2Net: Accelerating Learning via Knowledge Transfer. ICLR.</w:t>
      </w:r>
    </w:p>
    <w:p>
      <w:pPr>
        <w:spacing w:after="120"/>
      </w:pPr>
      <w:r>
        <w:rPr>
          <w:rFonts w:ascii="Arial" w:cs="Arial" w:eastAsia="Arial" w:hAnsi="Arial"/>
          <w:sz w:val="22"/>
          <w:szCs w:val="22"/>
        </w:rPr>
        <w:t xml:space="preserve">Facco, E., et al. (2017). Estimating the intrinsic dimension of datasets. Scientific Reports, 7, 12140.</w:t>
      </w:r>
    </w:p>
    <w:p>
      <w:pPr>
        <w:spacing w:after="120"/>
      </w:pPr>
      <w:r>
        <w:rPr>
          <w:rFonts w:ascii="Arial" w:cs="Arial" w:eastAsia="Arial" w:hAnsi="Arial"/>
          <w:sz w:val="22"/>
          <w:szCs w:val="22"/>
        </w:rPr>
        <w:t xml:space="preserve">Mishkin, D. &amp; Matas, J. (2015). All you need is a good init. arXiv:1511.06422.</w:t>
      </w:r>
    </w:p>
    <w:p>
      <w:pPr>
        <w:spacing w:after="120"/>
      </w:pPr>
      <w:r>
        <w:rPr>
          <w:rFonts w:ascii="Arial" w:cs="Arial" w:eastAsia="Arial" w:hAnsi="Arial"/>
          <w:sz w:val="22"/>
          <w:szCs w:val="22"/>
        </w:rPr>
        <w:t xml:space="preserve">Roy, O. &amp; Vetterli, M. (2007). The effective rank. EUSIPCO.</w:t>
      </w:r>
    </w:p>
    <w:p>
      <w:pPr>
        <w:spacing w:after="120"/>
      </w:pPr>
      <w:r>
        <w:rPr>
          <w:rFonts w:ascii="Arial" w:cs="Arial" w:eastAsia="Arial" w:hAnsi="Arial"/>
          <w:sz w:val="22"/>
          <w:szCs w:val="22"/>
        </w:rPr>
        <w:t xml:space="preserve">Selvaraju, R.R., et al. (2017). Grad-CAM: Visual Explanations from Deep Networks. ICCV.</w:t>
      </w:r>
    </w:p>
    <w:p>
      <w:pPr>
        <w:spacing w:after="120"/>
      </w:pPr>
      <w:r>
        <w:rPr>
          <w:rFonts w:ascii="Arial" w:cs="Arial" w:eastAsia="Arial" w:hAnsi="Arial"/>
          <w:sz w:val="22"/>
          <w:szCs w:val="22"/>
        </w:rPr>
        <w:t xml:space="preserve">Tishby, N. &amp; Schwartz-Ziv, R. (2017). Opening the Black Box. ITW.</w:t>
      </w:r>
    </w:p>
    <w:p>
      <w:pPr>
        <w:spacing w:after="120"/>
      </w:pPr>
      <w:r>
        <w:rPr>
          <w:rFonts w:ascii="Arial" w:cs="Arial" w:eastAsia="Arial" w:hAnsi="Arial"/>
          <w:sz w:val="22"/>
          <w:szCs w:val="22"/>
        </w:rPr>
        <w:t xml:space="preserve">Zhang, H., Dauphin, Y., &amp; Ma, T. (2019). Fixup Initialization. ICLR.</w:t>
      </w:r>
    </w:p>
    <w:p>
      <w:pPr>
        <w:spacing w:after="120"/>
      </w:pPr>
      <w:r>
        <w:rPr>
          <w:rFonts w:ascii="Arial" w:cs="Arial" w:eastAsia="Arial" w:hAnsi="Arial"/>
          <w:sz w:val="22"/>
          <w:szCs w:val="22"/>
        </w:rPr>
        <w:t xml:space="preserve">arXiv:2501.19114 (2025). PCsInit.</w:t>
      </w:r>
    </w:p>
    <w:p>
      <w:pPr>
        <w:spacing w:after="120"/>
      </w:pPr>
      <w:r>
        <w:rPr>
          <w:rFonts w:ascii="Arial" w:cs="Arial" w:eastAsia="Arial" w:hAnsi="Arial"/>
          <w:sz w:val="22"/>
          <w:szCs w:val="22"/>
        </w:rPr>
        <w:t xml:space="preserve">arXiv:2512.12543 (2025). Eigenvector centrality-based pruning.</w:t>
      </w:r>
    </w:p>
    <w:p>
      <w:pPr>
        <w:spacing w:after="120"/>
      </w:pPr>
      <w:r>
        <w:rPr>
          <w:rFonts w:ascii="Arial" w:cs="Arial" w:eastAsia="Arial" w:hAnsi="Arial"/>
          <w:sz w:val="22"/>
          <w:szCs w:val="22"/>
        </w:rPr>
        <w:t xml:space="preserve">arXiv:2308.06767 (2024). A Survey on Deep Neural Network Pruning.</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Neuroplasticity-Inspired Growing Neural Networks</w:t>
    </w:r>
    <w:r>
      <w:ptab w:alignment="right" w:relativeTo="margin" w:leader="none"/>
    </w:r>
    <w:r>
      <w:rPr>
        <w:rFonts w:ascii="Arial" w:cs="Arial" w:eastAsia="Arial" w:hAnsi="Arial"/>
        <w:color w:val="888888"/>
        <w:sz w:val="18"/>
        <w:szCs w:val="18"/>
      </w:rPr>
      <w:t xml:space="preserve">Evam Kaushik — University of Adelaide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Arial" w:cs="Arial" w:eastAsia="Arial" w:hAnsi="Arial"/>
      <w:b/>
      <w:bCs/>
      <w:color w:val="1B2838"/>
      <w:sz w:val="34"/>
      <w:szCs w:val="34"/>
    </w:rPr>
  </w:style>
  <w:style w:type="paragraph" w:styleId="Heading2">
    <w:name w:val="Heading 2"/>
    <w:basedOn w:val="Normal"/>
    <w:next w:val="Normal"/>
    <w:qFormat/>
    <w:pPr>
      <w:spacing w:before="280" w:after="16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747470d7fab48c6a6da5adb4a7221ed7d5c9b86.png"/><Relationship Id="rId8" Type="http://schemas.openxmlformats.org/officeDocument/2006/relationships/image" Target="media/87467469a265891e453b159995b05fee4768d583.png"/><Relationship Id="rId9" Type="http://schemas.openxmlformats.org/officeDocument/2006/relationships/image" Target="media/97aee040aae98901537b8ff65475ab2623d3c37a.png"/><Relationship Id="rId10" Type="http://schemas.openxmlformats.org/officeDocument/2006/relationships/image" Target="media/7a02dce9b251ba473a9cd8bfefbc193018623ca2.png"/><Relationship Id="rId11" Type="http://schemas.openxmlformats.org/officeDocument/2006/relationships/image" Target="media/07d9446a6527f26d5549d2183c4ad082501514d8.png"/><Relationship Id="rId12" Type="http://schemas.openxmlformats.org/officeDocument/2006/relationships/image" Target="media/1070bd53e68e224218a84f05e249e844d27ed1f8.png"/><Relationship Id="rId13" Type="http://schemas.openxmlformats.org/officeDocument/2006/relationships/image" Target="media/4896e4f3b6f048c304621512e31f44ae023ba159.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2026-03-29T06:53:55.980Z</dcterms:created>
  <dcterms:modified xsi:type="dcterms:W3CDTF">2026-03-29T06:53:55.980Z</dcterms:modified>
</cp:coreProperties>
</file>

<file path=docProps/custom.xml><?xml version="1.0" encoding="utf-8"?>
<Properties xmlns="http://schemas.openxmlformats.org/officeDocument/2006/custom-properties" xmlns:vt="http://schemas.openxmlformats.org/officeDocument/2006/docPropsVTypes"/>
</file>