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>Korea-Japan Joint Government Scholarship Program</w:t>
      </w:r>
      <w:r w:rsidR="009940F6">
        <w:rPr>
          <w:rFonts w:eastAsia="바탕"/>
          <w:spacing w:val="-6"/>
          <w:sz w:val="21"/>
        </w:rPr>
        <w:t xml:space="preserve">)   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599C424A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McCarrin, J. Klamo,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1466CE73" w14:textId="21C5C848" w:rsidR="00CD52A4" w:rsidRPr="00A67108" w:rsidRDefault="001616FD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Klamo,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3BA13B96" w14:textId="779CB04A" w:rsidR="00A67108" w:rsidRPr="00227A8C" w:rsidRDefault="00A67108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W.</w:t>
      </w:r>
      <w:r w:rsidR="00313928" w:rsidRPr="00227A8C">
        <w:rPr>
          <w:b/>
          <w:color w:val="000000" w:themeColor="text1"/>
          <w:sz w:val="21"/>
          <w:szCs w:val="21"/>
          <w:u w:val="single"/>
        </w:rPr>
        <w:t>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Camilli,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 under review</w:t>
      </w:r>
    </w:p>
    <w:p w14:paraId="55FE7FAD" w14:textId="2D1F3876" w:rsidR="001616FD" w:rsidRPr="00CD52A4" w:rsidRDefault="00CD52A4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S.-J. Yeo, S.-Y. Hong, J.-H. Song, H.-S. Seol,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2E9F4FDE" w14:textId="70F89201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Racson, B. Bingham, </w:t>
      </w:r>
      <w:r>
        <w:rPr>
          <w:color w:val="000000" w:themeColor="text1"/>
          <w:sz w:val="21"/>
          <w:szCs w:val="21"/>
        </w:rPr>
        <w:t xml:space="preserve">M. McCarrin,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7F04C5E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 xml:space="preserve">W.-S. Jang, B.-J. Joe,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37BF4546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Seol,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5DFC035C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Seo,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0AC0FC1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Jeong,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652C865B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J.-H. Song, H.-W. Kwon, J.-W. Seo,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2DB18D5B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05FA00CE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Seol,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36BA438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Seol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5442F86A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Turbulent-induced noise of a </w:t>
      </w:r>
      <w:r>
        <w:rPr>
          <w:color w:val="000000" w:themeColor="text1"/>
          <w:sz w:val="21"/>
          <w:szCs w:val="21"/>
        </w:rPr>
        <w:lastRenderedPageBreak/>
        <w:t>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5D7205B9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Im,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46EEA55B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610D43B4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09A4BFCC" w14:textId="5EA9E2CD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W. -S. Choi</w:t>
      </w:r>
      <w:r w:rsidRPr="009A294F">
        <w:rPr>
          <w:spacing w:val="-6"/>
          <w:sz w:val="21"/>
          <w:lang w:eastAsia="ko-KR"/>
        </w:rPr>
        <w:t xml:space="preserve">, B. Bingham, G. Burgess, P. Ventola, R. Camilli, M. Jakuba,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606900F2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D9248DA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0F689534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80257F0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Seol,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“Predictions of non-cavitation broadband noise for underwater propellers”, KSNVE2019, Jeju, Korea (2019) – oral.</w:t>
      </w:r>
    </w:p>
    <w:p w14:paraId="30EEFF32" w14:textId="19A1861E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59E51942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33ACB843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32755324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4C75BC0E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</w:t>
      </w:r>
      <w:r w:rsidR="00313928">
        <w:rPr>
          <w:b/>
          <w:spacing w:val="-6"/>
          <w:sz w:val="21"/>
          <w:u w:val="single"/>
          <w:lang w:eastAsia="ko-KR"/>
        </w:rPr>
        <w:t>-S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lastRenderedPageBreak/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Jee-Hun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, 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Hyun-Wung,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r>
        <w:rPr>
          <w:color w:val="000000" w:themeColor="text1"/>
          <w:spacing w:val="-6"/>
          <w:sz w:val="21"/>
          <w:szCs w:val="21"/>
        </w:rPr>
        <w:t>Koje Colleage,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r>
        <w:rPr>
          <w:color w:val="000000" w:themeColor="text1"/>
          <w:spacing w:val="-6"/>
          <w:sz w:val="21"/>
          <w:szCs w:val="21"/>
        </w:rPr>
        <w:t>Waseda</w:t>
      </w:r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07EE" w14:textId="77777777" w:rsidR="00D7170E" w:rsidRDefault="00D7170E" w:rsidP="008A1B6A">
      <w:r>
        <w:separator/>
      </w:r>
    </w:p>
  </w:endnote>
  <w:endnote w:type="continuationSeparator" w:id="0">
    <w:p w14:paraId="22466C30" w14:textId="77777777" w:rsidR="00D7170E" w:rsidRDefault="00D7170E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71A5" w14:textId="77777777" w:rsidR="00D7170E" w:rsidRDefault="00D7170E" w:rsidP="008A1B6A">
      <w:r>
        <w:separator/>
      </w:r>
    </w:p>
  </w:footnote>
  <w:footnote w:type="continuationSeparator" w:id="0">
    <w:p w14:paraId="477337FB" w14:textId="77777777" w:rsidR="00D7170E" w:rsidRDefault="00D7170E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2350</Words>
  <Characters>13395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15714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6</cp:revision>
  <cp:lastPrinted>2021-12-31T02:23:00Z</cp:lastPrinted>
  <dcterms:created xsi:type="dcterms:W3CDTF">2021-12-31T02:23:00Z</dcterms:created>
  <dcterms:modified xsi:type="dcterms:W3CDTF">2022-04-28T01:43:00Z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