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</w:t>
      </w:r>
      <w:proofErr w:type="spellStart"/>
      <w:r>
        <w:rPr>
          <w:color w:val="000000" w:themeColor="text1"/>
          <w:spacing w:val="-6"/>
          <w:sz w:val="21"/>
          <w:lang w:eastAsia="ko-KR"/>
        </w:rPr>
        <w:t>OpenFOAM</w:t>
      </w:r>
      <w:proofErr w:type="spellEnd"/>
      <w:r>
        <w:rPr>
          <w:color w:val="000000" w:themeColor="text1"/>
          <w:spacing w:val="-6"/>
          <w:sz w:val="21"/>
          <w:lang w:eastAsia="ko-KR"/>
        </w:rPr>
        <w:t xml:space="preserve">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77777777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</w:t>
      </w:r>
      <w:proofErr w:type="gramStart"/>
      <w:r w:rsidR="002F5C6C" w:rsidRPr="002F5C6C">
        <w:rPr>
          <w:spacing w:val="-6"/>
          <w:sz w:val="21"/>
        </w:rPr>
        <w:t xml:space="preserve">Research,  </w:t>
      </w:r>
      <w:r w:rsidR="002F5C6C">
        <w:rPr>
          <w:spacing w:val="-6"/>
          <w:sz w:val="21"/>
        </w:rPr>
        <w:t>Seoul</w:t>
      </w:r>
      <w:proofErr w:type="gramEnd"/>
      <w:r w:rsidR="002F5C6C">
        <w:rPr>
          <w:spacing w:val="-6"/>
          <w:sz w:val="21"/>
        </w:rPr>
        <w:t xml:space="preserve">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바탕"/>
          <w:spacing w:val="-10"/>
          <w:sz w:val="21"/>
        </w:rPr>
        <w:t>Program</w:t>
      </w:r>
      <w:r w:rsidR="009940F6">
        <w:rPr>
          <w:rFonts w:eastAsia="바탕"/>
          <w:spacing w:val="-6"/>
          <w:sz w:val="21"/>
        </w:rPr>
        <w:t xml:space="preserve">)   </w:t>
      </w:r>
      <w:proofErr w:type="gramEnd"/>
      <w:r w:rsidR="009940F6">
        <w:rPr>
          <w:rFonts w:eastAsia="바탕"/>
          <w:spacing w:val="-6"/>
          <w:sz w:val="21"/>
        </w:rPr>
        <w:t xml:space="preserve">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</w:t>
      </w:r>
      <w:proofErr w:type="spellStart"/>
      <w:r>
        <w:rPr>
          <w:b/>
          <w:color w:val="000000" w:themeColor="text1"/>
          <w:spacing w:val="-6"/>
          <w:sz w:val="21"/>
          <w:lang w:eastAsia="ko-KR"/>
        </w:rPr>
        <w:t>hydroacoustics</w:t>
      </w:r>
      <w:proofErr w:type="spellEnd"/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</w:t>
      </w:r>
      <w:proofErr w:type="spellStart"/>
      <w:r w:rsidR="002F5C6C">
        <w:rPr>
          <w:b/>
          <w:color w:val="000000" w:themeColor="text1"/>
          <w:spacing w:val="-6"/>
          <w:sz w:val="21"/>
          <w:lang w:eastAsia="ko-KR"/>
        </w:rPr>
        <w:t>vibroacoustics</w:t>
      </w:r>
      <w:proofErr w:type="spellEnd"/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227A8C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233390" w:rsidRDefault="00233390" w:rsidP="00233390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0F47AB81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proofErr w:type="spellStart"/>
      <w:r w:rsidR="00233390">
        <w:rPr>
          <w:i/>
          <w:color w:val="000000" w:themeColor="text1"/>
          <w:spacing w:val="-6"/>
          <w:sz w:val="21"/>
          <w:lang w:eastAsia="ko-KR"/>
        </w:rPr>
        <w:t>Developemnt</w:t>
      </w:r>
      <w:proofErr w:type="spellEnd"/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340D5C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692363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6D61FB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77777777" w:rsidR="006C27F6" w:rsidRPr="00935713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79CDD6E8" w14:textId="4808A4CF" w:rsidR="00227A8C" w:rsidRPr="001616FD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55FE7FAD" w14:textId="2A0E4B98" w:rsidR="001616FD" w:rsidRPr="00227A8C" w:rsidRDefault="001616F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E9F4FDE" w14:textId="0176DCFE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</w:t>
      </w:r>
      <w:proofErr w:type="spellStart"/>
      <w:r w:rsidR="007D10E2">
        <w:rPr>
          <w:color w:val="000000" w:themeColor="text1"/>
          <w:sz w:val="21"/>
          <w:szCs w:val="21"/>
        </w:rPr>
        <w:t>Racson</w:t>
      </w:r>
      <w:proofErr w:type="spellEnd"/>
      <w:r w:rsidR="007D10E2">
        <w:rPr>
          <w:color w:val="000000" w:themeColor="text1"/>
          <w:sz w:val="21"/>
          <w:szCs w:val="21"/>
        </w:rPr>
        <w:t xml:space="preserve">, B. Bingham, </w:t>
      </w:r>
      <w:r>
        <w:rPr>
          <w:color w:val="000000" w:themeColor="text1"/>
          <w:sz w:val="21"/>
          <w:szCs w:val="21"/>
        </w:rPr>
        <w:t xml:space="preserve">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proofErr w:type="gramStart"/>
      <w:r w:rsidR="007D10E2">
        <w:rPr>
          <w:i/>
          <w:color w:val="000000" w:themeColor="text1"/>
          <w:sz w:val="21"/>
          <w:szCs w:val="21"/>
        </w:rPr>
        <w:t>Provisionally</w:t>
      </w:r>
      <w:proofErr w:type="gramEnd"/>
      <w:r w:rsidR="007D10E2">
        <w:rPr>
          <w:i/>
          <w:color w:val="000000" w:themeColor="text1"/>
          <w:sz w:val="21"/>
          <w:szCs w:val="21"/>
        </w:rPr>
        <w:t xml:space="preserve"> accepted.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</w:p>
    <w:p w14:paraId="68BA82A2" w14:textId="7E7F1223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 xml:space="preserve">W.-S. Jang, B.-J. Joe,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1616FD">
        <w:rPr>
          <w:i/>
          <w:color w:val="000000" w:themeColor="text1"/>
          <w:sz w:val="21"/>
          <w:szCs w:val="21"/>
        </w:rPr>
        <w:t xml:space="preserve">, </w:t>
      </w:r>
      <w:r w:rsidR="007D10E2">
        <w:rPr>
          <w:i/>
          <w:color w:val="000000" w:themeColor="text1"/>
          <w:sz w:val="21"/>
          <w:szCs w:val="21"/>
        </w:rPr>
        <w:t xml:space="preserve">Published Online,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3A64CB7B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4790822A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W. -S. Jang, S. -Y. Hong, H.-W. Kwon, J.-H. Song, and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56504DBE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26445C" w:rsidRPr="0026445C">
        <w:rPr>
          <w:color w:val="000000" w:themeColor="text1"/>
          <w:sz w:val="21"/>
          <w:szCs w:val="21"/>
        </w:rPr>
        <w:t xml:space="preserve"> </w:t>
      </w:r>
    </w:p>
    <w:p w14:paraId="15A27E79" w14:textId="1A86F6B6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77777777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J.-H. Song,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proofErr w:type="gramStart"/>
      <w:r w:rsidR="00756A82">
        <w:rPr>
          <w:color w:val="000000" w:themeColor="text1"/>
          <w:sz w:val="21"/>
          <w:szCs w:val="21"/>
        </w:rPr>
        <w:t xml:space="preserve">KCI, 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I</w:t>
      </w:r>
      <w:r w:rsidRPr="00D076FA">
        <w:rPr>
          <w:color w:val="000000" w:themeColor="text1"/>
          <w:sz w:val="21"/>
          <w:szCs w:val="21"/>
        </w:rPr>
        <w:t>n</w:t>
      </w:r>
      <w:proofErr w:type="gramEnd"/>
      <w:r w:rsidRPr="00D076FA">
        <w:rPr>
          <w:color w:val="000000" w:themeColor="text1"/>
          <w:sz w:val="21"/>
          <w:szCs w:val="21"/>
        </w:rPr>
        <w:t xml:space="preserve"> Korean</w:t>
      </w:r>
    </w:p>
    <w:p w14:paraId="01F95B6D" w14:textId="77777777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7777777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77777777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77777777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77777777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 xml:space="preserve">A Study on Efficient </w:t>
      </w:r>
      <w:r w:rsidRPr="00756A82">
        <w:rPr>
          <w:color w:val="000000" w:themeColor="text1"/>
          <w:sz w:val="21"/>
          <w:szCs w:val="21"/>
        </w:rPr>
        <w:lastRenderedPageBreak/>
        <w:t>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77777777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77777777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5B48A58D" w14:textId="77777777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–S.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77777777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77777777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77777777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77777777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77777777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77777777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77777777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17D6B84D" w14:textId="77777777" w:rsidR="006C27F6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proofErr w:type="spellStart"/>
      <w:r w:rsidRPr="00EE430D">
        <w:rPr>
          <w:color w:val="000000" w:themeColor="text1"/>
          <w:spacing w:val="-6"/>
          <w:sz w:val="21"/>
        </w:rPr>
        <w:t>Discretization</w:t>
      </w:r>
      <w:r>
        <w:rPr>
          <w:color w:val="000000" w:themeColor="text1"/>
          <w:spacing w:val="-6"/>
          <w:sz w:val="21"/>
        </w:rPr>
        <w:t>s</w:t>
      </w:r>
      <w:proofErr w:type="spellEnd"/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64CFAE35" w14:textId="77777777" w:rsidR="006C27F6" w:rsidRPr="008807AC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0E5B157A" w14:textId="77777777" w:rsidR="008807AC" w:rsidRPr="003658F5" w:rsidRDefault="008807AC" w:rsidP="008807AC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77777777" w:rsidR="001616FD" w:rsidRPr="005329A2" w:rsidRDefault="001616FD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proofErr w:type="spellStart"/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proofErr w:type="spellEnd"/>
      <w:r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lastRenderedPageBreak/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E0AE0" w14:textId="77777777" w:rsidR="00405682" w:rsidRDefault="00405682" w:rsidP="008A1B6A">
      <w:r>
        <w:separator/>
      </w:r>
    </w:p>
  </w:endnote>
  <w:endnote w:type="continuationSeparator" w:id="0">
    <w:p w14:paraId="450EC561" w14:textId="77777777" w:rsidR="00405682" w:rsidRDefault="00405682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AE5E" w14:textId="77777777" w:rsidR="00405682" w:rsidRDefault="00405682" w:rsidP="008A1B6A">
      <w:r>
        <w:separator/>
      </w:r>
    </w:p>
  </w:footnote>
  <w:footnote w:type="continuationSeparator" w:id="0">
    <w:p w14:paraId="7D7E0F7F" w14:textId="77777777" w:rsidR="00405682" w:rsidRDefault="00405682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5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4024"/>
    <w:rsid w:val="007E4CD8"/>
    <w:rsid w:val="007E5B23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2185</Words>
  <Characters>12457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14613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2</cp:revision>
  <cp:lastPrinted>2021-03-16T11:15:00Z</cp:lastPrinted>
  <dcterms:created xsi:type="dcterms:W3CDTF">2021-08-23T06:13:00Z</dcterms:created>
  <dcterms:modified xsi:type="dcterms:W3CDTF">2021-08-23T06:13:00Z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