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</w:t>
      </w:r>
      <w:proofErr w:type="spellStart"/>
      <w:r>
        <w:rPr>
          <w:color w:val="000000" w:themeColor="text1"/>
          <w:spacing w:val="-6"/>
          <w:sz w:val="21"/>
          <w:lang w:eastAsia="ko-KR"/>
        </w:rPr>
        <w:t>OpenFOAM</w:t>
      </w:r>
      <w:proofErr w:type="spellEnd"/>
      <w:r>
        <w:rPr>
          <w:color w:val="000000" w:themeColor="text1"/>
          <w:spacing w:val="-6"/>
          <w:sz w:val="21"/>
          <w:lang w:eastAsia="ko-KR"/>
        </w:rPr>
        <w:t xml:space="preserve">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 xml:space="preserve">Korea-Japan Joint Government Scholarship </w:t>
      </w:r>
      <w:proofErr w:type="gramStart"/>
      <w:r w:rsidRPr="00227A8C">
        <w:rPr>
          <w:rFonts w:eastAsia="바탕"/>
          <w:spacing w:val="-10"/>
          <w:sz w:val="21"/>
        </w:rPr>
        <w:t>Program</w:t>
      </w:r>
      <w:r w:rsidR="009940F6">
        <w:rPr>
          <w:rFonts w:eastAsia="바탕"/>
          <w:spacing w:val="-6"/>
          <w:sz w:val="21"/>
        </w:rPr>
        <w:t xml:space="preserve">)   </w:t>
      </w:r>
      <w:proofErr w:type="gramEnd"/>
      <w:r w:rsidR="009940F6">
        <w:rPr>
          <w:rFonts w:eastAsia="바탕"/>
          <w:spacing w:val="-6"/>
          <w:sz w:val="21"/>
        </w:rPr>
        <w:t xml:space="preserve">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</w:t>
      </w:r>
      <w:proofErr w:type="spellStart"/>
      <w:r>
        <w:rPr>
          <w:b/>
          <w:color w:val="000000" w:themeColor="text1"/>
          <w:spacing w:val="-6"/>
          <w:sz w:val="21"/>
          <w:lang w:eastAsia="ko-KR"/>
        </w:rPr>
        <w:t>hydroacoustics</w:t>
      </w:r>
      <w:proofErr w:type="spellEnd"/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</w:t>
      </w:r>
      <w:proofErr w:type="spellStart"/>
      <w:r w:rsidR="002F5C6C">
        <w:rPr>
          <w:b/>
          <w:color w:val="000000" w:themeColor="text1"/>
          <w:spacing w:val="-6"/>
          <w:sz w:val="21"/>
          <w:lang w:eastAsia="ko-KR"/>
        </w:rPr>
        <w:t>vibroacoustics</w:t>
      </w:r>
      <w:proofErr w:type="spellEnd"/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NRC Research Associateship 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227A8C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57A9AF57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 xml:space="preserve">beam sonar for underwater applications using GPU accelerations to support real-time simulation of autonomous vehicles. Kinematics/dynamics plugins for underwater </w:t>
      </w:r>
      <w:r w:rsidR="00227A8C">
        <w:rPr>
          <w:color w:val="000000" w:themeColor="text1"/>
          <w:spacing w:val="-6"/>
          <w:sz w:val="21"/>
          <w:lang w:eastAsia="ko-KR"/>
        </w:rPr>
        <w:t>vehicles</w:t>
      </w:r>
      <w:r>
        <w:rPr>
          <w:color w:val="000000" w:themeColor="text1"/>
          <w:spacing w:val="-6"/>
          <w:sz w:val="21"/>
          <w:lang w:eastAsia="ko-KR"/>
        </w:rPr>
        <w:t xml:space="preserve">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https://github.com/Field-Robotics-Lab/DAVE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233390" w:rsidRDefault="00233390" w:rsidP="00233390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0F47AB81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proofErr w:type="spellStart"/>
      <w:r w:rsidR="00233390">
        <w:rPr>
          <w:i/>
          <w:color w:val="000000" w:themeColor="text1"/>
          <w:spacing w:val="-6"/>
          <w:sz w:val="21"/>
          <w:lang w:eastAsia="ko-KR"/>
        </w:rPr>
        <w:t>Developemnt</w:t>
      </w:r>
      <w:proofErr w:type="spellEnd"/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340D5C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692363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6D61FB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77777777" w:rsidR="006C27F6" w:rsidRPr="00935713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79CDD6E8" w14:textId="4808A4CF" w:rsidR="00227A8C" w:rsidRPr="001616FD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J Malia,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1466CE73" w14:textId="77777777" w:rsidR="00CD52A4" w:rsidRPr="00227A8C" w:rsidRDefault="001616FD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55FE7FAD" w14:textId="295D0794" w:rsidR="001616FD" w:rsidRPr="00CD52A4" w:rsidRDefault="00CD52A4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 xml:space="preserve">S.-J. Yeo, S.-Y. Hong, J.-H. Song, H.-S. </w:t>
      </w:r>
      <w:proofErr w:type="spellStart"/>
      <w:r w:rsidR="00D0588B">
        <w:rPr>
          <w:color w:val="000000" w:themeColor="text1"/>
          <w:sz w:val="21"/>
          <w:szCs w:val="21"/>
        </w:rPr>
        <w:t>Seol</w:t>
      </w:r>
      <w:proofErr w:type="spellEnd"/>
      <w:r w:rsidR="00D0588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D0588B" w:rsidRPr="00D0588B">
        <w:rPr>
          <w:i/>
          <w:color w:val="000000" w:themeColor="text1"/>
          <w:sz w:val="21"/>
          <w:szCs w:val="21"/>
        </w:rPr>
        <w:t>in preparation.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2E9F4FDE" w14:textId="70F89201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</w:t>
      </w:r>
      <w:proofErr w:type="spellStart"/>
      <w:r w:rsidR="007D10E2">
        <w:rPr>
          <w:color w:val="000000" w:themeColor="text1"/>
          <w:sz w:val="21"/>
          <w:szCs w:val="21"/>
        </w:rPr>
        <w:t>Racson</w:t>
      </w:r>
      <w:proofErr w:type="spellEnd"/>
      <w:r w:rsidR="007D10E2">
        <w:rPr>
          <w:color w:val="000000" w:themeColor="text1"/>
          <w:sz w:val="21"/>
          <w:szCs w:val="21"/>
        </w:rPr>
        <w:t xml:space="preserve">, B. Bingham, </w:t>
      </w:r>
      <w:r>
        <w:rPr>
          <w:color w:val="000000" w:themeColor="text1"/>
          <w:sz w:val="21"/>
          <w:szCs w:val="21"/>
        </w:rPr>
        <w:t xml:space="preserve">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22F6095D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 xml:space="preserve">W.-S. Jang, B.-J. Joe,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3A64CB7B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4790822A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W. -S. Jang, S. -Y. Hong, H.-W. Kwon, J.-H. Song, and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0B061705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S.-H. Rhee, and J.-H.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1A86F6B6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S.-Y. Hong, J.-H. Song, H.-W. Kwon,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03ADC89A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J.-H. Song,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S.-H.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77777777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7777777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Y.-S. Choi,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77777777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Experimental investigation of 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77777777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 xml:space="preserve">International Journal of Naval Architecture and </w:t>
      </w:r>
      <w:r>
        <w:rPr>
          <w:i/>
          <w:color w:val="000000" w:themeColor="text1"/>
          <w:sz w:val="21"/>
          <w:szCs w:val="21"/>
        </w:rPr>
        <w:lastRenderedPageBreak/>
        <w:t>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77777777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J.-Y. Kim,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H.-G. Chung, J.-H. Song, W.-S.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H.-W.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77777777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Y.-S.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77777777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5B48A58D" w14:textId="77777777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b/>
          <w:spacing w:val="-6"/>
          <w:sz w:val="21"/>
          <w:u w:val="single"/>
          <w:lang w:eastAsia="ko-KR"/>
        </w:rPr>
        <w:t xml:space="preserve"> –S.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S.</w:t>
      </w:r>
      <w:r w:rsidR="008A367D" w:rsidRPr="0069319B">
        <w:rPr>
          <w:spacing w:val="-6"/>
          <w:sz w:val="21"/>
          <w:lang w:eastAsia="ko-KR"/>
        </w:rPr>
        <w:t xml:space="preserve"> -Y. Hong, J.-H. Song, and H.-W.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77777777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</w:t>
      </w:r>
      <w:r>
        <w:rPr>
          <w:spacing w:val="-6"/>
          <w:sz w:val="21"/>
          <w:lang w:eastAsia="ko-KR"/>
        </w:rPr>
        <w:t xml:space="preserve"> T.-G.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J.-H. Song, and H.-W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77777777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 J.-H. Song, H.-W.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C.-M.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77777777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77777777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M.-J. Kim, and K.-C.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77777777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77777777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77777777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17D6B84D" w14:textId="77777777" w:rsidR="006C27F6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6C27F6"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-Y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Y.-L.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proofErr w:type="spellStart"/>
      <w:r w:rsidRPr="00EE430D">
        <w:rPr>
          <w:color w:val="000000" w:themeColor="text1"/>
          <w:spacing w:val="-6"/>
          <w:sz w:val="21"/>
        </w:rPr>
        <w:t>Discretization</w:t>
      </w:r>
      <w:r>
        <w:rPr>
          <w:color w:val="000000" w:themeColor="text1"/>
          <w:spacing w:val="-6"/>
          <w:sz w:val="21"/>
        </w:rPr>
        <w:t>s</w:t>
      </w:r>
      <w:proofErr w:type="spellEnd"/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64CFAE35" w14:textId="77777777" w:rsidR="006C27F6" w:rsidRPr="008807AC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0E5B157A" w14:textId="77777777" w:rsidR="008807AC" w:rsidRPr="003658F5" w:rsidRDefault="008807AC" w:rsidP="008807AC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77777777" w:rsidR="001616FD" w:rsidRPr="005329A2" w:rsidRDefault="001616FD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proofErr w:type="spellStart"/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proofErr w:type="spellEnd"/>
      <w:r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proofErr w:type="spellStart"/>
      <w:r w:rsidRPr="008807AC">
        <w:rPr>
          <w:color w:val="000000" w:themeColor="text1"/>
          <w:spacing w:val="-6"/>
          <w:sz w:val="21"/>
          <w:szCs w:val="21"/>
          <w:lang w:eastAsia="ko-KR"/>
        </w:rPr>
        <w:lastRenderedPageBreak/>
        <w:t>Jee</w:t>
      </w:r>
      <w:proofErr w:type="spellEnd"/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, </w:t>
      </w:r>
      <w:proofErr w:type="gramStart"/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proofErr w:type="gramEnd"/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</w:t>
      </w:r>
      <w:proofErr w:type="spellStart"/>
      <w:r>
        <w:rPr>
          <w:color w:val="000000" w:themeColor="text1"/>
          <w:spacing w:val="-6"/>
          <w:sz w:val="21"/>
          <w:szCs w:val="21"/>
        </w:rPr>
        <w:t>Wung</w:t>
      </w:r>
      <w:proofErr w:type="spellEnd"/>
      <w:r>
        <w:rPr>
          <w:color w:val="000000" w:themeColor="text1"/>
          <w:spacing w:val="-6"/>
          <w:sz w:val="21"/>
          <w:szCs w:val="21"/>
        </w:rPr>
        <w:t>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proofErr w:type="spellStart"/>
      <w:r>
        <w:rPr>
          <w:color w:val="000000" w:themeColor="text1"/>
          <w:spacing w:val="-6"/>
          <w:sz w:val="21"/>
          <w:szCs w:val="21"/>
        </w:rPr>
        <w:t>Koje</w:t>
      </w:r>
      <w:proofErr w:type="spellEnd"/>
      <w:r>
        <w:rPr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color w:val="000000" w:themeColor="text1"/>
          <w:spacing w:val="-6"/>
          <w:sz w:val="21"/>
          <w:szCs w:val="21"/>
        </w:rPr>
        <w:t>Colleage</w:t>
      </w:r>
      <w:proofErr w:type="spellEnd"/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proofErr w:type="spellStart"/>
      <w:r>
        <w:rPr>
          <w:color w:val="000000" w:themeColor="text1"/>
          <w:spacing w:val="-6"/>
          <w:sz w:val="21"/>
          <w:szCs w:val="21"/>
        </w:rPr>
        <w:t>Waseda</w:t>
      </w:r>
      <w:proofErr w:type="spellEnd"/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9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8853" w14:textId="77777777" w:rsidR="007E7CD1" w:rsidRDefault="007E7CD1" w:rsidP="008A1B6A">
      <w:r>
        <w:separator/>
      </w:r>
    </w:p>
  </w:endnote>
  <w:endnote w:type="continuationSeparator" w:id="0">
    <w:p w14:paraId="5BB8D6C7" w14:textId="77777777" w:rsidR="007E7CD1" w:rsidRDefault="007E7CD1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5B9F" w14:textId="77777777" w:rsidR="007E7CD1" w:rsidRDefault="007E7CD1" w:rsidP="008A1B6A">
      <w:r>
        <w:separator/>
      </w:r>
    </w:p>
  </w:footnote>
  <w:footnote w:type="continuationSeparator" w:id="0">
    <w:p w14:paraId="5D7951B0" w14:textId="77777777" w:rsidR="007E7CD1" w:rsidRDefault="007E7CD1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5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2213</Words>
  <Characters>12617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14801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3</cp:revision>
  <cp:lastPrinted>2021-12-31T02:23:00Z</cp:lastPrinted>
  <dcterms:created xsi:type="dcterms:W3CDTF">2021-12-31T02:23:00Z</dcterms:created>
  <dcterms:modified xsi:type="dcterms:W3CDTF">2021-12-31T02:24:00Z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