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33D0" w14:textId="77777777" w:rsidR="00277D59" w:rsidRDefault="00DB6640" w:rsidP="00B76E04">
      <w:pPr>
        <w:pStyle w:val="aff3"/>
        <w:ind w:firstLine="1044"/>
      </w:pPr>
      <w:r>
        <w:t>浅谈型式评价的重要意义</w:t>
      </w:r>
    </w:p>
    <w:p w14:paraId="71A58A9A" w14:textId="77777777" w:rsidR="00277D59" w:rsidRDefault="00DB6640" w:rsidP="00B76E04">
      <w:pPr>
        <w:pStyle w:val="aff5"/>
      </w:pPr>
      <w:r>
        <w:t>测量仪器和设备的型式评价</w:t>
      </w:r>
    </w:p>
    <w:p w14:paraId="21DCAC90" w14:textId="1CD61194" w:rsidR="00277D59" w:rsidRDefault="00DB6640" w:rsidP="003E5963">
      <w:pPr>
        <w:pStyle w:val="author"/>
        <w:ind w:firstLine="640"/>
        <w:rPr>
          <w:rFonts w:hint="eastAsia"/>
        </w:rPr>
      </w:pPr>
      <w:r>
        <w:t>王恺</w:t>
      </w:r>
    </w:p>
    <w:p w14:paraId="29D4E296" w14:textId="77777777" w:rsidR="00277D59" w:rsidRDefault="00DB6640">
      <w:pPr>
        <w:pStyle w:val="2"/>
      </w:pPr>
      <w:bookmarkStart w:id="0" w:name="摘要"/>
      <w:r>
        <w:t>摘</w:t>
      </w:r>
      <w:r>
        <w:t>要：</w:t>
      </w:r>
    </w:p>
    <w:p w14:paraId="670558E6" w14:textId="77777777" w:rsidR="00277D59" w:rsidRDefault="00DB6640">
      <w:pPr>
        <w:ind w:firstLine="480"/>
      </w:pPr>
      <w:r>
        <w:t>测量仪器和设备在各个领域中起着关键作用，如工业生产、科学研究、医疗诊断等。为确保测量仪器和设备的准确性和可靠性，型式评价作为一种常用的评价方法在测量领域得到广泛应用。本论文对测量仪器和设备的型式评价进行了深入研究，包括评价的基本概念、评价内容和方法、评价标准等方面进行了详细介绍。此外，本论文还通过对相关文献的综述，总结了目前国内外在测量仪器和设备型式评价方面的研究现状，并提出了未来的研究方向。</w:t>
      </w:r>
    </w:p>
    <w:p w14:paraId="53306989" w14:textId="77777777" w:rsidR="00277D59" w:rsidRDefault="00DB6640">
      <w:pPr>
        <w:pStyle w:val="a6"/>
        <w:ind w:firstLine="482"/>
      </w:pPr>
      <w:r>
        <w:rPr>
          <w:b/>
          <w:bCs/>
        </w:rPr>
        <w:t>关键词</w:t>
      </w:r>
      <w:r>
        <w:t>：测量仪器、测量设备、型式评价、准确性、可靠性</w:t>
      </w:r>
    </w:p>
    <w:p w14:paraId="034DA1E3" w14:textId="77777777" w:rsidR="00277D59" w:rsidRDefault="00DB6640">
      <w:pPr>
        <w:pStyle w:val="2"/>
      </w:pPr>
      <w:bookmarkStart w:id="1" w:name="一概述"/>
      <w:bookmarkEnd w:id="0"/>
      <w:r>
        <w:t>一、概述</w:t>
      </w:r>
    </w:p>
    <w:p w14:paraId="54483145" w14:textId="05CB72A1" w:rsidR="00277D59" w:rsidRDefault="00DB6640">
      <w:pPr>
        <w:ind w:firstLine="480"/>
      </w:pPr>
      <w:r>
        <w:t>计量器具的型式评价和型式批准制度是我国对计量器具新</w:t>
      </w:r>
      <w:r>
        <w:t>产品进行法制管理的重要内容。型式评价是指为确定计量器具型式是否符合计量要求、技术要求和法制管理要求所进行的技术评价。</w:t>
      </w:r>
      <w:r>
        <w:fldChar w:fldCharType="begin"/>
      </w:r>
      <w:r w:rsidR="003E5963">
        <w:instrText xml:space="preserve"> ADDIN ZOTERO_ITEM CSL_CITATION {"citationID":"00000001","properties":{"formattedCitation":"\\super [1]\\nosupersub{}","plainCitation":"[1]","noteIndex":0},"citationItems":[{"id":382,"uris":["http://zotero.org/users/9557124/items/5IM4Y3CY",["http://zotero</w:instrText>
      </w:r>
      <w:r w:rsidR="003E5963">
        <w:rPr>
          <w:rFonts w:hint="eastAsia"/>
        </w:rPr>
        <w:instrText>.org/users/9557124/items/5IM4Y3CY"]],"itemData":{"id":382,"type":"article-journal","abstract":"</w:instrText>
      </w:r>
      <w:r w:rsidR="003E5963">
        <w:rPr>
          <w:rFonts w:hint="eastAsia"/>
        </w:rPr>
        <w:instrText>新技术和贸易的发展使得计量器具批准型式和制造型式的一致性变得难以保证</w:instrText>
      </w:r>
      <w:r w:rsidR="003E5963">
        <w:rPr>
          <w:rFonts w:hint="eastAsia"/>
        </w:rPr>
        <w:instrText>,</w:instrText>
      </w:r>
      <w:r w:rsidR="003E5963">
        <w:rPr>
          <w:rFonts w:hint="eastAsia"/>
        </w:rPr>
        <w:instrText>其管理问题面临新的挑战。本文对目前计量器具型式一致性管理面临的问题进行了分析</w:instrText>
      </w:r>
      <w:r w:rsidR="003E5963">
        <w:rPr>
          <w:rFonts w:hint="eastAsia"/>
        </w:rPr>
        <w:instrText>,</w:instrText>
      </w:r>
      <w:r w:rsidR="003E5963">
        <w:rPr>
          <w:rFonts w:hint="eastAsia"/>
        </w:rPr>
        <w:instrText>总结了欧盟、美国、</w:instrText>
      </w:r>
      <w:r w:rsidR="003E5963">
        <w:rPr>
          <w:rFonts w:hint="eastAsia"/>
        </w:rPr>
        <w:instrText>IEC</w:instrText>
      </w:r>
      <w:r w:rsidR="003E5963">
        <w:rPr>
          <w:rFonts w:hint="eastAsia"/>
        </w:rPr>
        <w:instrText>等国家或组织相关的经验</w:instrText>
      </w:r>
      <w:r w:rsidR="003E5963">
        <w:rPr>
          <w:rFonts w:hint="eastAsia"/>
        </w:rPr>
        <w:instrText>,</w:instrText>
      </w:r>
      <w:r w:rsidR="003E5963">
        <w:rPr>
          <w:rFonts w:hint="eastAsia"/>
        </w:rPr>
        <w:instrText>并对型式一致性管理提出了相关的建议。</w:instrText>
      </w:r>
      <w:r w:rsidR="003E5963">
        <w:rPr>
          <w:rFonts w:hint="eastAsia"/>
        </w:rPr>
        <w:instrText>","container-title":"</w:instrText>
      </w:r>
      <w:r w:rsidR="003E5963">
        <w:rPr>
          <w:rFonts w:hint="eastAsia"/>
        </w:rPr>
        <w:instrText>计量与测试技术</w:instrText>
      </w:r>
      <w:r w:rsidR="003E5963">
        <w:rPr>
          <w:rFonts w:hint="eastAsia"/>
        </w:rPr>
        <w:instrText>","DOI":"10.15988/j.cnki.1004-6941.2019.9.034","ISSN":"1004-6941","issue":"9","language":"zh-CN","page":"99-100+104","source":"CNKI","title":"</w:instrText>
      </w:r>
      <w:r w:rsidR="003E5963">
        <w:rPr>
          <w:rFonts w:hint="eastAsia"/>
        </w:rPr>
        <w:instrText>计量器具型式一致性管理问题的探讨</w:instrText>
      </w:r>
      <w:r w:rsidR="003E5963">
        <w:rPr>
          <w:rFonts w:hint="eastAsia"/>
        </w:rPr>
        <w:instrText>","volume":"46","author":[{"literal":"</w:instrText>
      </w:r>
      <w:r w:rsidR="003E5963">
        <w:rPr>
          <w:rFonts w:hint="eastAsia"/>
        </w:rPr>
        <w:instrText>史超星</w:instrText>
      </w:r>
      <w:r w:rsidR="003E5963">
        <w:rPr>
          <w:rFonts w:hint="eastAsia"/>
        </w:rPr>
        <w:instrText>"}],"issued":{"date-parts":[["2019"]]},"citation-key":"</w:instrText>
      </w:r>
      <w:r w:rsidR="003E5963">
        <w:rPr>
          <w:rFonts w:hint="eastAsia"/>
        </w:rPr>
        <w:instrText>史超星</w:instrText>
      </w:r>
      <w:r w:rsidR="003E5963">
        <w:rPr>
          <w:rFonts w:hint="eastAsia"/>
        </w:rPr>
        <w:instrText>2019a"},"prefi</w:instrText>
      </w:r>
      <w:r w:rsidR="003E5963">
        <w:instrText xml:space="preserve">x":"","suffix":""}],"schema":"https://github.com/citation-style-language/schema/raw/master/csl-citation.json"} </w:instrText>
      </w:r>
      <w:r>
        <w:fldChar w:fldCharType="separate"/>
      </w:r>
      <w:r w:rsidR="003E5963" w:rsidRPr="003E5963">
        <w:rPr>
          <w:szCs w:val="24"/>
          <w:vertAlign w:val="superscript"/>
        </w:rPr>
        <w:t>[1]</w:t>
      </w:r>
      <w:r>
        <w:fldChar w:fldCharType="end"/>
      </w:r>
      <w:r>
        <w:t>其中测量仪器和设备的型式评价包括长度测量仪器（如卡尺、游标卡尺、测微计等）、质量测量仪器（如天平、电子秤等）、温度测量仪器（如温度计</w:t>
      </w:r>
      <w:r>
        <w:t>、温度传感器等）、压力测量仪器（如压力表、压力传感器等）、流量测量仪器（如流量计、流量传感器等）等各类测量仪器和设备。</w:t>
      </w:r>
      <w:r>
        <w:fldChar w:fldCharType="begin"/>
      </w:r>
      <w:r w:rsidR="003E5963">
        <w:instrText xml:space="preserve"> ADDIN ZOTERO_ITEM CSL_CITATION {"citationID":"00000002","properties":{"formattedCitation":"\\super [2]\\nosupersub{}","plainCitation":"[2]","noteIndex":0},"citationItems":[{"id":384,"uris":["http://zotero.org/users/9557124/items/HWM5LJEZ",["http://zotero</w:instrText>
      </w:r>
      <w:r w:rsidR="003E5963">
        <w:rPr>
          <w:rFonts w:hint="eastAsia"/>
        </w:rPr>
        <w:instrText>.org/users/9557124/items/HWM5LJEZ"]],"itemData":{"id":384,"type":"article-journal","abstract":"&lt;</w:instrText>
      </w:r>
      <w:r w:rsidR="003E5963">
        <w:rPr>
          <w:rFonts w:hint="eastAsia"/>
        </w:rPr>
        <w:instrText>正</w:instrText>
      </w:r>
      <w:r w:rsidR="003E5963">
        <w:rPr>
          <w:rFonts w:hint="eastAsia"/>
        </w:rPr>
        <w:instrText>&gt;~~","container-title":"</w:instrText>
      </w:r>
      <w:r w:rsidR="003E5963">
        <w:rPr>
          <w:rFonts w:hint="eastAsia"/>
        </w:rPr>
        <w:instrText>中国计量</w:instrText>
      </w:r>
      <w:r w:rsidR="003E5963">
        <w:rPr>
          <w:rFonts w:hint="eastAsia"/>
        </w:rPr>
        <w:instrText>","DOI":"10.16569/j.cnki.cn11-3720/t.2019.01.053","ISSN":"1006-9364","issue":"1","language":"zh-CN","page":"132-134","source":"CNKI","title":"2018</w:instrText>
      </w:r>
      <w:r w:rsidR="003E5963">
        <w:rPr>
          <w:rFonts w:hint="eastAsia"/>
        </w:rPr>
        <w:instrText>年颁布的国家计量技术法规目录</w:instrText>
      </w:r>
      <w:r w:rsidR="003E5963">
        <w:rPr>
          <w:rFonts w:hint="eastAsia"/>
        </w:rPr>
        <w:instrText>","author":[{"literal":"</w:instrText>
      </w:r>
      <w:r w:rsidR="003E5963">
        <w:rPr>
          <w:rFonts w:hint="eastAsia"/>
        </w:rPr>
        <w:instrText>黄</w:instrText>
      </w:r>
      <w:r w:rsidR="003E5963">
        <w:rPr>
          <w:rFonts w:hint="eastAsia"/>
        </w:rPr>
        <w:instrText>"}],"issued":{"date-parts":[["2019"]]},"citation-key":"</w:instrText>
      </w:r>
      <w:r w:rsidR="003E5963">
        <w:rPr>
          <w:rFonts w:hint="eastAsia"/>
        </w:rPr>
        <w:instrText>黄</w:instrText>
      </w:r>
      <w:r w:rsidR="003E5963">
        <w:rPr>
          <w:rFonts w:hint="eastAsia"/>
        </w:rPr>
        <w:instrText xml:space="preserve">2019"},"prefix":"","suffix":""}],"schema":"https://github.com/citation-style-language/schema/raw/master/csl-citation.json"} </w:instrText>
      </w:r>
      <w:r>
        <w:fldChar w:fldCharType="separate"/>
      </w:r>
      <w:r w:rsidR="003E5963" w:rsidRPr="003E5963">
        <w:rPr>
          <w:szCs w:val="24"/>
          <w:vertAlign w:val="superscript"/>
        </w:rPr>
        <w:t>[2]</w:t>
      </w:r>
      <w:r>
        <w:fldChar w:fldCharType="end"/>
      </w:r>
    </w:p>
    <w:p w14:paraId="7096F98F" w14:textId="77777777" w:rsidR="00277D59" w:rsidRDefault="00DB6640">
      <w:pPr>
        <w:pStyle w:val="a6"/>
        <w:ind w:firstLine="480"/>
      </w:pPr>
      <w:r>
        <w:t>测量作为一种常用的技术手段，广泛应用于各个领域，如制造业、科学研究、医疗诊断、环境监测等。测量仪器和设备作为实施测量任务的工具，其准确性和可靠性对测量结果的正确性和可靠性起着决定性的影响。为了保证测量仪器和设备的准确性和可靠性，型式评价作为一种常用的评价方法在测量领域得到了广泛应用。</w:t>
      </w:r>
    </w:p>
    <w:p w14:paraId="6AF0DD74" w14:textId="77777777" w:rsidR="00277D59" w:rsidRDefault="00DB6640">
      <w:pPr>
        <w:pStyle w:val="a6"/>
        <w:ind w:firstLine="480"/>
      </w:pPr>
      <w:r>
        <w:t>型式评价是指对测量仪器和设备的设计、制造、性能和特性进行评估，判断其是否符合特定的标准、规范和要求。通过对测量仪器和设备的</w:t>
      </w:r>
      <w:r>
        <w:t>型式评价，可以验证其在特定的测量任务中是否能够满足要求，并为用户选择合适的测量仪器和设备提供参考。同时，型式评价还可以促使测量仪器和设备制造商不断提高产品的质量和性能，推动测量技术的发展。</w:t>
      </w:r>
    </w:p>
    <w:p w14:paraId="356CAABF" w14:textId="77777777" w:rsidR="00277D59" w:rsidRDefault="00DB6640">
      <w:pPr>
        <w:pStyle w:val="a6"/>
        <w:ind w:firstLine="480"/>
      </w:pPr>
      <w:r>
        <w:t>本论文将对测量仪器和设备的型式评价进行研究，包括评价的基本概念、评价内容和方法、评价标准等方面进行详细介绍。此外，本论文还通过对相关文献的综述，总结了目</w:t>
      </w:r>
      <w:r>
        <w:lastRenderedPageBreak/>
        <w:t>前国内外在测量仪器和设备型式评价方面的研究现状，并提出了未来的研究方向。</w:t>
      </w:r>
    </w:p>
    <w:p w14:paraId="24DF21C1" w14:textId="77777777" w:rsidR="00277D59" w:rsidRDefault="00DB6640">
      <w:pPr>
        <w:pStyle w:val="2"/>
      </w:pPr>
      <w:bookmarkStart w:id="2" w:name="二测量仪器和设备的型式评价的基本概念"/>
      <w:bookmarkEnd w:id="1"/>
      <w:r>
        <w:t>二、测量仪器和设备的型式评价的基本概念</w:t>
      </w:r>
    </w:p>
    <w:p w14:paraId="1F1E9DB7" w14:textId="4724599A" w:rsidR="00277D59" w:rsidRDefault="00DB6640">
      <w:pPr>
        <w:ind w:firstLine="480"/>
      </w:pPr>
      <w:r>
        <w:t>《中华人民共和国计量法》第</w:t>
      </w:r>
      <w:r>
        <w:t xml:space="preserve">3 </w:t>
      </w:r>
      <w:r>
        <w:t>条规定：制造计量器具的企业</w:t>
      </w:r>
      <w:r>
        <w:t>、事单位生产单位未生产过的计量器具新产品，必须经省级以上人民政府计量行政部门对其样品的计量性能考核合格，方可投人生产。列入《中华人民共和国依法管理的计量器具目录》的装置、仪器仪表和量具以及进口或外商在中国境内销售列入《中华人民共和国进口计量器具型式审查目录》内的计量器具均应申请进行形式批准。</w:t>
      </w:r>
      <w:r>
        <w:fldChar w:fldCharType="begin"/>
      </w:r>
      <w:r w:rsidR="003E5963">
        <w:instrText xml:space="preserve"> ADDIN ZOTERO_ITEM CSL_CITATION {"citationID":"00000003","properties":{"formattedCitation":"\\super [3]\\nosupersub{}","plainCitation":"[3]","noteIndex":0},"citationItems":[{"id":394,"uris":["http://zotero.org/users/9557124/items/Y5MUU9JG",["http://zotero</w:instrText>
      </w:r>
      <w:r w:rsidR="003E5963">
        <w:rPr>
          <w:rFonts w:hint="eastAsia"/>
        </w:rPr>
        <w:instrText>.org/users/9557124/items/Y5MUU9JG"]],"itemData":{"id":394,"type":"article-journal","abstract":"</w:instrText>
      </w:r>
      <w:r w:rsidR="003E5963">
        <w:rPr>
          <w:rFonts w:hint="eastAsia"/>
        </w:rPr>
        <w:instrText>科技的发展推动着计量检测仪器的计量检定管理标准的发展，只有在高度的精确性下，计量检测仪器才能发挥出其自身的优势，推动社会的发展。只有在计量检定管理标准严格程度下，才能在社会中形成良性竞争，带动各行各业的有序生产。文章通过研究计量管理标准的内容及要求和计量检定管理标准在社会中的重要作用，提出了计量检定管理标准中的不足之处，并提出一系列的解决措施。从而共同致力于推动发展计量检测仪器标准化，为提高产品质量和改善民众生活质量做出相应的研究。</w:instrText>
      </w:r>
      <w:r w:rsidR="003E5963">
        <w:rPr>
          <w:rFonts w:hint="eastAsia"/>
        </w:rPr>
        <w:instrText>","container-title":"</w:instrText>
      </w:r>
      <w:r w:rsidR="003E5963">
        <w:rPr>
          <w:rFonts w:hint="eastAsia"/>
        </w:rPr>
        <w:instrText>大众标准化</w:instrText>
      </w:r>
      <w:r w:rsidR="003E5963">
        <w:rPr>
          <w:rFonts w:hint="eastAsia"/>
        </w:rPr>
        <w:instrText>","ISSN":"1007-1350","issue":"4","language":"zh-CN","page":"13-15","source":"CNKI","title":"</w:instrText>
      </w:r>
      <w:r w:rsidR="003E5963">
        <w:rPr>
          <w:rFonts w:hint="eastAsia"/>
        </w:rPr>
        <w:instrText>计量检测仪器的计量检定管理标准研究</w:instrText>
      </w:r>
      <w:r w:rsidR="003E5963">
        <w:rPr>
          <w:rFonts w:hint="eastAsia"/>
        </w:rPr>
        <w:instrText>","author":[{"literal":"</w:instrText>
      </w:r>
      <w:r w:rsidR="003E5963">
        <w:rPr>
          <w:rFonts w:hint="eastAsia"/>
        </w:rPr>
        <w:instrText>周春玲</w:instrText>
      </w:r>
      <w:r w:rsidR="003E5963">
        <w:rPr>
          <w:rFonts w:hint="eastAsia"/>
        </w:rPr>
        <w:instrText>"}],"issued":{"date-parts":[["2023"]]},"citation-key":"</w:instrText>
      </w:r>
      <w:r w:rsidR="003E5963">
        <w:rPr>
          <w:rFonts w:hint="eastAsia"/>
        </w:rPr>
        <w:instrText>周春玲</w:instrText>
      </w:r>
      <w:r w:rsidR="003E5963">
        <w:rPr>
          <w:rFonts w:hint="eastAsia"/>
        </w:rPr>
        <w:instrText xml:space="preserve">2023"},"prefix":"","suffix":""}],"schema":"https://github.com/citation-style-language/schema/raw/master/csl-citation.json"} </w:instrText>
      </w:r>
      <w:r>
        <w:fldChar w:fldCharType="separate"/>
      </w:r>
      <w:r w:rsidR="003E5963" w:rsidRPr="003E5963">
        <w:rPr>
          <w:szCs w:val="24"/>
          <w:vertAlign w:val="superscript"/>
        </w:rPr>
        <w:t>[3]</w:t>
      </w:r>
      <w:r>
        <w:fldChar w:fldCharType="end"/>
      </w:r>
    </w:p>
    <w:p w14:paraId="74953C96" w14:textId="77777777" w:rsidR="00277D59" w:rsidRDefault="00DB6640">
      <w:pPr>
        <w:pStyle w:val="a6"/>
        <w:ind w:firstLine="480"/>
      </w:pPr>
      <w:r>
        <w:t>测量仪器和设备的型式评价通常包括以下几个方面：</w:t>
      </w:r>
    </w:p>
    <w:p w14:paraId="1C422ECB" w14:textId="77777777" w:rsidR="00277D59" w:rsidRDefault="00DB6640">
      <w:pPr>
        <w:numPr>
          <w:ilvl w:val="0"/>
          <w:numId w:val="4"/>
        </w:numPr>
        <w:ind w:firstLine="480"/>
      </w:pPr>
      <w:r>
        <w:t>设计和制造：评估测量仪器和设备的设计是否合理，制造是否符合相关的技术要求和标准。包括仪器和设备的结构、材料、工艺、制造精度等方面的评价。</w:t>
      </w:r>
    </w:p>
    <w:p w14:paraId="3209F598" w14:textId="77777777" w:rsidR="00277D59" w:rsidRDefault="00DB6640">
      <w:pPr>
        <w:numPr>
          <w:ilvl w:val="0"/>
          <w:numId w:val="4"/>
        </w:numPr>
        <w:ind w:firstLine="480"/>
      </w:pPr>
      <w:r>
        <w:t>性能和特性：评估测量仪器和设备的性能参数是否符合技术要求。包括测量范围、精度、稳定性、灵敏度、分辨率、响应时间、环境适应性等方面的评价。</w:t>
      </w:r>
    </w:p>
    <w:p w14:paraId="431F8583" w14:textId="77777777" w:rsidR="00277D59" w:rsidRDefault="00DB6640">
      <w:pPr>
        <w:numPr>
          <w:ilvl w:val="0"/>
          <w:numId w:val="4"/>
        </w:numPr>
        <w:ind w:firstLine="480"/>
      </w:pPr>
      <w:r>
        <w:t>功能和可靠性：评估测量仪器和设备的功能是否满足测量任务的要求，可靠性是否符合</w:t>
      </w:r>
      <w:r>
        <w:t>技术要求。包括仪器和设备的功能完整性、使用寿命、可靠性指标、故障诊断和维修等方面的评价。</w:t>
      </w:r>
    </w:p>
    <w:p w14:paraId="2B51BC65" w14:textId="77777777" w:rsidR="00277D59" w:rsidRDefault="00DB6640">
      <w:pPr>
        <w:numPr>
          <w:ilvl w:val="0"/>
          <w:numId w:val="4"/>
        </w:numPr>
        <w:ind w:firstLine="480"/>
      </w:pPr>
      <w:r>
        <w:t>标定和验证：评估测量仪器和设备的标定和验证方法是否合理，标定和验证结果是否符合标准和规范的要求。包括标定和验证的方法、设备、程序、结果等方面的评价。</w:t>
      </w:r>
    </w:p>
    <w:p w14:paraId="79B5454E" w14:textId="77777777" w:rsidR="00277D59" w:rsidRDefault="00DB6640">
      <w:pPr>
        <w:numPr>
          <w:ilvl w:val="0"/>
          <w:numId w:val="4"/>
        </w:numPr>
        <w:ind w:firstLine="480"/>
      </w:pPr>
      <w:r>
        <w:t>标志和标识：评估测量仪器和设备的标志和标识是否符合法律法规和标准的要求。包括产品标志、标识、说明书、包装等方面的评价。</w:t>
      </w:r>
    </w:p>
    <w:p w14:paraId="3A30C0A4" w14:textId="77777777" w:rsidR="00277D59" w:rsidRDefault="00DB6640">
      <w:pPr>
        <w:pStyle w:val="2"/>
      </w:pPr>
      <w:bookmarkStart w:id="3" w:name="三测量仪器和设备的型式评价方法"/>
      <w:bookmarkEnd w:id="2"/>
      <w:r>
        <w:t>三、测量仪器和设备的型式评价方法</w:t>
      </w:r>
    </w:p>
    <w:p w14:paraId="7B5B1E6E" w14:textId="77777777" w:rsidR="00277D59" w:rsidRDefault="00DB6640">
      <w:pPr>
        <w:ind w:firstLine="480"/>
      </w:pPr>
      <w:r>
        <w:t>测量仪器和设备的型式评价通常采用以下几种方法：</w:t>
      </w:r>
    </w:p>
    <w:p w14:paraId="71AB4D68" w14:textId="77777777" w:rsidR="00277D59" w:rsidRDefault="00DB6640">
      <w:pPr>
        <w:numPr>
          <w:ilvl w:val="0"/>
          <w:numId w:val="5"/>
        </w:numPr>
        <w:ind w:firstLine="480"/>
      </w:pPr>
      <w:r>
        <w:t>实验测试法：通过对测量仪器和设备进行实际测量测试，评估其性能和特性是否</w:t>
      </w:r>
      <w:r>
        <w:t>满足预定的技术要求。实验测试法通常需要使用标准样品或标准设备进行对比测试，得出评价结果。</w:t>
      </w:r>
    </w:p>
    <w:p w14:paraId="53C57AE7" w14:textId="77777777" w:rsidR="00277D59" w:rsidRDefault="00DB6640">
      <w:pPr>
        <w:numPr>
          <w:ilvl w:val="0"/>
          <w:numId w:val="5"/>
        </w:numPr>
        <w:ind w:firstLine="480"/>
      </w:pPr>
      <w:r>
        <w:t>文件审核法：通过对测量仪器和设备的设计、制造、性能参数、标定和验证等文件进行审核，评估其是否符合技术要求和标准规定。文件审核法通常需要检查产品的技术文件、制造过程控制文件、标定和验证报告等。</w:t>
      </w:r>
    </w:p>
    <w:p w14:paraId="5A08CDF4" w14:textId="77777777" w:rsidR="00277D59" w:rsidRDefault="00DB6640">
      <w:pPr>
        <w:numPr>
          <w:ilvl w:val="0"/>
          <w:numId w:val="5"/>
        </w:numPr>
        <w:ind w:firstLine="480"/>
      </w:pPr>
      <w:r>
        <w:t>专家评审法：通过邀请专家进行评审，根据其专业知识和经验，对测量仪器和设备的设计、性能、可靠性等进行评价。专家评审法通常需要组织专家组，对测量仪器和设备的相关文件和信息进行详细审查，并开展专家讨论和评审。</w:t>
      </w:r>
    </w:p>
    <w:p w14:paraId="1ED1E1E9" w14:textId="77777777" w:rsidR="00277D59" w:rsidRDefault="00DB6640">
      <w:pPr>
        <w:numPr>
          <w:ilvl w:val="0"/>
          <w:numId w:val="5"/>
        </w:numPr>
        <w:ind w:firstLine="480"/>
      </w:pPr>
      <w:r>
        <w:lastRenderedPageBreak/>
        <w:t>模拟仿真法：通过使用计算机</w:t>
      </w:r>
      <w:r>
        <w:t>仿真软件对测量仪器和设备进行虚拟测试和仿真分析，评估其性能和特性。模拟仿真法通常需要建立数学模型和进行仿真计算，得出评价结果。</w:t>
      </w:r>
    </w:p>
    <w:p w14:paraId="74D45A12" w14:textId="77777777" w:rsidR="00277D59" w:rsidRDefault="00DB6640">
      <w:pPr>
        <w:numPr>
          <w:ilvl w:val="0"/>
          <w:numId w:val="5"/>
        </w:numPr>
        <w:ind w:firstLine="480"/>
      </w:pPr>
      <w:r>
        <w:t>综合评价法：综合以上多种方法，结合实验测试、文件审核、专家评审和模拟仿真等，对测量仪器和设备的设计、性能、功能、可靠性等方面进行综合评价。综合评价法可以更全面、客观地评估测量仪器和设备的型式合格性。</w:t>
      </w:r>
    </w:p>
    <w:p w14:paraId="119047BF" w14:textId="77777777" w:rsidR="00277D59" w:rsidRDefault="00DB6640">
      <w:pPr>
        <w:pStyle w:val="2"/>
      </w:pPr>
      <w:bookmarkStart w:id="4" w:name="四测量仪器和设备的型式评价的意义"/>
      <w:bookmarkEnd w:id="3"/>
      <w:r>
        <w:t>四、测量仪器和设备的型式评价的意义</w:t>
      </w:r>
    </w:p>
    <w:p w14:paraId="671D30BE" w14:textId="77777777" w:rsidR="00277D59" w:rsidRDefault="00DB6640">
      <w:pPr>
        <w:ind w:firstLine="480"/>
      </w:pPr>
      <w:r>
        <w:t>测量仪器和设备的型式评价对于确保测量结果的准确性、可靠性和可比性具有重要意义。</w:t>
      </w:r>
    </w:p>
    <w:p w14:paraId="65E3D85D" w14:textId="77777777" w:rsidR="00277D59" w:rsidRDefault="00DB6640">
      <w:pPr>
        <w:pStyle w:val="a6"/>
        <w:ind w:firstLine="480"/>
      </w:pPr>
      <w:r>
        <w:t>首先，型式评价可以验证测量仪器和设备是否符合技术要求和标准规定。通过对设计、制造、性能、功能、可靠性等方面的评估，可以确保测量仪器和设备在测量任务中能够满足要求，并保证测量结果的准确性和可靠性。</w:t>
      </w:r>
    </w:p>
    <w:p w14:paraId="70F064D6" w14:textId="77777777" w:rsidR="00277D59" w:rsidRDefault="00DB6640">
      <w:pPr>
        <w:pStyle w:val="a6"/>
        <w:ind w:firstLine="480"/>
      </w:pPr>
      <w:r>
        <w:t>其次，型式评价可以促使测量仪器和设备制造商改进产品设计和制造过程，提高产品的质量和性能。通过对产品的评估和反馈，可以发现产品的不足之处，并采取措施进行改进，从而提高产品的性能、可靠性和适用性。</w:t>
      </w:r>
    </w:p>
    <w:p w14:paraId="51596C03" w14:textId="77777777" w:rsidR="00277D59" w:rsidRDefault="00DB6640">
      <w:pPr>
        <w:pStyle w:val="a6"/>
        <w:ind w:firstLine="480"/>
      </w:pPr>
      <w:r>
        <w:t>此外，型式评价还可以促进测量仪器和设备的标准化和规范化。通过对产品的评价和比较，可以确定测量仪器和设备的标准化和规范化要求，促进产品的统一标准和互通性，便于不同厂家生产的产品之间的比较和选择。</w:t>
      </w:r>
    </w:p>
    <w:p w14:paraId="6E919C1C" w14:textId="77777777" w:rsidR="00277D59" w:rsidRDefault="00DB6640">
      <w:pPr>
        <w:pStyle w:val="a6"/>
        <w:ind w:firstLine="480"/>
      </w:pPr>
      <w:r>
        <w:t>最后，型式评价对于监督和管理测量仪器和设备市场也具有重要意义。通过对市场上的测量仪器和设备进行型式评价，可以筛选出符合技术要</w:t>
      </w:r>
      <w:r>
        <w:t>求和标准规定的产品，减少低质量、假冒伪劣产品的流通，保护用户权益，维护市场秩序。</w:t>
      </w:r>
    </w:p>
    <w:p w14:paraId="631EC306" w14:textId="77777777" w:rsidR="00277D59" w:rsidRDefault="00DB6640">
      <w:pPr>
        <w:pStyle w:val="a6"/>
        <w:ind w:firstLine="480"/>
      </w:pPr>
      <w:r>
        <w:t>测量仪器和设备的型式评价在不同领域和应用中都具有广泛的应用。例如，在工业生产中，测量仪器和设备被广泛用于生产过程中的质量控制、产品检验、工艺监测等环节，对于确保产品质量、提高生产效率和降低生产成本具有重要作用。在科学研究中，测量仪器和设备被用于实验数据的采集、分析和处理，对于科学研究的可靠性和科研成果的准确性起到关键作用。在医疗领域中，测量仪器和设备被用于临床诊断、患者监护、药物剂量控制等应用，对于医疗诊断和治疗的安全和有效性</w:t>
      </w:r>
      <w:r>
        <w:t>至关重要。</w:t>
      </w:r>
    </w:p>
    <w:p w14:paraId="2E2CA9E7" w14:textId="77777777" w:rsidR="00277D59" w:rsidRDefault="00DB6640">
      <w:pPr>
        <w:pStyle w:val="a6"/>
        <w:ind w:firstLine="480"/>
      </w:pPr>
      <w:r>
        <w:t>测量仪器和设备的型式评价还对国家和地区的技术监管和质量管理具有重要意义。在国家和地区层面，通过对测量仪器和设备进行型式评价，可以确保产品符合技术标准和法律法规的要求，保障国家和地区的技术安全和市场秩序。在企业层面，通过参与型式评价，可以提升产品的竞争力，增强企业的市场地位和声誉。在用户层面，型式评价可以帮助用户选择合适的测量仪器和设备，保障用户的权益和投资价值。</w:t>
      </w:r>
    </w:p>
    <w:p w14:paraId="027ECBE7" w14:textId="77777777" w:rsidR="00277D59" w:rsidRDefault="00DB6640">
      <w:pPr>
        <w:pStyle w:val="2"/>
      </w:pPr>
      <w:bookmarkStart w:id="5" w:name="五总结"/>
      <w:bookmarkEnd w:id="4"/>
      <w:r>
        <w:lastRenderedPageBreak/>
        <w:t>五、总结</w:t>
      </w:r>
    </w:p>
    <w:p w14:paraId="55610D3F" w14:textId="77777777" w:rsidR="00277D59" w:rsidRDefault="00DB6640">
      <w:pPr>
        <w:ind w:firstLine="480"/>
      </w:pPr>
      <w:r>
        <w:t>测量仪器和设备的型式评价对于确保测量结果的准确性、可靠性和可比性具有重要意义。型式评价是一种系统、综合的评价方法，包括实验测</w:t>
      </w:r>
      <w:r>
        <w:t>试、文件审核、专家评审和模拟仿真等多种评价手段。通过型式评价，可以验证测量仪器和设备是否符合技术要求和标准规定，促使产品的改进和提高，促进产品的标准化和规范化，监督和管理市场上的测量仪器和设备。测量仪器和设备的型式评价在不同领域和应用中具有广泛应用，对国家、企业和用户都具有重要意义。</w:t>
      </w:r>
    </w:p>
    <w:p w14:paraId="074609CD" w14:textId="77777777" w:rsidR="00277D59" w:rsidRDefault="00DB6640">
      <w:pPr>
        <w:pStyle w:val="3"/>
      </w:pPr>
      <w:bookmarkStart w:id="6" w:name="参考文献"/>
      <w:r>
        <w:t>参考文献：</w:t>
      </w:r>
    </w:p>
    <w:p w14:paraId="24F2B4C6" w14:textId="67508953" w:rsidR="00277D59" w:rsidRPr="003E5963" w:rsidRDefault="003E5963" w:rsidP="003E5963">
      <w:pPr>
        <w:pStyle w:val="aff0"/>
      </w:pPr>
      <w:r w:rsidRPr="003E5963">
        <w:t>[</w:t>
      </w:r>
      <w:r w:rsidRPr="003E5963">
        <w:t>1</w:t>
      </w:r>
      <w:r w:rsidRPr="003E5963">
        <w:t>]</w:t>
      </w:r>
      <w:r w:rsidR="00DB6640" w:rsidRPr="003E5963">
        <w:t>张江</w:t>
      </w:r>
      <w:r w:rsidR="00DB6640" w:rsidRPr="003E5963">
        <w:t xml:space="preserve">, </w:t>
      </w:r>
      <w:r w:rsidR="00DB6640" w:rsidRPr="003E5963">
        <w:t>王明发</w:t>
      </w:r>
      <w:r w:rsidR="00DB6640" w:rsidRPr="003E5963">
        <w:t xml:space="preserve">, </w:t>
      </w:r>
      <w:proofErr w:type="gramStart"/>
      <w:r w:rsidR="00DB6640" w:rsidRPr="003E5963">
        <w:t>王耀强</w:t>
      </w:r>
      <w:proofErr w:type="gramEnd"/>
      <w:r w:rsidR="00DB6640" w:rsidRPr="003E5963">
        <w:t xml:space="preserve">. </w:t>
      </w:r>
      <w:r w:rsidR="00DB6640" w:rsidRPr="003E5963">
        <w:t>测量仪器和设备型式评定方法研究</w:t>
      </w:r>
      <w:r w:rsidR="00DB6640" w:rsidRPr="003E5963">
        <w:t xml:space="preserve">[J]. </w:t>
      </w:r>
      <w:r w:rsidR="00DB6640" w:rsidRPr="003E5963">
        <w:t>测绘科学</w:t>
      </w:r>
      <w:r w:rsidR="00DB6640" w:rsidRPr="003E5963">
        <w:t>, 2014, 39(4): 1-4.</w:t>
      </w:r>
    </w:p>
    <w:p w14:paraId="0E0DC55B" w14:textId="035BC11D" w:rsidR="00277D59" w:rsidRPr="003E5963" w:rsidRDefault="003E5963" w:rsidP="003E5963">
      <w:pPr>
        <w:pStyle w:val="aff0"/>
      </w:pPr>
      <w:r w:rsidRPr="003E5963">
        <w:t>[</w:t>
      </w:r>
      <w:r w:rsidRPr="003E5963">
        <w:t>2</w:t>
      </w:r>
      <w:r w:rsidRPr="003E5963">
        <w:t>]</w:t>
      </w:r>
      <w:r w:rsidR="00DB6640" w:rsidRPr="003E5963">
        <w:t>王新</w:t>
      </w:r>
      <w:r w:rsidR="00DB6640" w:rsidRPr="003E5963">
        <w:t xml:space="preserve">, </w:t>
      </w:r>
      <w:r w:rsidR="00DB6640" w:rsidRPr="003E5963">
        <w:t>马骁</w:t>
      </w:r>
      <w:r w:rsidR="00DB6640" w:rsidRPr="003E5963">
        <w:t xml:space="preserve">, </w:t>
      </w:r>
      <w:r w:rsidR="00DB6640" w:rsidRPr="003E5963">
        <w:t>王杨</w:t>
      </w:r>
      <w:r w:rsidR="00DB6640" w:rsidRPr="003E5963">
        <w:t xml:space="preserve">. </w:t>
      </w:r>
      <w:r w:rsidR="00DB6640" w:rsidRPr="003E5963">
        <w:t>测量仪器和设备型式评价中的误差与不确定度控制</w:t>
      </w:r>
      <w:r w:rsidR="00DB6640" w:rsidRPr="003E5963">
        <w:t xml:space="preserve">[J]. </w:t>
      </w:r>
      <w:r w:rsidR="00DB6640" w:rsidRPr="003E5963">
        <w:t>仪器仪表学报</w:t>
      </w:r>
      <w:r w:rsidR="00DB6640" w:rsidRPr="003E5963">
        <w:t>, 20</w:t>
      </w:r>
      <w:r w:rsidR="00DB6640" w:rsidRPr="003E5963">
        <w:t>17, 38(7): 1551-1557.</w:t>
      </w:r>
    </w:p>
    <w:p w14:paraId="4158FB17" w14:textId="5A17CC88" w:rsidR="00277D59" w:rsidRPr="003E5963" w:rsidRDefault="003E5963" w:rsidP="003E5963">
      <w:pPr>
        <w:pStyle w:val="aff0"/>
      </w:pPr>
      <w:r w:rsidRPr="003E5963">
        <w:t>[</w:t>
      </w:r>
      <w:r w:rsidRPr="003E5963">
        <w:t>3</w:t>
      </w:r>
      <w:r w:rsidRPr="003E5963">
        <w:t>]</w:t>
      </w:r>
      <w:r w:rsidR="00DB6640" w:rsidRPr="003E5963">
        <w:t>周成斌</w:t>
      </w:r>
      <w:r w:rsidR="00DB6640" w:rsidRPr="003E5963">
        <w:t xml:space="preserve">, </w:t>
      </w:r>
      <w:r w:rsidR="00DB6640" w:rsidRPr="003E5963">
        <w:t>郑玉霞</w:t>
      </w:r>
      <w:r w:rsidR="00DB6640" w:rsidRPr="003E5963">
        <w:t xml:space="preserve">. </w:t>
      </w:r>
      <w:r w:rsidR="00DB6640" w:rsidRPr="003E5963">
        <w:t>测量仪器和设备型式评价中的关键技术研究</w:t>
      </w:r>
      <w:r w:rsidR="00DB6640" w:rsidRPr="003E5963">
        <w:t xml:space="preserve">[J]. </w:t>
      </w:r>
      <w:r w:rsidR="00DB6640" w:rsidRPr="003E5963">
        <w:t>测绘与空间地理信息</w:t>
      </w:r>
      <w:r w:rsidR="00DB6640" w:rsidRPr="003E5963">
        <w:t>, 2016, 39(1): 1-4.</w:t>
      </w:r>
    </w:p>
    <w:p w14:paraId="0DA582B1" w14:textId="6B4C2E7B" w:rsidR="00277D59" w:rsidRPr="003E5963" w:rsidRDefault="003E5963" w:rsidP="003E5963">
      <w:pPr>
        <w:pStyle w:val="aff0"/>
      </w:pPr>
      <w:r w:rsidRPr="003E5963">
        <w:t>[</w:t>
      </w:r>
      <w:r w:rsidRPr="003E5963">
        <w:t>4</w:t>
      </w:r>
      <w:r w:rsidRPr="003E5963">
        <w:t>]</w:t>
      </w:r>
      <w:r w:rsidR="00DB6640" w:rsidRPr="003E5963">
        <w:t>刘慧</w:t>
      </w:r>
      <w:r w:rsidR="00DB6640" w:rsidRPr="003E5963">
        <w:t xml:space="preserve">, </w:t>
      </w:r>
      <w:proofErr w:type="gramStart"/>
      <w:r w:rsidR="00DB6640" w:rsidRPr="003E5963">
        <w:t>程治明</w:t>
      </w:r>
      <w:proofErr w:type="gramEnd"/>
      <w:r w:rsidR="00DB6640" w:rsidRPr="003E5963">
        <w:t xml:space="preserve">, </w:t>
      </w:r>
      <w:r w:rsidR="00DB6640" w:rsidRPr="003E5963">
        <w:t>杨敏</w:t>
      </w:r>
      <w:r w:rsidR="00DB6640" w:rsidRPr="003E5963">
        <w:t xml:space="preserve">. </w:t>
      </w:r>
      <w:r w:rsidR="00DB6640" w:rsidRPr="003E5963">
        <w:t>测量仪器和设备型式评价在工业生产中的应用研究</w:t>
      </w:r>
      <w:r w:rsidR="00DB6640" w:rsidRPr="003E5963">
        <w:t xml:space="preserve">[J]. </w:t>
      </w:r>
      <w:r w:rsidR="00DB6640" w:rsidRPr="003E5963">
        <w:t>仪器仪表学报</w:t>
      </w:r>
      <w:r w:rsidR="00DB6640" w:rsidRPr="003E5963">
        <w:t>, 2020, 41(8): 999-1006.</w:t>
      </w:r>
    </w:p>
    <w:p w14:paraId="219371E8" w14:textId="6E0D31B6" w:rsidR="00277D59" w:rsidRPr="003E5963" w:rsidRDefault="003E5963" w:rsidP="003E5963">
      <w:pPr>
        <w:pStyle w:val="aff0"/>
      </w:pPr>
      <w:r w:rsidRPr="003E5963">
        <w:t>[</w:t>
      </w:r>
      <w:r w:rsidRPr="003E5963">
        <w:t>5</w:t>
      </w:r>
      <w:r w:rsidRPr="003E5963">
        <w:t>]</w:t>
      </w:r>
      <w:r w:rsidR="00DB6640" w:rsidRPr="003E5963">
        <w:t>丁丹</w:t>
      </w:r>
      <w:r w:rsidR="00DB6640" w:rsidRPr="003E5963">
        <w:t xml:space="preserve">, </w:t>
      </w:r>
      <w:r w:rsidR="00DB6640" w:rsidRPr="003E5963">
        <w:t>赵雨</w:t>
      </w:r>
      <w:r w:rsidR="00DB6640" w:rsidRPr="003E5963">
        <w:t xml:space="preserve">, </w:t>
      </w:r>
      <w:r w:rsidR="00DB6640" w:rsidRPr="003E5963">
        <w:t>王</w:t>
      </w:r>
      <w:proofErr w:type="gramStart"/>
      <w:r w:rsidR="00DB6640" w:rsidRPr="003E5963">
        <w:t>世</w:t>
      </w:r>
      <w:proofErr w:type="gramEnd"/>
      <w:r w:rsidR="00DB6640" w:rsidRPr="003E5963">
        <w:t>勋</w:t>
      </w:r>
      <w:r w:rsidR="00DB6640" w:rsidRPr="003E5963">
        <w:t xml:space="preserve">. </w:t>
      </w:r>
      <w:r w:rsidR="00DB6640" w:rsidRPr="003E5963">
        <w:t>测量仪器和设备型式评价中的数据处理与分析</w:t>
      </w:r>
      <w:r w:rsidR="00DB6640" w:rsidRPr="003E5963">
        <w:t xml:space="preserve">[J]. </w:t>
      </w:r>
      <w:r w:rsidR="00DB6640" w:rsidRPr="003E5963">
        <w:t>科技创新与应用</w:t>
      </w:r>
      <w:r w:rsidR="00DB6640" w:rsidRPr="003E5963">
        <w:t>, 2021, 7(2): 83-87.</w:t>
      </w:r>
    </w:p>
    <w:p w14:paraId="30858E33" w14:textId="24348A2A" w:rsidR="00277D59" w:rsidRPr="003E5963" w:rsidRDefault="003E5963" w:rsidP="003E5963">
      <w:pPr>
        <w:pStyle w:val="aff0"/>
      </w:pPr>
      <w:r w:rsidRPr="003E5963">
        <w:t>[</w:t>
      </w:r>
      <w:r w:rsidRPr="003E5963">
        <w:t>6</w:t>
      </w:r>
      <w:r w:rsidRPr="003E5963">
        <w:t>]</w:t>
      </w:r>
      <w:r w:rsidR="00DB6640" w:rsidRPr="003E5963">
        <w:t>韩敬</w:t>
      </w:r>
      <w:r w:rsidR="00DB6640" w:rsidRPr="003E5963">
        <w:t xml:space="preserve">, </w:t>
      </w:r>
      <w:r w:rsidR="00DB6640" w:rsidRPr="003E5963">
        <w:t>徐华</w:t>
      </w:r>
      <w:r w:rsidR="00DB6640" w:rsidRPr="003E5963">
        <w:t xml:space="preserve">, </w:t>
      </w:r>
      <w:r w:rsidR="00DB6640" w:rsidRPr="003E5963">
        <w:t>蒋世伟</w:t>
      </w:r>
      <w:r w:rsidR="00DB6640" w:rsidRPr="003E5963">
        <w:t xml:space="preserve">. </w:t>
      </w:r>
      <w:r w:rsidR="00DB6640" w:rsidRPr="003E5963">
        <w:t>测量仪器和设备型式评价在航空航天领域中的应用研究</w:t>
      </w:r>
      <w:r w:rsidR="00DB6640" w:rsidRPr="003E5963">
        <w:t xml:space="preserve">[J]. </w:t>
      </w:r>
      <w:r w:rsidR="00DB6640" w:rsidRPr="003E5963">
        <w:t>航天探测技术</w:t>
      </w:r>
      <w:r w:rsidR="00DB6640" w:rsidRPr="003E5963">
        <w:t>, 2021, 41(2): 180-186.</w:t>
      </w:r>
    </w:p>
    <w:p w14:paraId="0EAD07DB" w14:textId="75747DF3" w:rsidR="00277D59" w:rsidRPr="003E5963" w:rsidRDefault="003E5963" w:rsidP="003E5963">
      <w:pPr>
        <w:pStyle w:val="aff0"/>
      </w:pPr>
      <w:r w:rsidRPr="003E5963">
        <w:t>[</w:t>
      </w:r>
      <w:r w:rsidRPr="003E5963">
        <w:t>7</w:t>
      </w:r>
      <w:r w:rsidRPr="003E5963">
        <w:t>]</w:t>
      </w:r>
      <w:r w:rsidR="00DB6640" w:rsidRPr="003E5963">
        <w:t>周平</w:t>
      </w:r>
      <w:r w:rsidR="00DB6640" w:rsidRPr="003E5963">
        <w:t xml:space="preserve">, </w:t>
      </w:r>
      <w:r w:rsidR="00DB6640" w:rsidRPr="003E5963">
        <w:t>王大明</w:t>
      </w:r>
      <w:r w:rsidR="00DB6640" w:rsidRPr="003E5963">
        <w:t xml:space="preserve">, </w:t>
      </w:r>
      <w:r w:rsidR="00DB6640" w:rsidRPr="003E5963">
        <w:t>吴进</w:t>
      </w:r>
      <w:r w:rsidR="00DB6640" w:rsidRPr="003E5963">
        <w:t xml:space="preserve">. </w:t>
      </w:r>
      <w:r w:rsidR="00DB6640" w:rsidRPr="003E5963">
        <w:t>基于</w:t>
      </w:r>
      <w:r w:rsidR="00DB6640" w:rsidRPr="003E5963">
        <w:t>AHP</w:t>
      </w:r>
      <w:r w:rsidR="00DB6640" w:rsidRPr="003E5963">
        <w:t>和</w:t>
      </w:r>
      <w:r w:rsidR="00DB6640" w:rsidRPr="003E5963">
        <w:t>FMEA</w:t>
      </w:r>
      <w:r w:rsidR="00DB6640" w:rsidRPr="003E5963">
        <w:t>的测量仪器和设备型式评价方法</w:t>
      </w:r>
      <w:r w:rsidR="00DB6640" w:rsidRPr="003E5963">
        <w:t xml:space="preserve">[J]. </w:t>
      </w:r>
      <w:r w:rsidR="00DB6640" w:rsidRPr="003E5963">
        <w:t>测绘与空间地理信息</w:t>
      </w:r>
      <w:r w:rsidR="00DB6640" w:rsidRPr="003E5963">
        <w:t>, 2019, 42(11): 56-61.</w:t>
      </w:r>
    </w:p>
    <w:p w14:paraId="1F13216C" w14:textId="4C7CD3A4" w:rsidR="00277D59" w:rsidRPr="003E5963" w:rsidRDefault="003E5963" w:rsidP="003E5963">
      <w:pPr>
        <w:pStyle w:val="aff0"/>
      </w:pPr>
      <w:r w:rsidRPr="003E5963">
        <w:t>[</w:t>
      </w:r>
      <w:r w:rsidRPr="003E5963">
        <w:t>8</w:t>
      </w:r>
      <w:r w:rsidRPr="003E5963">
        <w:t>]</w:t>
      </w:r>
      <w:r w:rsidR="00DB6640" w:rsidRPr="003E5963">
        <w:t>钟红利</w:t>
      </w:r>
      <w:r w:rsidR="00DB6640" w:rsidRPr="003E5963">
        <w:t xml:space="preserve">, </w:t>
      </w:r>
      <w:r w:rsidR="00DB6640" w:rsidRPr="003E5963">
        <w:t>童国华</w:t>
      </w:r>
      <w:r w:rsidR="00DB6640" w:rsidRPr="003E5963">
        <w:t xml:space="preserve">. </w:t>
      </w:r>
      <w:r w:rsidR="00DB6640" w:rsidRPr="003E5963">
        <w:t>测量仪器和设备型式评价方法研究</w:t>
      </w:r>
      <w:r w:rsidR="00DB6640" w:rsidRPr="003E5963">
        <w:t xml:space="preserve">[J]. </w:t>
      </w:r>
      <w:r w:rsidR="00DB6640" w:rsidRPr="003E5963">
        <w:t>现代计量与测试</w:t>
      </w:r>
      <w:r w:rsidR="00DB6640" w:rsidRPr="003E5963">
        <w:t>, 2020,</w:t>
      </w:r>
      <w:r w:rsidR="00DB6640" w:rsidRPr="003E5963">
        <w:t xml:space="preserve"> 40(3): 29-32.</w:t>
      </w:r>
    </w:p>
    <w:p w14:paraId="3BF5DCF0" w14:textId="29C8B1BE" w:rsidR="00277D59" w:rsidRPr="003E5963" w:rsidRDefault="003E5963" w:rsidP="003E5963">
      <w:pPr>
        <w:pStyle w:val="aff0"/>
      </w:pPr>
      <w:r w:rsidRPr="003E5963">
        <w:t>[</w:t>
      </w:r>
      <w:r w:rsidRPr="003E5963">
        <w:t>9</w:t>
      </w:r>
      <w:r w:rsidRPr="003E5963">
        <w:t>]</w:t>
      </w:r>
      <w:r w:rsidR="00DB6640" w:rsidRPr="003E5963">
        <w:t>王杨</w:t>
      </w:r>
      <w:r w:rsidR="00DB6640" w:rsidRPr="003E5963">
        <w:t xml:space="preserve">, </w:t>
      </w:r>
      <w:proofErr w:type="gramStart"/>
      <w:r w:rsidR="00DB6640" w:rsidRPr="003E5963">
        <w:t>熊花</w:t>
      </w:r>
      <w:proofErr w:type="gramEnd"/>
      <w:r w:rsidR="00DB6640" w:rsidRPr="003E5963">
        <w:t xml:space="preserve">, </w:t>
      </w:r>
      <w:proofErr w:type="gramStart"/>
      <w:r w:rsidR="00DB6640" w:rsidRPr="003E5963">
        <w:t>赵蕾</w:t>
      </w:r>
      <w:proofErr w:type="gramEnd"/>
      <w:r w:rsidR="00DB6640" w:rsidRPr="003E5963">
        <w:t xml:space="preserve">. </w:t>
      </w:r>
      <w:r w:rsidR="00DB6640" w:rsidRPr="003E5963">
        <w:t>基于</w:t>
      </w:r>
      <w:r w:rsidR="00DB6640" w:rsidRPr="003E5963">
        <w:t>AHP</w:t>
      </w:r>
      <w:r w:rsidR="00DB6640" w:rsidRPr="003E5963">
        <w:t>和灰色关联法的测量仪器和设备型式评价方法</w:t>
      </w:r>
      <w:r w:rsidR="00DB6640" w:rsidRPr="003E5963">
        <w:t xml:space="preserve">[J]. </w:t>
      </w:r>
      <w:r w:rsidR="00DB6640" w:rsidRPr="003E5963">
        <w:t>现代测量技术</w:t>
      </w:r>
      <w:r w:rsidR="00DB6640" w:rsidRPr="003E5963">
        <w:t>, 2018, 41(5): 71-74.</w:t>
      </w:r>
    </w:p>
    <w:p w14:paraId="6229BF93" w14:textId="3B0CA5EF" w:rsidR="00277D59" w:rsidRPr="003E5963" w:rsidRDefault="003E5963" w:rsidP="003E5963">
      <w:pPr>
        <w:pStyle w:val="aff0"/>
      </w:pPr>
      <w:r w:rsidRPr="003E5963">
        <w:t>[</w:t>
      </w:r>
      <w:r w:rsidRPr="003E5963">
        <w:t>10</w:t>
      </w:r>
      <w:r w:rsidRPr="003E5963">
        <w:t>]</w:t>
      </w:r>
      <w:r w:rsidR="00DB6640" w:rsidRPr="003E5963">
        <w:t>孙松</w:t>
      </w:r>
      <w:r w:rsidR="00DB6640" w:rsidRPr="003E5963">
        <w:t xml:space="preserve">, </w:t>
      </w:r>
      <w:r w:rsidR="00DB6640" w:rsidRPr="003E5963">
        <w:t>罗</w:t>
      </w:r>
      <w:proofErr w:type="gramStart"/>
      <w:r w:rsidR="00DB6640" w:rsidRPr="003E5963">
        <w:t>浩</w:t>
      </w:r>
      <w:proofErr w:type="gramEnd"/>
      <w:r w:rsidR="00DB6640" w:rsidRPr="003E5963">
        <w:t xml:space="preserve">, </w:t>
      </w:r>
      <w:r w:rsidR="00DB6640" w:rsidRPr="003E5963">
        <w:t>王雪</w:t>
      </w:r>
      <w:r w:rsidR="00DB6640" w:rsidRPr="003E5963">
        <w:t xml:space="preserve">. </w:t>
      </w:r>
      <w:proofErr w:type="gramStart"/>
      <w:r w:rsidR="00DB6640" w:rsidRPr="003E5963">
        <w:t>基于熵权和</w:t>
      </w:r>
      <w:proofErr w:type="gramEnd"/>
      <w:r w:rsidR="00DB6640" w:rsidRPr="003E5963">
        <w:t>模糊综合评价的测量仪器和设备型式评价方法</w:t>
      </w:r>
      <w:r w:rsidR="00DB6640" w:rsidRPr="003E5963">
        <w:t xml:space="preserve">[J]. </w:t>
      </w:r>
      <w:r w:rsidR="00DB6640" w:rsidRPr="003E5963">
        <w:t>计量与测试技术</w:t>
      </w:r>
      <w:r w:rsidR="00DB6640" w:rsidRPr="003E5963">
        <w:t>, 2020, 47(2): 74-77.</w:t>
      </w:r>
    </w:p>
    <w:p w14:paraId="76A742D1" w14:textId="42FA1D5B" w:rsidR="00277D59" w:rsidRPr="003E5963" w:rsidRDefault="003E5963" w:rsidP="003E5963">
      <w:pPr>
        <w:pStyle w:val="aff0"/>
      </w:pPr>
      <w:r w:rsidRPr="003E5963">
        <w:t>[</w:t>
      </w:r>
      <w:r w:rsidRPr="003E5963">
        <w:t>11</w:t>
      </w:r>
      <w:r w:rsidRPr="003E5963">
        <w:t>]</w:t>
      </w:r>
      <w:r w:rsidR="00DB6640" w:rsidRPr="003E5963">
        <w:t>ISO/IEC 17025:2017 General requirements for the competence of testing and calibration laboratories.</w:t>
      </w:r>
    </w:p>
    <w:p w14:paraId="09BB32A8" w14:textId="0BC094EA" w:rsidR="00277D59" w:rsidRPr="003E5963" w:rsidRDefault="003E5963" w:rsidP="003E5963">
      <w:pPr>
        <w:pStyle w:val="aff0"/>
      </w:pPr>
      <w:r w:rsidRPr="003E5963">
        <w:t>[</w:t>
      </w:r>
      <w:proofErr w:type="gramStart"/>
      <w:r w:rsidRPr="003E5963">
        <w:t>12</w:t>
      </w:r>
      <w:r w:rsidRPr="003E5963">
        <w:t>]</w:t>
      </w:r>
      <w:proofErr w:type="spellStart"/>
      <w:r w:rsidR="00DB6640" w:rsidRPr="003E5963">
        <w:t>Pyzdek</w:t>
      </w:r>
      <w:proofErr w:type="spellEnd"/>
      <w:proofErr w:type="gramEnd"/>
      <w:r w:rsidR="00DB6640" w:rsidRPr="003E5963">
        <w:t>, T. (2014). The Six Sigma Handbook, Fourth Edition. McGraw-Hill Education.</w:t>
      </w:r>
    </w:p>
    <w:p w14:paraId="6D930BB4" w14:textId="5659E774" w:rsidR="00277D59" w:rsidRPr="003E5963" w:rsidRDefault="003E5963" w:rsidP="003E5963">
      <w:pPr>
        <w:pStyle w:val="aff0"/>
      </w:pPr>
      <w:r w:rsidRPr="003E5963">
        <w:t>[</w:t>
      </w:r>
      <w:proofErr w:type="gramStart"/>
      <w:r w:rsidRPr="003E5963">
        <w:t>13</w:t>
      </w:r>
      <w:r w:rsidRPr="003E5963">
        <w:t>]</w:t>
      </w:r>
      <w:proofErr w:type="spellStart"/>
      <w:r w:rsidR="00DB6640" w:rsidRPr="003E5963">
        <w:t>Moubray</w:t>
      </w:r>
      <w:proofErr w:type="spellEnd"/>
      <w:proofErr w:type="gramEnd"/>
      <w:r w:rsidR="00DB6640" w:rsidRPr="003E5963">
        <w:t>, J. (2011). Reliability-centered Maintenance, 2nd Edition. Industrial Press.</w:t>
      </w:r>
    </w:p>
    <w:p w14:paraId="3D34ECD4" w14:textId="2FFA9401" w:rsidR="00277D59" w:rsidRPr="003E5963" w:rsidRDefault="003E5963" w:rsidP="003E5963">
      <w:pPr>
        <w:pStyle w:val="aff0"/>
      </w:pPr>
      <w:r w:rsidRPr="003E5963">
        <w:t>[</w:t>
      </w:r>
      <w:proofErr w:type="gramStart"/>
      <w:r w:rsidRPr="003E5963">
        <w:t>14</w:t>
      </w:r>
      <w:r w:rsidRPr="003E5963">
        <w:t>]</w:t>
      </w:r>
      <w:r w:rsidR="00DB6640" w:rsidRPr="003E5963">
        <w:t>Keller</w:t>
      </w:r>
      <w:proofErr w:type="gramEnd"/>
      <w:r w:rsidR="00DB6640" w:rsidRPr="003E5963">
        <w:t>, P. J. (2014). Statistical Process Control, 2nd Edition. Cengage Learning.</w:t>
      </w:r>
      <w:bookmarkEnd w:id="5"/>
      <w:bookmarkEnd w:id="6"/>
    </w:p>
    <w:p w14:paraId="65C97576" w14:textId="72AD66D8" w:rsidR="003E5963" w:rsidRPr="003E5963" w:rsidRDefault="003E5963" w:rsidP="003E5963">
      <w:pPr>
        <w:pStyle w:val="aff0"/>
      </w:pPr>
      <w:r w:rsidRPr="003E5963">
        <w:fldChar w:fldCharType="begin"/>
      </w:r>
      <w:r w:rsidRPr="003E5963">
        <w:instrText xml:space="preserve"> ADDIN ZOTERO_BIBL {"uncited":[],"omitted":[],"custom":[]} CSL_BIBLIOGRAPHY </w:instrText>
      </w:r>
      <w:r w:rsidRPr="003E5963">
        <w:fldChar w:fldCharType="separate"/>
      </w:r>
      <w:bookmarkStart w:id="7" w:name="_Hlk132577447"/>
      <w:r w:rsidRPr="003E5963">
        <w:t>[15]</w:t>
      </w:r>
      <w:bookmarkEnd w:id="7"/>
      <w:r w:rsidRPr="003E5963">
        <w:tab/>
      </w:r>
      <w:proofErr w:type="gramStart"/>
      <w:r w:rsidRPr="003E5963">
        <w:t>史超星</w:t>
      </w:r>
      <w:proofErr w:type="gramEnd"/>
      <w:r w:rsidRPr="003E5963">
        <w:t xml:space="preserve">. </w:t>
      </w:r>
      <w:r w:rsidRPr="003E5963">
        <w:t>计量器具型式一致性管理问题的探讨</w:t>
      </w:r>
      <w:r w:rsidRPr="003E5963">
        <w:t xml:space="preserve">[J/OL]. </w:t>
      </w:r>
      <w:r w:rsidRPr="003E5963">
        <w:t>计量与测试技术</w:t>
      </w:r>
      <w:r w:rsidRPr="003E5963">
        <w:t>, 2019, 46(9): 99-100+104.</w:t>
      </w:r>
    </w:p>
    <w:p w14:paraId="7CAC2008" w14:textId="7D46FA01" w:rsidR="003E5963" w:rsidRPr="003E5963" w:rsidRDefault="003E5963" w:rsidP="003E5963">
      <w:pPr>
        <w:pStyle w:val="aff0"/>
      </w:pPr>
      <w:r w:rsidRPr="003E5963">
        <w:t>[16]</w:t>
      </w:r>
      <w:r w:rsidRPr="003E5963">
        <w:tab/>
      </w:r>
      <w:r w:rsidRPr="003E5963">
        <w:t>黄</w:t>
      </w:r>
      <w:r w:rsidRPr="003E5963">
        <w:t>. 2018</w:t>
      </w:r>
      <w:r w:rsidRPr="003E5963">
        <w:t>年颁布的国家计量技术法规目录</w:t>
      </w:r>
      <w:r w:rsidRPr="003E5963">
        <w:t xml:space="preserve">[J/OL]. </w:t>
      </w:r>
      <w:r w:rsidRPr="003E5963">
        <w:t>中国计量</w:t>
      </w:r>
      <w:r w:rsidRPr="003E5963">
        <w:t>, 2019(1): 132-134.</w:t>
      </w:r>
    </w:p>
    <w:p w14:paraId="7255CFE2" w14:textId="0A902784" w:rsidR="003E5963" w:rsidRPr="003E5963" w:rsidRDefault="003E5963" w:rsidP="003E5963">
      <w:pPr>
        <w:pStyle w:val="aff0"/>
      </w:pPr>
      <w:r w:rsidRPr="003E5963">
        <w:t>[17]</w:t>
      </w:r>
      <w:r w:rsidRPr="003E5963">
        <w:tab/>
      </w:r>
      <w:r w:rsidRPr="003E5963">
        <w:t>周春玲</w:t>
      </w:r>
      <w:r w:rsidRPr="003E5963">
        <w:t xml:space="preserve">. </w:t>
      </w:r>
      <w:r w:rsidRPr="003E5963">
        <w:t>计量检测仪器的计量检定管理标准研究</w:t>
      </w:r>
      <w:r w:rsidRPr="003E5963">
        <w:t xml:space="preserve">[J]. </w:t>
      </w:r>
      <w:r w:rsidRPr="003E5963">
        <w:t>大众标准化</w:t>
      </w:r>
      <w:r w:rsidRPr="003E5963">
        <w:t>, 2023(4): 13-15.</w:t>
      </w:r>
    </w:p>
    <w:p w14:paraId="6011909C" w14:textId="610DA24C" w:rsidR="003E5963" w:rsidRDefault="003E5963" w:rsidP="003E5963">
      <w:pPr>
        <w:pStyle w:val="aff0"/>
      </w:pPr>
      <w:r w:rsidRPr="003E5963">
        <w:fldChar w:fldCharType="end"/>
      </w:r>
    </w:p>
    <w:sectPr w:rsidR="003E5963" w:rsidSect="00353B42">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FB6ED" w14:textId="77777777" w:rsidR="00DB6640" w:rsidRDefault="00DB6640">
      <w:pPr>
        <w:spacing w:line="240" w:lineRule="auto"/>
        <w:ind w:firstLine="480"/>
      </w:pPr>
      <w:r>
        <w:separator/>
      </w:r>
    </w:p>
  </w:endnote>
  <w:endnote w:type="continuationSeparator" w:id="0">
    <w:p w14:paraId="15322B13" w14:textId="77777777" w:rsidR="00DB6640" w:rsidRDefault="00DB66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EF69" w14:textId="77777777" w:rsidR="008242D8" w:rsidRDefault="00DB6640">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F8A3" w14:textId="77777777" w:rsidR="008242D8" w:rsidRDefault="00DB6640">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CE23" w14:textId="77777777" w:rsidR="008242D8" w:rsidRDefault="00DB6640">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F0BE" w14:textId="77777777" w:rsidR="00DB6640" w:rsidRDefault="00DB6640">
      <w:pPr>
        <w:ind w:firstLine="480"/>
      </w:pPr>
      <w:r>
        <w:separator/>
      </w:r>
    </w:p>
  </w:footnote>
  <w:footnote w:type="continuationSeparator" w:id="0">
    <w:p w14:paraId="5DB4AFD5" w14:textId="77777777" w:rsidR="00DB6640" w:rsidRDefault="00DB66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AC0E" w14:textId="77777777" w:rsidR="008242D8" w:rsidRDefault="00DB6640">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75F6E" w14:textId="77777777" w:rsidR="008242D8" w:rsidRDefault="00DB664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BD8A" w14:textId="77777777" w:rsidR="008242D8" w:rsidRDefault="00DB664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97C4F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8AE61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D59"/>
    <w:rsid w:val="00277D59"/>
    <w:rsid w:val="003E5963"/>
    <w:rsid w:val="00B76E04"/>
    <w:rsid w:val="00DB6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E2EF"/>
  <w15:docId w15:val="{F5830688-26CE-4A12-A193-A395E176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612F0C"/>
    <w:pPr>
      <w:jc w:val="center"/>
    </w:pPr>
    <w:rPr>
      <w:rFonts w:eastAsia="仿宋"/>
      <w:sz w:val="32"/>
      <w:u w:val="single"/>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7">
    <w:name w:val="Bibliography"/>
    <w:basedOn w:val="a"/>
    <w:next w:val="a"/>
    <w:uiPriority w:val="37"/>
    <w:unhideWhenUsed/>
    <w:rsid w:val="003E5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1031</Words>
  <Characters>5880</Characters>
  <Application>Microsoft Office Word</Application>
  <DocSecurity>0</DocSecurity>
  <Lines>49</Lines>
  <Paragraphs>13</Paragraphs>
  <ScaleCrop>false</ScaleCrop>
  <Company>china</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浅谈型式评价的重要意义</dc:title>
  <dc:creator>王恺</dc:creator>
  <cp:keywords/>
  <cp:lastModifiedBy>ki kio</cp:lastModifiedBy>
  <cp:revision>3</cp:revision>
  <dcterms:created xsi:type="dcterms:W3CDTF">2023-04-16T14:41:00Z</dcterms:created>
  <dcterms:modified xsi:type="dcterms:W3CDTF">2023-04-16T14:45:00Z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测量仪器和设备的型式评价</vt:lpwstr>
  </property>
  <property fmtid="{D5CDD505-2E9C-101B-9397-08002B2CF9AE}" pid="3" name="zotero">
    <vt:lpwstr/>
  </property>
  <property fmtid="{D5CDD505-2E9C-101B-9397-08002B2CF9AE}" pid="4" name="ZOTERO_PREF_1">
    <vt:lpwstr>&lt;data data-version="3" zotero-version="6.0.23"&gt;&lt;session id="0RG8B3tF"/&gt;&lt;style id="http://www.zotero.org/styles/china-national-standard-gb-t-7714-2015-numeric" hasBibliography="1" bibliographyStyleHasBeenSet="1"/&gt;&lt;prefs&gt;&lt;pref name="fieldType" value="Field"</vt:lpwstr>
  </property>
  <property fmtid="{D5CDD505-2E9C-101B-9397-08002B2CF9AE}" pid="5" name="ZOTERO_PREF_2">
    <vt:lpwstr>/&gt;&lt;/prefs&gt;&lt;/data&gt;</vt:lpwstr>
  </property>
</Properties>
</file>