
<file path=[Content_Types].xml><?xml version=1.0 encoding=UTF-8 standalone=yes?><Types xmlns=http://schemas.openxmlformats.org/package/2006/content-types><Default Extension=rels ContentType=application/vnd.openxmlformats-package.relationships+xml/><Default Extension=xml ContentType=application/xml/><Override PartName=/word/document.xml ContentType=application/vnd.openxmlformats-officedocument.wordprocessingml.document.main+xml/></Types>
</file>

<file path=_rels/.rels><?xml version=1.0 encoding=UTF-8 standalone=yes?><Relationships xmlns=http://schemas.openxmlformats.org/package/2006/relationships><Relationship Id=rId1 Type=http://schemas.openxmlformats.org/officeDocument/2006/relationships/officeDocument Target=word/document.xml/></Relationships>
</file>

<file path=word/document.xml><?xml version=1.0 encoding=UTF-8 standalone=yes?><w:document xmlns:w=http://schemas.openxmlformats.org/wordprocessingml/2006/main><w:body><w:p><w:r><w:t>CREMS 系统开发环境搭建手册</w:t></w:r></w:p><w:p><w:r><w:t>1. 准备工作</w:t></w:r></w:p><w:p><w:r><w:t>安装 JDK 17、Maven、MySQL、Redis，并确认前端 Node.js 环境可用。</w:t></w:r></w:p><w:p><w:r><w:t>2. 后端配置</w:t></w:r></w:p><w:p><w:r><w:t>编辑 backend/crems-admin/src/main/resources/application-druid.yml，配置数据库连接信息。编辑 backend/crems-admin/src/main/resources/application.yml，确认 crems.profile、Redis、端口等配置。</w:t></w:r></w:p><w:p><w:r><w:t>3. 初始化数据库</w:t></w:r></w:p><w:p><w:r><w:t>执行 backend/sql/crems_20260417.sql、backend/sql/quartz.sql，以及 backend/sql/crems 目录下的业务初始化脚本。</w:t></w:r></w:p><w:p><w:r><w:t>4. 启动后端</w:t></w:r></w:p><w:p><w:r><w:t>在 backend 目录执行 mvn clean package 或使用 IDE 启动 com.crems.CREMSApplication。脚本方式可使用 crems.sh 或 crems.bat。</w:t></w:r></w:p><w:p><w:r><w:t>5. 启动前端</w:t></w:r></w:p><w:p><w:r><w:t>在 frontend 目录执行 npm install 后运行 npm run dev；生产构建使用 npm run build:prod。</w:t></w:r></w:p><w:p><w:r><w:t>6. 部署说明</w:t></w:r></w:p><w:p><w:r><w:t>后端产物名称、Maven 模块、Java 包名与配置前缀均已使用 CREMS/crems 命名。</w:t></w:r></w:p><w:sectPr/></w:body></w:document>
</file>