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Calibri" w:hAnsi="Calibri" w:eastAsia="微软雅黑"/>
          <w:b/>
          <w:i w:val="0"/>
          <w:color w:val="1B365D"/>
          <w:sz w:val="44"/>
        </w:rPr>
        <w:t>中国债券资产与股票资产比较研究</w:t>
      </w:r>
    </w:p>
    <w:p>
      <w:pPr>
        <w:spacing w:before="0" w:after="240" w:line="276" w:lineRule="auto"/>
        <w:jc w:val="center"/>
      </w:pPr>
      <w:r>
        <w:rPr>
          <w:rFonts w:ascii="Calibri" w:hAnsi="Calibri" w:eastAsia="微软雅黑"/>
          <w:b w:val="0"/>
          <w:i w:val="0"/>
          <w:color w:val="C4A35A"/>
          <w:sz w:val="26"/>
        </w:rPr>
        <w:t>副标题：理论框架、市场结构与大类资产配置投研范式</w:t>
      </w:r>
    </w:p>
    <w:p>
      <w:pPr>
        <w:pStyle w:val="ListBullet"/>
        <w:spacing w:before="20" w:after="60" w:line="276" w:lineRule="auto"/>
      </w:pPr>
      <w:r>
        <w:rPr>
          <w:rFonts w:ascii="Calibri" w:hAnsi="Calibri" w:eastAsia="微软雅黑"/>
          <w:b w:val="0"/>
          <w:i w:val="0"/>
          <w:color w:val="1A1A1A"/>
          <w:sz w:val="22"/>
        </w:rPr>
        <w:t>报告日期：2026年8月</w:t>
      </w:r>
    </w:p>
    <w:p>
      <w:pPr>
        <w:pStyle w:val="ListBullet"/>
        <w:spacing w:before="20" w:after="60" w:line="276" w:lineRule="auto"/>
      </w:pPr>
      <w:r>
        <w:rPr>
          <w:rFonts w:ascii="Calibri" w:hAnsi="Calibri" w:eastAsia="微软雅黑"/>
          <w:b w:val="0"/>
          <w:i w:val="0"/>
          <w:color w:val="1A1A1A"/>
          <w:sz w:val="22"/>
        </w:rPr>
        <w:t>数据截止：原则上截至2025年末；股债比价等市场报价补充至2026年8月中旬</w:t>
      </w:r>
    </w:p>
    <w:p>
      <w:pPr>
        <w:pStyle w:val="ListBullet"/>
        <w:spacing w:before="20" w:after="60" w:line="276" w:lineRule="auto"/>
      </w:pPr>
      <w:r>
        <w:rPr>
          <w:rFonts w:ascii="Calibri" w:hAnsi="Calibri" w:eastAsia="微软雅黑"/>
          <w:b w:val="0"/>
          <w:i w:val="0"/>
          <w:color w:val="1A1A1A"/>
          <w:sz w:val="22"/>
        </w:rPr>
        <w:t>分析口径说明：债券规模以人民银行“债券市场托管余额”为主，结构拆分同时使用中债登+上清所与Wind券种分类；股票规模以中国结算沪深A股总市值为准，收益比较一律使用全收益/财富指数。不同口径在文中单独标明，避免混用。</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摘要</w:t>
      </w:r>
    </w:p>
    <w:p>
      <w:pPr>
        <w:spacing w:before="40" w:after="120" w:line="293" w:lineRule="auto"/>
        <w:ind w:firstLine="420"/>
      </w:pPr>
      <w:r>
        <w:rPr>
          <w:rFonts w:ascii="Calibri" w:hAnsi="Calibri" w:eastAsia="微软雅黑"/>
          <w:b w:val="0"/>
          <w:i w:val="0"/>
          <w:color w:val="1A1A1A"/>
          <w:sz w:val="22"/>
        </w:rPr>
        <w:t>对中国从业者而言，大类资产配置的第一课不是“买什么行业”，而是先分清两件性质完全不同的权利：</w:t>
      </w:r>
      <w:r>
        <w:rPr>
          <w:rFonts w:ascii="Calibri" w:hAnsi="Calibri" w:eastAsia="微软雅黑"/>
          <w:b/>
          <w:i w:val="0"/>
          <w:color w:val="1B365D"/>
          <w:sz w:val="22"/>
        </w:rPr>
        <w:t>债券是合同现金流，股票是剩余索取权。</w:t>
      </w:r>
      <w:r>
        <w:rPr>
          <w:rFonts w:ascii="Calibri" w:hAnsi="Calibri" w:eastAsia="微软雅黑"/>
          <w:b w:val="0"/>
          <w:i w:val="0"/>
          <w:color w:val="1A1A1A"/>
          <w:sz w:val="22"/>
        </w:rPr>
        <w:t xml:space="preserve"> 前者把大部分不确定性压缩进利率、信用和流动性三个盒子；后者把增长、通胀、贴现率和风险偏好全部暴露在价格里。Markowitz、CAPM、Campbell–Viceira 和 Ilmanen 的框架，最终都是在回答同一个问题：在可承受的波动与负债约束下，这两类权利应该各占多少。</w:t>
      </w:r>
    </w:p>
    <w:p>
      <w:pPr>
        <w:spacing w:before="40" w:after="120" w:line="293" w:lineRule="auto"/>
        <w:ind w:firstLine="420"/>
      </w:pPr>
      <w:r>
        <w:rPr>
          <w:rFonts w:ascii="Calibri" w:hAnsi="Calibri" w:eastAsia="微软雅黑"/>
          <w:b w:val="0"/>
          <w:i w:val="0"/>
          <w:color w:val="1A1A1A"/>
          <w:sz w:val="22"/>
        </w:rPr>
        <w:t>中国的特殊性在于：金融体系仍是</w:t>
      </w:r>
      <w:r>
        <w:rPr>
          <w:rFonts w:ascii="Calibri" w:hAnsi="Calibri" w:eastAsia="微软雅黑"/>
          <w:b/>
          <w:i w:val="0"/>
          <w:color w:val="1B365D"/>
          <w:sz w:val="22"/>
        </w:rPr>
        <w:t>银行主导</w:t>
      </w:r>
      <w:r>
        <w:rPr>
          <w:rFonts w:ascii="Calibri" w:hAnsi="Calibri" w:eastAsia="微软雅黑"/>
          <w:b w:val="0"/>
          <w:i w:val="0"/>
          <w:color w:val="1A1A1A"/>
          <w:sz w:val="22"/>
        </w:rPr>
        <w:t xml:space="preserve">，债券市场是“政府信用 + 银行资金”搭建的，股票市场则是高换手、零售参与深、政策敏感的风险资产池。2025年末，债券市场托管余额 </w:t>
      </w:r>
      <w:r>
        <w:rPr>
          <w:rFonts w:ascii="Calibri" w:hAnsi="Calibri" w:eastAsia="微软雅黑"/>
          <w:b/>
          <w:i w:val="0"/>
          <w:color w:val="1B365D"/>
          <w:sz w:val="22"/>
        </w:rPr>
        <w:t>196.7万亿元</w:t>
      </w:r>
      <w:r>
        <w:rPr>
          <w:rFonts w:ascii="Calibri" w:hAnsi="Calibri" w:eastAsia="微软雅黑"/>
          <w:b w:val="0"/>
          <w:i w:val="0"/>
          <w:color w:val="1A1A1A"/>
          <w:sz w:val="22"/>
        </w:rPr>
        <w:t xml:space="preserve">，已超过当年GDP（140.19万亿元）；沪深A股总市值 </w:t>
      </w:r>
      <w:r>
        <w:rPr>
          <w:rFonts w:ascii="Calibri" w:hAnsi="Calibri" w:eastAsia="微软雅黑"/>
          <w:b/>
          <w:i w:val="0"/>
          <w:color w:val="1B365D"/>
          <w:sz w:val="22"/>
        </w:rPr>
        <w:t>107.84万亿元</w:t>
      </w:r>
      <w:r>
        <w:rPr>
          <w:rFonts w:ascii="Calibri" w:hAnsi="Calibri" w:eastAsia="微软雅黑"/>
          <w:b w:val="0"/>
          <w:i w:val="0"/>
          <w:color w:val="1A1A1A"/>
          <w:sz w:val="22"/>
        </w:rPr>
        <w:t xml:space="preserve">。社会融资存量中，人民币贷款占 </w:t>
      </w:r>
      <w:r>
        <w:rPr>
          <w:rFonts w:ascii="Calibri" w:hAnsi="Calibri" w:eastAsia="微软雅黑"/>
          <w:b/>
          <w:i w:val="0"/>
          <w:color w:val="1B365D"/>
          <w:sz w:val="22"/>
        </w:rPr>
        <w:t>60.7%</w:t>
      </w:r>
      <w:r>
        <w:rPr>
          <w:rFonts w:ascii="Calibri" w:hAnsi="Calibri" w:eastAsia="微软雅黑"/>
          <w:b w:val="0"/>
          <w:i w:val="0"/>
          <w:color w:val="1A1A1A"/>
          <w:sz w:val="22"/>
        </w:rPr>
        <w:t xml:space="preserve">，企业债券占 </w:t>
      </w:r>
      <w:r>
        <w:rPr>
          <w:rFonts w:ascii="Calibri" w:hAnsi="Calibri" w:eastAsia="微软雅黑"/>
          <w:b/>
          <w:i w:val="0"/>
          <w:color w:val="1B365D"/>
          <w:sz w:val="22"/>
        </w:rPr>
        <w:t>7.7%</w:t>
      </w:r>
      <w:r>
        <w:rPr>
          <w:rFonts w:ascii="Calibri" w:hAnsi="Calibri" w:eastAsia="微软雅黑"/>
          <w:b w:val="0"/>
          <w:i w:val="0"/>
          <w:color w:val="1A1A1A"/>
          <w:sz w:val="22"/>
        </w:rPr>
        <w:t xml:space="preserve">，非金融企业境内股票仅占 </w:t>
      </w:r>
      <w:r>
        <w:rPr>
          <w:rFonts w:ascii="Calibri" w:hAnsi="Calibri" w:eastAsia="微软雅黑"/>
          <w:b/>
          <w:i w:val="0"/>
          <w:color w:val="1B365D"/>
          <w:sz w:val="22"/>
        </w:rPr>
        <w:t>2.8%</w:t>
      </w:r>
      <w:r>
        <w:rPr>
          <w:rFonts w:ascii="Calibri" w:hAnsi="Calibri" w:eastAsia="微软雅黑"/>
          <w:b w:val="0"/>
          <w:i w:val="0"/>
          <w:color w:val="1A1A1A"/>
          <w:sz w:val="22"/>
        </w:rPr>
        <w:t>。规模上债市远大于股市，但居民和海外投资者讨论“中国资产”时，情绪波动几乎全部发生在股票上。</w:t>
      </w:r>
    </w:p>
    <w:p>
      <w:pPr>
        <w:spacing w:before="40" w:after="120" w:line="293" w:lineRule="auto"/>
        <w:ind w:firstLine="420"/>
      </w:pPr>
      <w:r>
        <w:rPr>
          <w:rFonts w:ascii="Calibri" w:hAnsi="Calibri" w:eastAsia="微软雅黑"/>
          <w:b w:val="0"/>
          <w:i w:val="0"/>
          <w:color w:val="1A1A1A"/>
          <w:sz w:val="22"/>
        </w:rPr>
        <w:t>长期证据与美国SBBI传统一致：</w:t>
      </w:r>
      <w:r>
        <w:rPr>
          <w:rFonts w:ascii="Calibri" w:hAnsi="Calibri" w:eastAsia="微软雅黑"/>
          <w:b/>
          <w:i w:val="0"/>
          <w:color w:val="1B365D"/>
          <w:sz w:val="22"/>
        </w:rPr>
        <w:t>股票创造财富，债券稳定组合。</w:t>
      </w:r>
      <w:r>
        <w:rPr>
          <w:rFonts w:ascii="Calibri" w:hAnsi="Calibri" w:eastAsia="微软雅黑"/>
          <w:b w:val="0"/>
          <w:i w:val="0"/>
          <w:color w:val="1A1A1A"/>
          <w:sz w:val="22"/>
        </w:rPr>
        <w:t xml:space="preserve"> 按有知有行沿Ibbotson框架整理的2005–2025年数据，A股整体年化收益 </w:t>
      </w:r>
      <w:r>
        <w:rPr>
          <w:rFonts w:ascii="Calibri" w:hAnsi="Calibri" w:eastAsia="微软雅黑"/>
          <w:b/>
          <w:i w:val="0"/>
          <w:color w:val="1B365D"/>
          <w:sz w:val="22"/>
        </w:rPr>
        <w:t>10.40%</w:t>
      </w:r>
      <w:r>
        <w:rPr>
          <w:rFonts w:ascii="Calibri" w:hAnsi="Calibri" w:eastAsia="微软雅黑"/>
          <w:b w:val="0"/>
          <w:i w:val="0"/>
          <w:color w:val="1A1A1A"/>
          <w:sz w:val="22"/>
        </w:rPr>
        <w:t xml:space="preserve">，长期国债 </w:t>
      </w:r>
      <w:r>
        <w:rPr>
          <w:rFonts w:ascii="Calibri" w:hAnsi="Calibri" w:eastAsia="微软雅黑"/>
          <w:b/>
          <w:i w:val="0"/>
          <w:color w:val="1B365D"/>
          <w:sz w:val="22"/>
        </w:rPr>
        <w:t>4.36%</w:t>
      </w:r>
      <w:r>
        <w:rPr>
          <w:rFonts w:ascii="Calibri" w:hAnsi="Calibri" w:eastAsia="微软雅黑"/>
          <w:b w:val="0"/>
          <w:i w:val="0"/>
          <w:color w:val="1A1A1A"/>
          <w:sz w:val="22"/>
        </w:rPr>
        <w:t xml:space="preserve">，短期国债 </w:t>
      </w:r>
      <w:r>
        <w:rPr>
          <w:rFonts w:ascii="Calibri" w:hAnsi="Calibri" w:eastAsia="微软雅黑"/>
          <w:b/>
          <w:i w:val="0"/>
          <w:color w:val="1B365D"/>
          <w:sz w:val="22"/>
        </w:rPr>
        <w:t>2.43%</w:t>
      </w:r>
      <w:r>
        <w:rPr>
          <w:rFonts w:ascii="Calibri" w:hAnsi="Calibri" w:eastAsia="微软雅黑"/>
          <w:b w:val="0"/>
          <w:i w:val="0"/>
          <w:color w:val="1A1A1A"/>
          <w:sz w:val="22"/>
        </w:rPr>
        <w:t xml:space="preserve">，CPI </w:t>
      </w:r>
      <w:r>
        <w:rPr>
          <w:rFonts w:ascii="Calibri" w:hAnsi="Calibri" w:eastAsia="微软雅黑"/>
          <w:b/>
          <w:i w:val="0"/>
          <w:color w:val="1B365D"/>
          <w:sz w:val="22"/>
        </w:rPr>
        <w:t>2.13%</w:t>
      </w:r>
      <w:r>
        <w:rPr>
          <w:rFonts w:ascii="Calibri" w:hAnsi="Calibri" w:eastAsia="微软雅黑"/>
          <w:b w:val="0"/>
          <w:i w:val="0"/>
          <w:color w:val="1A1A1A"/>
          <w:sz w:val="22"/>
        </w:rPr>
        <w:t xml:space="preserve">。同期A股年度收益标准差高达 </w:t>
      </w:r>
      <w:r>
        <w:rPr>
          <w:rFonts w:ascii="Calibri" w:hAnsi="Calibri" w:eastAsia="微软雅黑"/>
          <w:b/>
          <w:i w:val="0"/>
          <w:color w:val="1B365D"/>
          <w:sz w:val="22"/>
        </w:rPr>
        <w:t>54%</w:t>
      </w:r>
      <w:r>
        <w:rPr>
          <w:rFonts w:ascii="Calibri" w:hAnsi="Calibri" w:eastAsia="微软雅黑"/>
          <w:b w:val="0"/>
          <w:i w:val="0"/>
          <w:color w:val="1A1A1A"/>
          <w:sz w:val="22"/>
        </w:rPr>
        <w:t xml:space="preserve"> 量级，长期国债仅约 </w:t>
      </w:r>
      <w:r>
        <w:rPr>
          <w:rFonts w:ascii="Calibri" w:hAnsi="Calibri" w:eastAsia="微软雅黑"/>
          <w:b/>
          <w:i w:val="0"/>
          <w:color w:val="1B365D"/>
          <w:sz w:val="22"/>
        </w:rPr>
        <w:t>6%</w:t>
      </w:r>
      <w:r>
        <w:rPr>
          <w:rFonts w:ascii="Calibri" w:hAnsi="Calibri" w:eastAsia="微软雅黑"/>
          <w:b w:val="0"/>
          <w:i w:val="0"/>
          <w:color w:val="1A1A1A"/>
          <w:sz w:val="22"/>
        </w:rPr>
        <w:t>。因此，股票的贡献是风险溢价，债券的贡献是夏普效率和对冲。中国近二十年股债关系以负相关为常态，但在通胀/供给冲击和“宽货币、弱信用”阶段会转为同涨同跌或“脱敏”，对冲效率并不恒定。</w:t>
      </w:r>
    </w:p>
    <w:p>
      <w:pPr>
        <w:spacing w:before="40" w:after="120" w:line="293" w:lineRule="auto"/>
        <w:ind w:firstLine="420"/>
      </w:pPr>
      <w:r>
        <w:rPr>
          <w:rFonts w:ascii="Calibri" w:hAnsi="Calibri" w:eastAsia="微软雅黑"/>
          <w:b w:val="0"/>
          <w:i w:val="0"/>
          <w:color w:val="1A1A1A"/>
          <w:sz w:val="22"/>
        </w:rPr>
        <w:t>当前（2026年8月）的比价是：</w:t>
      </w:r>
      <w:r>
        <w:rPr>
          <w:rFonts w:ascii="Calibri" w:hAnsi="Calibri" w:eastAsia="微软雅黑"/>
          <w:b/>
          <w:i w:val="0"/>
          <w:color w:val="1B365D"/>
          <w:sz w:val="22"/>
        </w:rPr>
        <w:t>10年期国债收益率约1.7%，沪深300盈利收益率约7%，股息率约2.6%。</w:t>
      </w:r>
      <w:r>
        <w:rPr>
          <w:rFonts w:ascii="Calibri" w:hAnsi="Calibri" w:eastAsia="微软雅黑"/>
          <w:b w:val="0"/>
          <w:i w:val="0"/>
          <w:color w:val="1A1A1A"/>
          <w:sz w:val="22"/>
        </w:rPr>
        <w:t xml:space="preserve"> 用盈利收益率减国债得到的股债利差约5个百分点，股票相对债券仍便宜；但债券绝对收益已经很低，票息“安全垫”变薄，组合更依赖权益的风险预算和再平衡纪律。从业者应把工作分成三层：</w:t>
      </w:r>
      <w:r>
        <w:rPr>
          <w:rFonts w:ascii="Calibri" w:hAnsi="Calibri" w:eastAsia="微软雅黑"/>
          <w:b/>
          <w:i w:val="0"/>
          <w:color w:val="1B365D"/>
          <w:sz w:val="22"/>
        </w:rPr>
        <w:t>战略配置定中枢，战术配置定偏离，底层构建定工具。</w:t>
      </w:r>
      <w:r>
        <w:rPr>
          <w:rFonts w:ascii="Calibri" w:hAnsi="Calibri" w:eastAsia="微软雅黑"/>
          <w:b w:val="0"/>
          <w:i w:val="0"/>
          <w:color w:val="1A1A1A"/>
          <w:sz w:val="22"/>
        </w:rPr>
        <w:t xml:space="preserve"> 先写约束，再写观点。</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一、研究框架、口径与资料来源</w:t>
      </w:r>
    </w:p>
    <w:p>
      <w:pPr>
        <w:spacing w:before="240" w:after="120" w:line="276" w:lineRule="auto"/>
      </w:pPr>
      <w:r>
        <w:rPr>
          <w:rFonts w:ascii="Calibri" w:hAnsi="Calibri" w:eastAsia="微软雅黑"/>
          <w:b/>
          <w:i w:val="0"/>
          <w:color w:val="2A9D8F"/>
          <w:sz w:val="26"/>
        </w:rPr>
        <w:t>1.1 为什么股债比较是配置的主范式</w:t>
      </w:r>
    </w:p>
    <w:p>
      <w:pPr>
        <w:spacing w:before="40" w:after="120" w:line="293" w:lineRule="auto"/>
        <w:ind w:firstLine="420"/>
      </w:pPr>
      <w:r>
        <w:rPr>
          <w:rFonts w:ascii="Calibri" w:hAnsi="Calibri" w:eastAsia="微软雅黑"/>
          <w:b w:val="0"/>
          <w:i w:val="0"/>
          <w:color w:val="1A1A1A"/>
          <w:sz w:val="22"/>
        </w:rPr>
        <w:t>机构组合无论叫“固收+”“平衡型”还是“全天候”，骨架几乎都是股债。商品、黄金、REITs、私募股权是卫星；股债是行星。原因很具体：</w:t>
      </w:r>
    </w:p>
    <w:p>
      <w:pPr>
        <w:pStyle w:val="ListNumber"/>
        <w:spacing w:before="20" w:after="60" w:line="276" w:lineRule="auto"/>
      </w:pPr>
      <w:r>
        <w:rPr>
          <w:rFonts w:ascii="Calibri" w:hAnsi="Calibri" w:eastAsia="微软雅黑"/>
          <w:b/>
          <w:i w:val="0"/>
          <w:color w:val="1B365D"/>
          <w:sz w:val="22"/>
        </w:rPr>
        <w:t>规模可承载。</w:t>
      </w:r>
      <w:r>
        <w:rPr>
          <w:rFonts w:ascii="Calibri" w:hAnsi="Calibri" w:eastAsia="微软雅黑"/>
          <w:b w:val="0"/>
          <w:i w:val="0"/>
          <w:color w:val="1A1A1A"/>
          <w:sz w:val="22"/>
        </w:rPr>
        <w:t xml:space="preserve"> 中国债市近200万亿元、A股市值超100万亿元，能够吸收银行、保险、公募和养老金的主仓。</w:t>
      </w:r>
    </w:p>
    <w:p>
      <w:pPr>
        <w:pStyle w:val="ListNumber"/>
        <w:spacing w:before="20" w:after="60" w:line="276" w:lineRule="auto"/>
      </w:pPr>
      <w:r>
        <w:rPr>
          <w:rFonts w:ascii="Calibri" w:hAnsi="Calibri" w:eastAsia="微软雅黑"/>
          <w:b/>
          <w:i w:val="0"/>
          <w:color w:val="1B365D"/>
          <w:sz w:val="22"/>
        </w:rPr>
        <w:t>风险正交程度最高。</w:t>
      </w:r>
      <w:r>
        <w:rPr>
          <w:rFonts w:ascii="Calibri" w:hAnsi="Calibri" w:eastAsia="微软雅黑"/>
          <w:b w:val="0"/>
          <w:i w:val="0"/>
          <w:color w:val="1A1A1A"/>
          <w:sz w:val="22"/>
        </w:rPr>
        <w:t xml:space="preserve"> 在多数需求冲击下，股债不是完全同步的，这是分散化的主要来源。</w:t>
      </w:r>
    </w:p>
    <w:p>
      <w:pPr>
        <w:pStyle w:val="ListNumber"/>
        <w:spacing w:before="20" w:after="60" w:line="276" w:lineRule="auto"/>
      </w:pPr>
      <w:r>
        <w:rPr>
          <w:rFonts w:ascii="Calibri" w:hAnsi="Calibri" w:eastAsia="微软雅黑"/>
          <w:b/>
          <w:i w:val="0"/>
          <w:color w:val="1B365D"/>
          <w:sz w:val="22"/>
        </w:rPr>
        <w:t>工具链最完整。</w:t>
      </w:r>
      <w:r>
        <w:rPr>
          <w:rFonts w:ascii="Calibri" w:hAnsi="Calibri" w:eastAsia="微软雅黑"/>
          <w:b w:val="0"/>
          <w:i w:val="0"/>
          <w:color w:val="1A1A1A"/>
          <w:sz w:val="22"/>
        </w:rPr>
        <w:t xml:space="preserve"> 现券、国债期货、股指期货、ETF、基金、可转债，使观点可以低成本落地。</w:t>
      </w:r>
    </w:p>
    <w:p>
      <w:pPr>
        <w:pStyle w:val="ListNumber"/>
        <w:spacing w:before="20" w:after="60" w:line="276" w:lineRule="auto"/>
      </w:pPr>
      <w:r>
        <w:rPr>
          <w:rFonts w:ascii="Calibri" w:hAnsi="Calibri" w:eastAsia="微软雅黑"/>
          <w:b/>
          <w:i w:val="0"/>
          <w:color w:val="1B365D"/>
          <w:sz w:val="22"/>
        </w:rPr>
        <w:t>负债端可映射。</w:t>
      </w:r>
      <w:r>
        <w:rPr>
          <w:rFonts w:ascii="Calibri" w:hAnsi="Calibri" w:eastAsia="微软雅黑"/>
          <w:b w:val="0"/>
          <w:i w:val="0"/>
          <w:color w:val="1A1A1A"/>
          <w:sz w:val="22"/>
        </w:rPr>
        <w:t xml:space="preserve"> 保险和银行的会计、资本、流动性规则，天然按“类债 / 类股”分类资产。</w:t>
      </w:r>
    </w:p>
    <w:p>
      <w:pPr>
        <w:spacing w:before="40" w:after="120" w:line="293" w:lineRule="auto"/>
        <w:ind w:firstLine="420"/>
      </w:pPr>
      <w:r>
        <w:rPr>
          <w:rFonts w:ascii="Calibri" w:hAnsi="Calibri" w:eastAsia="微软雅黑"/>
          <w:b w:val="0"/>
          <w:i w:val="0"/>
          <w:color w:val="1A1A1A"/>
          <w:sz w:val="22"/>
        </w:rPr>
        <w:t>因此，掌握股债比较，等于掌握了中国大类资产投研大约七成的日常语言。</w:t>
      </w:r>
    </w:p>
    <w:p>
      <w:pPr>
        <w:spacing w:before="240" w:after="120" w:line="276" w:lineRule="auto"/>
      </w:pPr>
      <w:r>
        <w:rPr>
          <w:rFonts w:ascii="Calibri" w:hAnsi="Calibri" w:eastAsia="微软雅黑"/>
          <w:b/>
          <w:i w:val="0"/>
          <w:color w:val="2A9D8F"/>
          <w:sz w:val="26"/>
        </w:rPr>
        <w:t>1.2 四条比较轴</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1B365D" w:val="clear"/>
          </w:tcPr>
          <w:p>
            <w:pPr>
              <w:spacing w:before="40" w:after="40" w:line="259" w:lineRule="auto"/>
            </w:pPr>
            <w:r/>
            <w:r>
              <w:rPr>
                <w:rFonts w:ascii="Calibri" w:hAnsi="Calibri" w:eastAsia="微软雅黑"/>
                <w:b/>
                <w:i w:val="0"/>
                <w:color w:val="FFFFFF"/>
                <w:sz w:val="20"/>
              </w:rPr>
              <w:t>比较轴</w:t>
            </w:r>
          </w:p>
        </w:tc>
        <w:tc>
          <w:tcPr>
            <w:tcW w:type="dxa" w:w="2353"/>
            <w:shd w:fill="1B365D" w:val="clear"/>
          </w:tcPr>
          <w:p>
            <w:pPr>
              <w:spacing w:before="40" w:after="40" w:line="259" w:lineRule="auto"/>
            </w:pPr>
            <w:r/>
            <w:r>
              <w:rPr>
                <w:rFonts w:ascii="Calibri" w:hAnsi="Calibri" w:eastAsia="微软雅黑"/>
                <w:b/>
                <w:i w:val="0"/>
                <w:color w:val="FFFFFF"/>
                <w:sz w:val="20"/>
              </w:rPr>
              <w:t>核心问题</w:t>
            </w:r>
          </w:p>
        </w:tc>
        <w:tc>
          <w:tcPr>
            <w:tcW w:type="dxa" w:w="2353"/>
            <w:shd w:fill="1B365D" w:val="clear"/>
          </w:tcPr>
          <w:p>
            <w:pPr>
              <w:spacing w:before="40" w:after="40" w:line="259" w:lineRule="auto"/>
            </w:pPr>
            <w:r/>
            <w:r>
              <w:rPr>
                <w:rFonts w:ascii="Calibri" w:hAnsi="Calibri" w:eastAsia="微软雅黑"/>
                <w:b/>
                <w:i w:val="0"/>
                <w:color w:val="FFFFFF"/>
                <w:sz w:val="20"/>
              </w:rPr>
              <w:t>理论工具</w:t>
            </w:r>
          </w:p>
        </w:tc>
        <w:tc>
          <w:tcPr>
            <w:tcW w:type="dxa" w:w="2353"/>
            <w:shd w:fill="1B365D" w:val="clear"/>
          </w:tcPr>
          <w:p>
            <w:pPr>
              <w:spacing w:before="40" w:after="40" w:line="259" w:lineRule="auto"/>
            </w:pPr>
            <w:r/>
            <w:r>
              <w:rPr>
                <w:rFonts w:ascii="Calibri" w:hAnsi="Calibri" w:eastAsia="微软雅黑"/>
                <w:b/>
                <w:i w:val="0"/>
                <w:color w:val="FFFFFF"/>
                <w:sz w:val="20"/>
              </w:rPr>
              <w:t>中国场景里要额外问什么</w:t>
            </w:r>
          </w:p>
        </w:tc>
      </w:tr>
      <w:tr>
        <w:tc>
          <w:tcPr>
            <w:tcW w:type="dxa" w:w="2353"/>
            <w:shd w:fill="FFFFFF" w:val="clear"/>
          </w:tcPr>
          <w:p>
            <w:pPr>
              <w:spacing w:before="40" w:after="40" w:line="259" w:lineRule="auto"/>
            </w:pPr>
            <w:r/>
            <w:r>
              <w:rPr>
                <w:rFonts w:ascii="Calibri" w:hAnsi="Calibri" w:eastAsia="微软雅黑"/>
                <w:b w:val="0"/>
                <w:i w:val="0"/>
                <w:color w:val="1A1A1A"/>
                <w:sz w:val="20"/>
              </w:rPr>
              <w:t>权利与定价</w:t>
            </w:r>
          </w:p>
        </w:tc>
        <w:tc>
          <w:tcPr>
            <w:tcW w:type="dxa" w:w="2353"/>
            <w:shd w:fill="FFFFFF" w:val="clear"/>
          </w:tcPr>
          <w:p>
            <w:pPr>
              <w:spacing w:before="40" w:after="40" w:line="259" w:lineRule="auto"/>
            </w:pPr>
            <w:r/>
            <w:r>
              <w:rPr>
                <w:rFonts w:ascii="Calibri" w:hAnsi="Calibri" w:eastAsia="微软雅黑"/>
                <w:b w:val="0"/>
                <w:i w:val="0"/>
                <w:color w:val="1A1A1A"/>
                <w:sz w:val="20"/>
              </w:rPr>
              <w:t>投资者到底买到了什么现金流</w:t>
            </w:r>
          </w:p>
        </w:tc>
        <w:tc>
          <w:tcPr>
            <w:tcW w:type="dxa" w:w="2353"/>
            <w:shd w:fill="FFFFFF" w:val="clear"/>
          </w:tcPr>
          <w:p>
            <w:pPr>
              <w:spacing w:before="40" w:after="40" w:line="259" w:lineRule="auto"/>
            </w:pPr>
            <w:r/>
            <w:r>
              <w:rPr>
                <w:rFonts w:ascii="Calibri" w:hAnsi="Calibri" w:eastAsia="微软雅黑"/>
                <w:b w:val="0"/>
                <w:i w:val="0"/>
                <w:color w:val="1A1A1A"/>
                <w:sz w:val="20"/>
              </w:rPr>
              <w:t>折现、久期、Gordon、剩余索取权</w:t>
            </w:r>
          </w:p>
        </w:tc>
        <w:tc>
          <w:tcPr>
            <w:tcW w:type="dxa" w:w="2353"/>
            <w:shd w:fill="FFFFFF" w:val="clear"/>
          </w:tcPr>
          <w:p>
            <w:pPr>
              <w:spacing w:before="40" w:after="40" w:line="259" w:lineRule="auto"/>
            </w:pPr>
            <w:r/>
            <w:r>
              <w:rPr>
                <w:rFonts w:ascii="Calibri" w:hAnsi="Calibri" w:eastAsia="微软雅黑"/>
                <w:b w:val="0"/>
                <w:i w:val="0"/>
                <w:color w:val="1A1A1A"/>
                <w:sz w:val="20"/>
              </w:rPr>
              <w:t>刚兑预期、城投、政策市如何改写契约</w:t>
            </w:r>
          </w:p>
        </w:tc>
      </w:tr>
      <w:tr>
        <w:tc>
          <w:tcPr>
            <w:tcW w:type="dxa" w:w="2353"/>
            <w:shd w:fill="F4F1EC" w:val="clear"/>
          </w:tcPr>
          <w:p>
            <w:pPr>
              <w:spacing w:before="40" w:after="40" w:line="259" w:lineRule="auto"/>
            </w:pPr>
            <w:r/>
            <w:r>
              <w:rPr>
                <w:rFonts w:ascii="Calibri" w:hAnsi="Calibri" w:eastAsia="微软雅黑"/>
                <w:b w:val="0"/>
                <w:i w:val="0"/>
                <w:color w:val="1A1A1A"/>
                <w:sz w:val="20"/>
              </w:rPr>
              <w:t>市场结构</w:t>
            </w:r>
          </w:p>
        </w:tc>
        <w:tc>
          <w:tcPr>
            <w:tcW w:type="dxa" w:w="2353"/>
            <w:shd w:fill="F4F1EC" w:val="clear"/>
          </w:tcPr>
          <w:p>
            <w:pPr>
              <w:spacing w:before="40" w:after="40" w:line="259" w:lineRule="auto"/>
            </w:pPr>
            <w:r/>
            <w:r>
              <w:rPr>
                <w:rFonts w:ascii="Calibri" w:hAnsi="Calibri" w:eastAsia="微软雅黑"/>
                <w:b w:val="0"/>
                <w:i w:val="0"/>
                <w:color w:val="1A1A1A"/>
                <w:sz w:val="20"/>
              </w:rPr>
              <w:t>谁发行、谁持有、如何交易</w:t>
            </w:r>
          </w:p>
        </w:tc>
        <w:tc>
          <w:tcPr>
            <w:tcW w:type="dxa" w:w="2353"/>
            <w:shd w:fill="F4F1EC" w:val="clear"/>
          </w:tcPr>
          <w:p>
            <w:pPr>
              <w:spacing w:before="40" w:after="40" w:line="259" w:lineRule="auto"/>
            </w:pPr>
            <w:r/>
            <w:r>
              <w:rPr>
                <w:rFonts w:ascii="Calibri" w:hAnsi="Calibri" w:eastAsia="微软雅黑"/>
                <w:b w:val="0"/>
                <w:i w:val="0"/>
                <w:color w:val="1A1A1A"/>
                <w:sz w:val="20"/>
              </w:rPr>
              <w:t>金融结构理论（银行主导 vs 市场主导）</w:t>
            </w:r>
          </w:p>
        </w:tc>
        <w:tc>
          <w:tcPr>
            <w:tcW w:type="dxa" w:w="2353"/>
            <w:shd w:fill="F4F1EC" w:val="clear"/>
          </w:tcPr>
          <w:p>
            <w:pPr>
              <w:spacing w:before="40" w:after="40" w:line="259" w:lineRule="auto"/>
            </w:pPr>
            <w:r/>
            <w:r>
              <w:rPr>
                <w:rFonts w:ascii="Calibri" w:hAnsi="Calibri" w:eastAsia="微软雅黑"/>
                <w:b w:val="0"/>
                <w:i w:val="0"/>
                <w:color w:val="1A1A1A"/>
                <w:sz w:val="20"/>
              </w:rPr>
              <w:t>银行配置盘、零售交易盘、房地产第三极</w:t>
            </w:r>
          </w:p>
        </w:tc>
      </w:tr>
      <w:tr>
        <w:tc>
          <w:tcPr>
            <w:tcW w:type="dxa" w:w="2353"/>
            <w:shd w:fill="FFFFFF" w:val="clear"/>
          </w:tcPr>
          <w:p>
            <w:pPr>
              <w:spacing w:before="40" w:after="40" w:line="259" w:lineRule="auto"/>
            </w:pPr>
            <w:r/>
            <w:r>
              <w:rPr>
                <w:rFonts w:ascii="Calibri" w:hAnsi="Calibri" w:eastAsia="微软雅黑"/>
                <w:b w:val="0"/>
                <w:i w:val="0"/>
                <w:color w:val="1A1A1A"/>
                <w:sz w:val="20"/>
              </w:rPr>
              <w:t>风险收益</w:t>
            </w:r>
          </w:p>
        </w:tc>
        <w:tc>
          <w:tcPr>
            <w:tcW w:type="dxa" w:w="2353"/>
            <w:shd w:fill="FFFFFF" w:val="clear"/>
          </w:tcPr>
          <w:p>
            <w:pPr>
              <w:spacing w:before="40" w:after="40" w:line="259" w:lineRule="auto"/>
            </w:pPr>
            <w:r/>
            <w:r>
              <w:rPr>
                <w:rFonts w:ascii="Calibri" w:hAnsi="Calibri" w:eastAsia="微软雅黑"/>
                <w:b w:val="0"/>
                <w:i w:val="0"/>
                <w:color w:val="1A1A1A"/>
                <w:sz w:val="20"/>
              </w:rPr>
              <w:t>长期溢价是否补偿了波动和回撤</w:t>
            </w:r>
          </w:p>
        </w:tc>
        <w:tc>
          <w:tcPr>
            <w:tcW w:type="dxa" w:w="2353"/>
            <w:shd w:fill="FFFFFF" w:val="clear"/>
          </w:tcPr>
          <w:p>
            <w:pPr>
              <w:spacing w:before="40" w:after="40" w:line="259" w:lineRule="auto"/>
            </w:pPr>
            <w:r/>
            <w:r>
              <w:rPr>
                <w:rFonts w:ascii="Calibri" w:hAnsi="Calibri" w:eastAsia="微软雅黑"/>
                <w:b w:val="0"/>
                <w:i w:val="0"/>
                <w:color w:val="1A1A1A"/>
                <w:sz w:val="20"/>
              </w:rPr>
              <w:t>SBBI、夏普、最大回撤、几何收益</w:t>
            </w:r>
          </w:p>
        </w:tc>
        <w:tc>
          <w:tcPr>
            <w:tcW w:type="dxa" w:w="2353"/>
            <w:shd w:fill="FFFFFF" w:val="clear"/>
          </w:tcPr>
          <w:p>
            <w:pPr>
              <w:spacing w:before="40" w:after="40" w:line="259" w:lineRule="auto"/>
            </w:pPr>
            <w:r/>
            <w:r>
              <w:rPr>
                <w:rFonts w:ascii="Calibri" w:hAnsi="Calibri" w:eastAsia="微软雅黑"/>
                <w:b w:val="0"/>
                <w:i w:val="0"/>
                <w:color w:val="1A1A1A"/>
                <w:sz w:val="20"/>
              </w:rPr>
              <w:t>A股超高波动是否削弱了溢价的可收获性</w:t>
            </w:r>
          </w:p>
        </w:tc>
      </w:tr>
      <w:tr>
        <w:tc>
          <w:tcPr>
            <w:tcW w:type="dxa" w:w="2353"/>
            <w:shd w:fill="F4F1EC" w:val="clear"/>
          </w:tcPr>
          <w:p>
            <w:pPr>
              <w:spacing w:before="40" w:after="40" w:line="259" w:lineRule="auto"/>
            </w:pPr>
            <w:r/>
            <w:r>
              <w:rPr>
                <w:rFonts w:ascii="Calibri" w:hAnsi="Calibri" w:eastAsia="微软雅黑"/>
                <w:b w:val="0"/>
                <w:i w:val="0"/>
                <w:color w:val="1A1A1A"/>
                <w:sz w:val="20"/>
              </w:rPr>
              <w:t>相关与轮动</w:t>
            </w:r>
          </w:p>
        </w:tc>
        <w:tc>
          <w:tcPr>
            <w:tcW w:type="dxa" w:w="2353"/>
            <w:shd w:fill="F4F1EC" w:val="clear"/>
          </w:tcPr>
          <w:p>
            <w:pPr>
              <w:spacing w:before="40" w:after="40" w:line="259" w:lineRule="auto"/>
            </w:pPr>
            <w:r/>
            <w:r>
              <w:rPr>
                <w:rFonts w:ascii="Calibri" w:hAnsi="Calibri" w:eastAsia="微软雅黑"/>
                <w:b w:val="0"/>
                <w:i w:val="0"/>
                <w:color w:val="1A1A1A"/>
                <w:sz w:val="20"/>
              </w:rPr>
              <w:t>何时对冲、何时双杀、如何择时</w:t>
            </w:r>
          </w:p>
        </w:tc>
        <w:tc>
          <w:tcPr>
            <w:tcW w:type="dxa" w:w="2353"/>
            <w:shd w:fill="F4F1EC" w:val="clear"/>
          </w:tcPr>
          <w:p>
            <w:pPr>
              <w:spacing w:before="40" w:after="40" w:line="259" w:lineRule="auto"/>
            </w:pPr>
            <w:r/>
            <w:r>
              <w:rPr>
                <w:rFonts w:ascii="Calibri" w:hAnsi="Calibri" w:eastAsia="微软雅黑"/>
                <w:b w:val="0"/>
                <w:i w:val="0"/>
                <w:color w:val="1A1A1A"/>
                <w:sz w:val="20"/>
              </w:rPr>
              <w:t>Campbell–Ammer、美林时钟、ERP</w:t>
            </w:r>
          </w:p>
        </w:tc>
        <w:tc>
          <w:tcPr>
            <w:tcW w:type="dxa" w:w="2353"/>
            <w:shd w:fill="F4F1EC" w:val="clear"/>
          </w:tcPr>
          <w:p>
            <w:pPr>
              <w:spacing w:before="40" w:after="40" w:line="259" w:lineRule="auto"/>
            </w:pPr>
            <w:r/>
            <w:r>
              <w:rPr>
                <w:rFonts w:ascii="Calibri" w:hAnsi="Calibri" w:eastAsia="微软雅黑"/>
                <w:b w:val="0"/>
                <w:i w:val="0"/>
                <w:color w:val="1A1A1A"/>
                <w:sz w:val="20"/>
              </w:rPr>
              <w:t>货币—信用框架、股债性价比、低利率约束</w:t>
            </w:r>
          </w:p>
        </w:tc>
      </w:tr>
    </w:tbl>
    <w:p/>
    <w:p>
      <w:pPr>
        <w:spacing w:before="240" w:after="120" w:line="276" w:lineRule="auto"/>
      </w:pPr>
      <w:r>
        <w:rPr>
          <w:rFonts w:ascii="Calibri" w:hAnsi="Calibri" w:eastAsia="微软雅黑"/>
          <w:b/>
          <w:i w:val="0"/>
          <w:color w:val="2A9D8F"/>
          <w:sz w:val="26"/>
        </w:rPr>
        <w:t>1.3 必须分开的统计口径</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1B365D" w:val="clear"/>
          </w:tcPr>
          <w:p>
            <w:pPr>
              <w:spacing w:before="40" w:after="40" w:line="259" w:lineRule="auto"/>
            </w:pPr>
            <w:r/>
            <w:r>
              <w:rPr>
                <w:rFonts w:ascii="Calibri" w:hAnsi="Calibri" w:eastAsia="微软雅黑"/>
                <w:b/>
                <w:i w:val="0"/>
                <w:color w:val="FFFFFF"/>
                <w:sz w:val="20"/>
              </w:rPr>
              <w:t>对象</w:t>
            </w:r>
          </w:p>
        </w:tc>
        <w:tc>
          <w:tcPr>
            <w:tcW w:type="dxa" w:w="3137"/>
            <w:shd w:fill="1B365D" w:val="clear"/>
          </w:tcPr>
          <w:p>
            <w:pPr>
              <w:spacing w:before="40" w:after="40" w:line="259" w:lineRule="auto"/>
            </w:pPr>
            <w:r/>
            <w:r>
              <w:rPr>
                <w:rFonts w:ascii="Calibri" w:hAnsi="Calibri" w:eastAsia="微软雅黑"/>
                <w:b/>
                <w:i w:val="0"/>
                <w:color w:val="FFFFFF"/>
                <w:sz w:val="20"/>
              </w:rPr>
              <w:t>推荐口径</w:t>
            </w:r>
          </w:p>
        </w:tc>
        <w:tc>
          <w:tcPr>
            <w:tcW w:type="dxa" w:w="3137"/>
            <w:shd w:fill="1B365D" w:val="clear"/>
          </w:tcPr>
          <w:p>
            <w:pPr>
              <w:spacing w:before="40" w:after="40" w:line="259" w:lineRule="auto"/>
            </w:pPr>
            <w:r/>
            <w:r>
              <w:rPr>
                <w:rFonts w:ascii="Calibri" w:hAnsi="Calibri" w:eastAsia="微软雅黑"/>
                <w:b/>
                <w:i w:val="0"/>
                <w:color w:val="FFFFFF"/>
                <w:sz w:val="20"/>
              </w:rPr>
              <w:t>不要与之直接相加或对标的口径</w:t>
            </w:r>
          </w:p>
        </w:tc>
      </w:tr>
      <w:tr>
        <w:tc>
          <w:tcPr>
            <w:tcW w:type="dxa" w:w="3137"/>
            <w:shd w:fill="FFFFFF" w:val="clear"/>
          </w:tcPr>
          <w:p>
            <w:pPr>
              <w:spacing w:before="40" w:after="40" w:line="259" w:lineRule="auto"/>
            </w:pPr>
            <w:r/>
            <w:r>
              <w:rPr>
                <w:rFonts w:ascii="Calibri" w:hAnsi="Calibri" w:eastAsia="微软雅黑"/>
                <w:b w:val="0"/>
                <w:i w:val="0"/>
                <w:color w:val="1A1A1A"/>
                <w:sz w:val="20"/>
              </w:rPr>
              <w:t>债券市场规模</w:t>
            </w:r>
          </w:p>
        </w:tc>
        <w:tc>
          <w:tcPr>
            <w:tcW w:type="dxa" w:w="3137"/>
            <w:shd w:fill="FFFFFF" w:val="clear"/>
          </w:tcPr>
          <w:p>
            <w:pPr>
              <w:spacing w:before="40" w:after="40" w:line="259" w:lineRule="auto"/>
            </w:pPr>
            <w:r/>
            <w:r>
              <w:rPr>
                <w:rFonts w:ascii="Calibri" w:hAnsi="Calibri" w:eastAsia="微软雅黑"/>
                <w:b w:val="0"/>
                <w:i w:val="0"/>
                <w:color w:val="1A1A1A"/>
                <w:sz w:val="20"/>
              </w:rPr>
              <w:t>人民银行债券市场托管余额（银行间+交易所）</w:t>
            </w:r>
          </w:p>
        </w:tc>
        <w:tc>
          <w:tcPr>
            <w:tcW w:type="dxa" w:w="3137"/>
            <w:shd w:fill="FFFFFF" w:val="clear"/>
          </w:tcPr>
          <w:p>
            <w:pPr>
              <w:spacing w:before="40" w:after="40" w:line="259" w:lineRule="auto"/>
            </w:pPr>
            <w:r/>
            <w:r>
              <w:rPr>
                <w:rFonts w:ascii="Calibri" w:hAnsi="Calibri" w:eastAsia="微软雅黑"/>
                <w:b w:val="0"/>
                <w:i w:val="0"/>
                <w:color w:val="1A1A1A"/>
                <w:sz w:val="20"/>
              </w:rPr>
              <w:t>仅中债登、仅上清所、仅交易所；社融中的“企业债券+政府债券”（不含金融债、同业存单等）</w:t>
            </w:r>
          </w:p>
        </w:tc>
      </w:tr>
      <w:tr>
        <w:tc>
          <w:tcPr>
            <w:tcW w:type="dxa" w:w="3137"/>
            <w:shd w:fill="F4F1EC" w:val="clear"/>
          </w:tcPr>
          <w:p>
            <w:pPr>
              <w:spacing w:before="40" w:after="40" w:line="259" w:lineRule="auto"/>
            </w:pPr>
            <w:r/>
            <w:r>
              <w:rPr>
                <w:rFonts w:ascii="Calibri" w:hAnsi="Calibri" w:eastAsia="微软雅黑"/>
                <w:b w:val="0"/>
                <w:i w:val="0"/>
                <w:color w:val="1A1A1A"/>
                <w:sz w:val="20"/>
              </w:rPr>
              <w:t>股票市场规模</w:t>
            </w:r>
          </w:p>
        </w:tc>
        <w:tc>
          <w:tcPr>
            <w:tcW w:type="dxa" w:w="3137"/>
            <w:shd w:fill="F4F1EC" w:val="clear"/>
          </w:tcPr>
          <w:p>
            <w:pPr>
              <w:spacing w:before="40" w:after="40" w:line="259" w:lineRule="auto"/>
            </w:pPr>
            <w:r/>
            <w:r>
              <w:rPr>
                <w:rFonts w:ascii="Calibri" w:hAnsi="Calibri" w:eastAsia="微软雅黑"/>
                <w:b w:val="0"/>
                <w:i w:val="0"/>
                <w:color w:val="1A1A1A"/>
                <w:sz w:val="20"/>
              </w:rPr>
              <w:t>中国结算沪深A股总市值</w:t>
            </w:r>
          </w:p>
        </w:tc>
        <w:tc>
          <w:tcPr>
            <w:tcW w:type="dxa" w:w="3137"/>
            <w:shd w:fill="F4F1EC" w:val="clear"/>
          </w:tcPr>
          <w:p>
            <w:pPr>
              <w:spacing w:before="40" w:after="40" w:line="259" w:lineRule="auto"/>
            </w:pPr>
            <w:r/>
            <w:r>
              <w:rPr>
                <w:rFonts w:ascii="Calibri" w:hAnsi="Calibri" w:eastAsia="微软雅黑"/>
                <w:b w:val="0"/>
                <w:i w:val="0"/>
                <w:color w:val="1A1A1A"/>
                <w:sz w:val="20"/>
              </w:rPr>
              <w:t>含B股、北交所、新三板的“证券总市值”；自由流通市值；陆股通持股</w:t>
            </w:r>
          </w:p>
        </w:tc>
      </w:tr>
      <w:tr>
        <w:tc>
          <w:tcPr>
            <w:tcW w:type="dxa" w:w="3137"/>
            <w:shd w:fill="FFFFFF" w:val="clear"/>
          </w:tcPr>
          <w:p>
            <w:pPr>
              <w:spacing w:before="40" w:after="40" w:line="259" w:lineRule="auto"/>
            </w:pPr>
            <w:r/>
            <w:r>
              <w:rPr>
                <w:rFonts w:ascii="Calibri" w:hAnsi="Calibri" w:eastAsia="微软雅黑"/>
                <w:b w:val="0"/>
                <w:i w:val="0"/>
                <w:color w:val="1A1A1A"/>
                <w:sz w:val="20"/>
              </w:rPr>
              <w:t>股票投资收益</w:t>
            </w:r>
          </w:p>
        </w:tc>
        <w:tc>
          <w:tcPr>
            <w:tcW w:type="dxa" w:w="3137"/>
            <w:shd w:fill="FFFFFF" w:val="clear"/>
          </w:tcPr>
          <w:p>
            <w:pPr>
              <w:spacing w:before="40" w:after="40" w:line="259" w:lineRule="auto"/>
            </w:pPr>
            <w:r/>
            <w:r>
              <w:rPr>
                <w:rFonts w:ascii="Calibri" w:hAnsi="Calibri" w:eastAsia="微软雅黑"/>
                <w:b w:val="0"/>
                <w:i w:val="0"/>
                <w:color w:val="1A1A1A"/>
                <w:sz w:val="20"/>
              </w:rPr>
              <w:t>全收益指数（分红再投资）</w:t>
            </w:r>
          </w:p>
        </w:tc>
        <w:tc>
          <w:tcPr>
            <w:tcW w:type="dxa" w:w="3137"/>
            <w:shd w:fill="FFFFFF" w:val="clear"/>
          </w:tcPr>
          <w:p>
            <w:pPr>
              <w:spacing w:before="40" w:after="40" w:line="259" w:lineRule="auto"/>
            </w:pPr>
            <w:r/>
            <w:r>
              <w:rPr>
                <w:rFonts w:ascii="Calibri" w:hAnsi="Calibri" w:eastAsia="微软雅黑"/>
                <w:b w:val="0"/>
                <w:i w:val="0"/>
                <w:color w:val="1A1A1A"/>
                <w:sz w:val="20"/>
              </w:rPr>
              <w:t>价格指数；上证综指（结构偏差大）</w:t>
            </w:r>
          </w:p>
        </w:tc>
      </w:tr>
      <w:tr>
        <w:tc>
          <w:tcPr>
            <w:tcW w:type="dxa" w:w="3137"/>
            <w:shd w:fill="F4F1EC" w:val="clear"/>
          </w:tcPr>
          <w:p>
            <w:pPr>
              <w:spacing w:before="40" w:after="40" w:line="259" w:lineRule="auto"/>
            </w:pPr>
            <w:r/>
            <w:r>
              <w:rPr>
                <w:rFonts w:ascii="Calibri" w:hAnsi="Calibri" w:eastAsia="微软雅黑"/>
                <w:b w:val="0"/>
                <w:i w:val="0"/>
                <w:color w:val="1A1A1A"/>
                <w:sz w:val="20"/>
              </w:rPr>
              <w:t>债券投资收益</w:t>
            </w:r>
          </w:p>
        </w:tc>
        <w:tc>
          <w:tcPr>
            <w:tcW w:type="dxa" w:w="3137"/>
            <w:shd w:fill="F4F1EC" w:val="clear"/>
          </w:tcPr>
          <w:p>
            <w:pPr>
              <w:spacing w:before="40" w:after="40" w:line="259" w:lineRule="auto"/>
            </w:pPr>
            <w:r/>
            <w:r>
              <w:rPr>
                <w:rFonts w:ascii="Calibri" w:hAnsi="Calibri" w:eastAsia="微软雅黑"/>
                <w:b w:val="0"/>
                <w:i w:val="0"/>
                <w:color w:val="1A1A1A"/>
                <w:sz w:val="20"/>
              </w:rPr>
              <w:t>中债财富指数（纳入利息再投资）</w:t>
            </w:r>
          </w:p>
        </w:tc>
        <w:tc>
          <w:tcPr>
            <w:tcW w:type="dxa" w:w="3137"/>
            <w:shd w:fill="F4F1EC" w:val="clear"/>
          </w:tcPr>
          <w:p>
            <w:pPr>
              <w:spacing w:before="40" w:after="40" w:line="259" w:lineRule="auto"/>
            </w:pPr>
            <w:r/>
            <w:r>
              <w:rPr>
                <w:rFonts w:ascii="Calibri" w:hAnsi="Calibri" w:eastAsia="微软雅黑"/>
                <w:b w:val="0"/>
                <w:i w:val="0"/>
                <w:color w:val="1A1A1A"/>
                <w:sz w:val="20"/>
              </w:rPr>
              <w:t>净价指数；到期收益率本身（YTM不是持有期收益）</w:t>
            </w:r>
          </w:p>
        </w:tc>
      </w:tr>
      <w:tr>
        <w:tc>
          <w:tcPr>
            <w:tcW w:type="dxa" w:w="3137"/>
            <w:shd w:fill="FFFFFF" w:val="clear"/>
          </w:tcPr>
          <w:p>
            <w:pPr>
              <w:spacing w:before="40" w:after="40" w:line="259" w:lineRule="auto"/>
            </w:pPr>
            <w:r/>
            <w:r>
              <w:rPr>
                <w:rFonts w:ascii="Calibri" w:hAnsi="Calibri" w:eastAsia="微软雅黑"/>
                <w:b w:val="0"/>
                <w:i w:val="0"/>
                <w:color w:val="1A1A1A"/>
                <w:sz w:val="20"/>
              </w:rPr>
              <w:t>股权融资功能</w:t>
            </w:r>
          </w:p>
        </w:tc>
        <w:tc>
          <w:tcPr>
            <w:tcW w:type="dxa" w:w="3137"/>
            <w:shd w:fill="FFFFFF" w:val="clear"/>
          </w:tcPr>
          <w:p>
            <w:pPr>
              <w:spacing w:before="40" w:after="40" w:line="259" w:lineRule="auto"/>
            </w:pPr>
            <w:r/>
            <w:r>
              <w:rPr>
                <w:rFonts w:ascii="Calibri" w:hAnsi="Calibri" w:eastAsia="微软雅黑"/>
                <w:b w:val="0"/>
                <w:i w:val="0"/>
                <w:color w:val="1A1A1A"/>
                <w:sz w:val="20"/>
              </w:rPr>
              <w:t>社融中“非金融企业境内股票”存量/增量</w:t>
            </w:r>
          </w:p>
        </w:tc>
        <w:tc>
          <w:tcPr>
            <w:tcW w:type="dxa" w:w="3137"/>
            <w:shd w:fill="FFFFFF" w:val="clear"/>
          </w:tcPr>
          <w:p>
            <w:pPr>
              <w:spacing w:before="40" w:after="40" w:line="259" w:lineRule="auto"/>
            </w:pPr>
            <w:r/>
            <w:r>
              <w:rPr>
                <w:rFonts w:ascii="Calibri" w:hAnsi="Calibri" w:eastAsia="微软雅黑"/>
                <w:b w:val="0"/>
                <w:i w:val="0"/>
                <w:color w:val="1A1A1A"/>
                <w:sz w:val="20"/>
              </w:rPr>
              <w:t>A股总市值（市值是存量定价，不是当年融资金额）</w:t>
            </w:r>
          </w:p>
        </w:tc>
      </w:tr>
      <w:tr>
        <w:tc>
          <w:tcPr>
            <w:tcW w:type="dxa" w:w="3137"/>
            <w:shd w:fill="F4F1EC" w:val="clear"/>
          </w:tcPr>
          <w:p>
            <w:pPr>
              <w:spacing w:before="40" w:after="40" w:line="259" w:lineRule="auto"/>
            </w:pPr>
            <w:r/>
            <w:r>
              <w:rPr>
                <w:rFonts w:ascii="Calibri" w:hAnsi="Calibri" w:eastAsia="微软雅黑"/>
                <w:b w:val="0"/>
                <w:i w:val="0"/>
                <w:color w:val="1A1A1A"/>
                <w:sz w:val="20"/>
              </w:rPr>
              <w:t>波动率</w:t>
            </w:r>
          </w:p>
        </w:tc>
        <w:tc>
          <w:tcPr>
            <w:tcW w:type="dxa" w:w="3137"/>
            <w:shd w:fill="F4F1EC" w:val="clear"/>
          </w:tcPr>
          <w:p>
            <w:pPr>
              <w:spacing w:before="40" w:after="40" w:line="259" w:lineRule="auto"/>
            </w:pPr>
            <w:r/>
            <w:r>
              <w:rPr>
                <w:rFonts w:ascii="Calibri" w:hAnsi="Calibri" w:eastAsia="微软雅黑"/>
                <w:b w:val="0"/>
                <w:i w:val="0"/>
                <w:color w:val="1A1A1A"/>
                <w:sz w:val="20"/>
              </w:rPr>
              <w:t>必须声明是年度收益标准差，还是日/月收益年化</w:t>
            </w:r>
          </w:p>
        </w:tc>
        <w:tc>
          <w:tcPr>
            <w:tcW w:type="dxa" w:w="3137"/>
            <w:shd w:fill="F4F1EC" w:val="clear"/>
          </w:tcPr>
          <w:p>
            <w:pPr>
              <w:spacing w:before="40" w:after="40" w:line="259" w:lineRule="auto"/>
            </w:pPr>
            <w:r/>
            <w:r>
              <w:rPr>
                <w:rFonts w:ascii="Calibri" w:hAnsi="Calibri" w:eastAsia="微软雅黑"/>
                <w:b w:val="0"/>
                <w:i w:val="0"/>
                <w:color w:val="1A1A1A"/>
                <w:sz w:val="20"/>
              </w:rPr>
              <w:t>把SBBI的~50%与卖方常用沪深300日度年化~20%直接比较</w:t>
            </w:r>
          </w:p>
        </w:tc>
      </w:tr>
    </w:tbl>
    <w:p/>
    <w:p>
      <w:pPr>
        <w:spacing w:before="240" w:after="120" w:line="276" w:lineRule="auto"/>
      </w:pPr>
      <w:r>
        <w:rPr>
          <w:rFonts w:ascii="Calibri" w:hAnsi="Calibri" w:eastAsia="微软雅黑"/>
          <w:b/>
          <w:i w:val="0"/>
          <w:color w:val="2A9D8F"/>
          <w:sz w:val="26"/>
        </w:rPr>
        <w:t>1.4 资料来源原则</w:t>
      </w:r>
    </w:p>
    <w:p>
      <w:pPr>
        <w:spacing w:before="40" w:after="120" w:line="293" w:lineRule="auto"/>
        <w:ind w:firstLine="420"/>
      </w:pPr>
      <w:r>
        <w:rPr>
          <w:rFonts w:ascii="Calibri" w:hAnsi="Calibri" w:eastAsia="微软雅黑"/>
          <w:b w:val="0"/>
          <w:i w:val="0"/>
          <w:color w:val="1A1A1A"/>
          <w:sz w:val="22"/>
        </w:rPr>
        <w:t>优先使用：中国人民银行、中国结算、国家统计局、金融监管总局、中债登/上清所；国际组织与经典文献（BIS、World Bank、Markowitz、Sharpe、Campbell、Ilmanen、Ibbotson SBBI）；可交叉核验的学术与卖方研究。第三方估值网站仅用于补充最新市盈率、股息率，并在图注中标明。</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二、理论比较：同一套折现，两种完全不同的权利</w:t>
      </w:r>
    </w:p>
    <w:p>
      <w:pPr>
        <w:spacing w:before="160" w:after="80" w:line="276" w:lineRule="auto"/>
        <w:jc w:val="center"/>
      </w:pPr>
      <w:r>
        <w:drawing>
          <wp:inline xmlns:a="http://schemas.openxmlformats.org/drawingml/2006/main" xmlns:pic="http://schemas.openxmlformats.org/drawingml/2006/picture">
            <wp:extent cx="5616000" cy="3292986"/>
            <wp:docPr id="1" name="Picture 1"/>
            <wp:cNvGraphicFramePr>
              <a:graphicFrameLocks noChangeAspect="1"/>
            </wp:cNvGraphicFramePr>
            <a:graphic>
              <a:graphicData uri="http://schemas.openxmlformats.org/drawingml/2006/picture">
                <pic:pic>
                  <pic:nvPicPr>
                    <pic:cNvPr id="0" name="fig12_pricing.png"/>
                    <pic:cNvPicPr/>
                  </pic:nvPicPr>
                  <pic:blipFill>
                    <a:blip r:embed="rId10"/>
                    <a:stretch>
                      <a:fillRect/>
                    </a:stretch>
                  </pic:blipFill>
                  <pic:spPr>
                    <a:xfrm>
                      <a:off x="0" y="0"/>
                      <a:ext cx="5616000" cy="3292986"/>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图12 同一套折现逻辑，两种现金流</w:t>
      </w:r>
    </w:p>
    <w:p>
      <w:pPr>
        <w:spacing w:before="240" w:after="120" w:line="276" w:lineRule="auto"/>
      </w:pPr>
      <w:r>
        <w:rPr>
          <w:rFonts w:ascii="Calibri" w:hAnsi="Calibri" w:eastAsia="微软雅黑"/>
          <w:b/>
          <w:i w:val="0"/>
          <w:color w:val="2A9D8F"/>
          <w:sz w:val="26"/>
        </w:rPr>
        <w:t>2.1 债券：把不确定性装进三个溢价</w:t>
      </w:r>
    </w:p>
    <w:p>
      <w:pPr>
        <w:spacing w:before="40" w:after="120" w:line="293" w:lineRule="auto"/>
        <w:ind w:firstLine="420"/>
      </w:pPr>
      <w:r>
        <w:rPr>
          <w:rFonts w:ascii="Calibri" w:hAnsi="Calibri" w:eastAsia="微软雅黑"/>
          <w:b w:val="0"/>
          <w:i w:val="0"/>
          <w:color w:val="1A1A1A"/>
          <w:sz w:val="22"/>
        </w:rPr>
        <w:t>一张债券的定价可以写成：</w:t>
      </w:r>
    </w:p>
    <w:p>
      <w:pPr>
        <w:spacing w:before="120" w:after="120" w:line="276" w:lineRule="auto"/>
        <w:jc w:val="center"/>
      </w:pPr>
      <w:r>
        <w:rPr>
          <w:rFonts w:ascii="Calibri" w:hAnsi="Calibri" w:eastAsia="Cambria Math"/>
          <w:b w:val="0"/>
          <w:i/>
          <w:color w:val="1B365D"/>
          <w:sz w:val="24"/>
        </w:rPr>
        <w:t>P=\sum_{t=1}^{T}\frac{CF_t}{(1+r+s)^t}</w:t>
      </w:r>
    </w:p>
    <w:p>
      <w:pPr>
        <w:spacing w:before="40" w:after="120" w:line="293" w:lineRule="auto"/>
        <w:ind w:firstLine="420"/>
      </w:pPr>
      <w:r>
        <w:rPr>
          <w:rFonts w:ascii="Calibri" w:hAnsi="Calibri" w:eastAsia="微软雅黑"/>
          <w:b w:val="0"/>
          <w:i w:val="0"/>
          <w:color w:val="1A1A1A"/>
          <w:sz w:val="22"/>
        </w:rPr>
        <w:t>对国债，\(CF_t\) 几乎是确定的票息与本金，\(r\) 是实际利率加通胀预期，\(s\) 主要是期限溢价。对企业债和城投债，\(s\) 还包含信用溢价和流动性溢价。投研的日常动作因此高度模块化：</w:t>
      </w:r>
    </w:p>
    <w:p>
      <w:pPr>
        <w:pStyle w:val="ListBullet"/>
        <w:spacing w:before="20" w:after="60" w:line="276" w:lineRule="auto"/>
      </w:pPr>
      <w:r>
        <w:rPr>
          <w:rFonts w:ascii="Calibri" w:hAnsi="Calibri" w:eastAsia="微软雅黑"/>
          <w:b/>
          <w:i w:val="0"/>
          <w:color w:val="1B365D"/>
          <w:sz w:val="22"/>
        </w:rPr>
        <w:t>利率：看久期。</w:t>
      </w:r>
      <w:r>
        <w:rPr>
          <w:rFonts w:ascii="Calibri" w:hAnsi="Calibri" w:eastAsia="微软雅黑"/>
          <w:b w:val="0"/>
          <w:i w:val="0"/>
          <w:color w:val="1A1A1A"/>
          <w:sz w:val="22"/>
        </w:rPr>
        <w:t xml:space="preserve"> 修正久期把收益率变动翻译成价格变动，\(\Delta P/P \approx -D_{\text{mod}}\Delta y\)。凸性在利率大幅下行时提供额外收益，在低利率环境里变得更重要。</w:t>
      </w:r>
    </w:p>
    <w:p>
      <w:pPr>
        <w:pStyle w:val="ListBullet"/>
        <w:spacing w:before="20" w:after="60" w:line="276" w:lineRule="auto"/>
      </w:pPr>
      <w:r>
        <w:rPr>
          <w:rFonts w:ascii="Calibri" w:hAnsi="Calibri" w:eastAsia="微软雅黑"/>
          <w:b/>
          <w:i w:val="0"/>
          <w:color w:val="1B365D"/>
          <w:sz w:val="22"/>
        </w:rPr>
        <w:t>信用：看利差。</w:t>
      </w:r>
      <w:r>
        <w:rPr>
          <w:rFonts w:ascii="Calibri" w:hAnsi="Calibri" w:eastAsia="微软雅黑"/>
          <w:b w:val="0"/>
          <w:i w:val="0"/>
          <w:color w:val="1A1A1A"/>
          <w:sz w:val="22"/>
        </w:rPr>
        <w:t xml:space="preserve"> 利差补偿违约损失、评级迁移和风险偏好。中国信用债长期存在“信仰溢价”（城投、国企），利差不是纯违约概率。</w:t>
      </w:r>
    </w:p>
    <w:p>
      <w:pPr>
        <w:pStyle w:val="ListBullet"/>
        <w:spacing w:before="20" w:after="60" w:line="276" w:lineRule="auto"/>
      </w:pPr>
      <w:r>
        <w:rPr>
          <w:rFonts w:ascii="Calibri" w:hAnsi="Calibri" w:eastAsia="微软雅黑"/>
          <w:b/>
          <w:i w:val="0"/>
          <w:color w:val="1B365D"/>
          <w:sz w:val="22"/>
        </w:rPr>
        <w:t>杠杆与流动性：看资金。</w:t>
      </w:r>
      <w:r>
        <w:rPr>
          <w:rFonts w:ascii="Calibri" w:hAnsi="Calibri" w:eastAsia="微软雅黑"/>
          <w:b w:val="0"/>
          <w:i w:val="0"/>
          <w:color w:val="1A1A1A"/>
          <w:sz w:val="22"/>
        </w:rPr>
        <w:t xml:space="preserve"> 回购是中国债市的血液。DR007、存单利率、银行欠配/欠负债，往往比宏观叙事更快地决定短端。</w:t>
      </w:r>
    </w:p>
    <w:p>
      <w:pPr>
        <w:spacing w:before="40" w:after="120" w:line="293" w:lineRule="auto"/>
        <w:ind w:firstLine="420"/>
      </w:pPr>
      <w:r>
        <w:rPr>
          <w:rFonts w:ascii="Calibri" w:hAnsi="Calibri" w:eastAsia="微软雅黑"/>
          <w:b w:val="0"/>
          <w:i w:val="0"/>
          <w:color w:val="1A1A1A"/>
          <w:sz w:val="22"/>
        </w:rPr>
        <w:t>Bodie、Kane、Marcus 的教科书表述是：债券是固定收益，但价格并不固定。从业者必须把“票息确定”和“市值波动”分开，否则会在利率上行年把债券误当成现金。</w:t>
      </w:r>
    </w:p>
    <w:p>
      <w:pPr>
        <w:spacing w:before="240" w:after="120" w:line="276" w:lineRule="auto"/>
      </w:pPr>
      <w:r>
        <w:rPr>
          <w:rFonts w:ascii="Calibri" w:hAnsi="Calibri" w:eastAsia="微软雅黑"/>
          <w:b/>
          <w:i w:val="0"/>
          <w:color w:val="2A9D8F"/>
          <w:sz w:val="26"/>
        </w:rPr>
        <w:t>2.2 股票：剩余索取权，久期更长</w:t>
      </w:r>
    </w:p>
    <w:p>
      <w:pPr>
        <w:spacing w:before="40" w:after="120" w:line="293" w:lineRule="auto"/>
        <w:ind w:firstLine="420"/>
      </w:pPr>
      <w:r>
        <w:rPr>
          <w:rFonts w:ascii="Calibri" w:hAnsi="Calibri" w:eastAsia="微软雅黑"/>
          <w:b w:val="0"/>
          <w:i w:val="0"/>
          <w:color w:val="1A1A1A"/>
          <w:sz w:val="22"/>
        </w:rPr>
        <w:t>股票是对公司自由现金流的剩余要求权。最简形式是Gordon模型：</w:t>
      </w:r>
    </w:p>
    <w:p>
      <w:pPr>
        <w:spacing w:before="120" w:after="120" w:line="276" w:lineRule="auto"/>
        <w:jc w:val="center"/>
      </w:pPr>
      <w:r>
        <w:rPr>
          <w:rFonts w:ascii="Calibri" w:hAnsi="Calibri" w:eastAsia="Cambria Math"/>
          <w:b w:val="0"/>
          <w:i/>
          <w:color w:val="1B365D"/>
          <w:sz w:val="24"/>
        </w:rPr>
        <w:t>P=\frac{D_1}{k-g},\quad k=r_f+ERP</w:t>
      </w:r>
    </w:p>
    <w:p>
      <w:pPr>
        <w:spacing w:before="40" w:after="120" w:line="293" w:lineRule="auto"/>
        <w:ind w:firstLine="420"/>
      </w:pPr>
      <w:r>
        <w:rPr>
          <w:rFonts w:ascii="Calibri" w:hAnsi="Calibri" w:eastAsia="微软雅黑"/>
          <w:b w:val="0"/>
          <w:i w:val="0"/>
          <w:color w:val="1A1A1A"/>
          <w:sz w:val="22"/>
        </w:rPr>
        <w:t>三个变量同时动：分红（或回购）\(D\)、增长 \(g\)、股权成本 \(k\)。Campbell 与 Shiller（1988）以及 Campbell 与 Ammer（1993）进一步把收益分解为</w:t>
      </w:r>
      <w:r>
        <w:rPr>
          <w:rFonts w:ascii="Calibri" w:hAnsi="Calibri" w:eastAsia="微软雅黑"/>
          <w:b/>
          <w:i w:val="0"/>
          <w:color w:val="1B365D"/>
          <w:sz w:val="22"/>
        </w:rPr>
        <w:t>现金流新闻</w:t>
      </w:r>
      <w:r>
        <w:rPr>
          <w:rFonts w:ascii="Calibri" w:hAnsi="Calibri" w:eastAsia="微软雅黑"/>
          <w:b w:val="0"/>
          <w:i w:val="0"/>
          <w:color w:val="1A1A1A"/>
          <w:sz w:val="22"/>
        </w:rPr>
        <w:t>和</w:t>
      </w:r>
      <w:r>
        <w:rPr>
          <w:rFonts w:ascii="Calibri" w:hAnsi="Calibri" w:eastAsia="微软雅黑"/>
          <w:b/>
          <w:i w:val="0"/>
          <w:color w:val="1B365D"/>
          <w:sz w:val="22"/>
        </w:rPr>
        <w:t>贴现率新闻</w:t>
      </w:r>
      <w:r>
        <w:rPr>
          <w:rFonts w:ascii="Calibri" w:hAnsi="Calibri" w:eastAsia="微软雅黑"/>
          <w:b w:val="0"/>
          <w:i w:val="0"/>
          <w:color w:val="1A1A1A"/>
          <w:sz w:val="22"/>
        </w:rPr>
        <w:t>。对债券，贴现率新闻几乎就是全部故事；对股票，两者经常互相抵消——盈利改善的同时风险偏好升温，价格可以涨得比盈利更快，也可以在盈利尚可时因 \(k\) 上升而大跌。</w:t>
      </w:r>
    </w:p>
    <w:p>
      <w:pPr>
        <w:spacing w:before="40" w:after="120" w:line="293" w:lineRule="auto"/>
        <w:ind w:firstLine="420"/>
      </w:pPr>
      <w:r>
        <w:rPr>
          <w:rFonts w:ascii="Calibri" w:hAnsi="Calibri" w:eastAsia="微软雅黑"/>
          <w:b w:val="0"/>
          <w:i w:val="0"/>
          <w:color w:val="1A1A1A"/>
          <w:sz w:val="22"/>
        </w:rPr>
        <w:t>这就是为什么股票的“有效久期”远长于债券。一份永续增长的权益，对折现率1个点的变化，价格弹性可以达到20–40倍市盈率对应的量级；10年期国债久期大约7–8年。</w:t>
      </w:r>
      <w:r>
        <w:rPr>
          <w:rFonts w:ascii="Calibri" w:hAnsi="Calibri" w:eastAsia="微软雅黑"/>
          <w:b/>
          <w:i w:val="0"/>
          <w:color w:val="1B365D"/>
          <w:sz w:val="22"/>
        </w:rPr>
        <w:t>同样是降息，债的涨幅有限且可估算，股的涨幅取决于降息是“好的宽松”还是“差的衰退”。</w:t>
      </w:r>
    </w:p>
    <w:p>
      <w:pPr>
        <w:spacing w:before="240" w:after="120" w:line="276" w:lineRule="auto"/>
      </w:pPr>
      <w:r>
        <w:rPr>
          <w:rFonts w:ascii="Calibri" w:hAnsi="Calibri" w:eastAsia="微软雅黑"/>
          <w:b/>
          <w:i w:val="0"/>
          <w:color w:val="2A9D8F"/>
          <w:sz w:val="26"/>
        </w:rPr>
        <w:t>2.3 企业金融视角：它们是同一家公司的不同分层</w:t>
      </w:r>
    </w:p>
    <w:p>
      <w:pPr>
        <w:spacing w:before="40" w:after="120" w:line="293" w:lineRule="auto"/>
        <w:ind w:firstLine="420"/>
      </w:pPr>
      <w:r>
        <w:rPr>
          <w:rFonts w:ascii="Calibri" w:hAnsi="Calibri" w:eastAsia="微软雅黑"/>
          <w:b w:val="0"/>
          <w:i w:val="0"/>
          <w:color w:val="1A1A1A"/>
          <w:sz w:val="22"/>
        </w:rPr>
        <w:t>Modigliani–Miller 指出，在完美市场里，资本结构不改变企业总价值，只改变风险在股债之间的分配。Merton（1974）把股权看成以企业资产为标的、以负债面值为行权价的看涨期权：杠杆越高，股权越像期权，债越像短了看跌。这一视角对理解中国市场里的“中间态”特别有用：</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1B365D" w:val="clear"/>
          </w:tcPr>
          <w:p>
            <w:pPr>
              <w:spacing w:before="40" w:after="40" w:line="259" w:lineRule="auto"/>
            </w:pPr>
            <w:r/>
            <w:r>
              <w:rPr>
                <w:rFonts w:ascii="Calibri" w:hAnsi="Calibri" w:eastAsia="微软雅黑"/>
                <w:b/>
                <w:i w:val="0"/>
                <w:color w:val="FFFFFF"/>
                <w:sz w:val="20"/>
              </w:rPr>
              <w:t>品种</w:t>
            </w:r>
          </w:p>
        </w:tc>
        <w:tc>
          <w:tcPr>
            <w:tcW w:type="dxa" w:w="3137"/>
            <w:shd w:fill="1B365D" w:val="clear"/>
          </w:tcPr>
          <w:p>
            <w:pPr>
              <w:spacing w:before="40" w:after="40" w:line="259" w:lineRule="auto"/>
            </w:pPr>
            <w:r/>
            <w:r>
              <w:rPr>
                <w:rFonts w:ascii="Calibri" w:hAnsi="Calibri" w:eastAsia="微软雅黑"/>
                <w:b/>
                <w:i w:val="0"/>
                <w:color w:val="FFFFFF"/>
                <w:sz w:val="20"/>
              </w:rPr>
              <w:t>更像债还是更像股</w:t>
            </w:r>
          </w:p>
        </w:tc>
        <w:tc>
          <w:tcPr>
            <w:tcW w:type="dxa" w:w="3137"/>
            <w:shd w:fill="1B365D" w:val="clear"/>
          </w:tcPr>
          <w:p>
            <w:pPr>
              <w:spacing w:before="40" w:after="40" w:line="259" w:lineRule="auto"/>
            </w:pPr>
            <w:r/>
            <w:r>
              <w:rPr>
                <w:rFonts w:ascii="Calibri" w:hAnsi="Calibri" w:eastAsia="微软雅黑"/>
                <w:b/>
                <w:i w:val="0"/>
                <w:color w:val="FFFFFF"/>
                <w:sz w:val="20"/>
              </w:rPr>
              <w:t>主要风险</w:t>
            </w:r>
          </w:p>
        </w:tc>
      </w:tr>
      <w:tr>
        <w:tc>
          <w:tcPr>
            <w:tcW w:type="dxa" w:w="3137"/>
            <w:shd w:fill="FFFFFF" w:val="clear"/>
          </w:tcPr>
          <w:p>
            <w:pPr>
              <w:spacing w:before="40" w:after="40" w:line="259" w:lineRule="auto"/>
            </w:pPr>
            <w:r/>
            <w:r>
              <w:rPr>
                <w:rFonts w:ascii="Calibri" w:hAnsi="Calibri" w:eastAsia="微软雅黑"/>
                <w:b w:val="0"/>
                <w:i w:val="0"/>
                <w:color w:val="1A1A1A"/>
                <w:sz w:val="20"/>
              </w:rPr>
              <w:t>利率债</w:t>
            </w:r>
          </w:p>
        </w:tc>
        <w:tc>
          <w:tcPr>
            <w:tcW w:type="dxa" w:w="3137"/>
            <w:shd w:fill="FFFFFF" w:val="clear"/>
          </w:tcPr>
          <w:p>
            <w:pPr>
              <w:spacing w:before="40" w:after="40" w:line="259" w:lineRule="auto"/>
            </w:pPr>
            <w:r/>
            <w:r>
              <w:rPr>
                <w:rFonts w:ascii="Calibri" w:hAnsi="Calibri" w:eastAsia="微软雅黑"/>
                <w:b w:val="0"/>
                <w:i w:val="0"/>
                <w:color w:val="1A1A1A"/>
                <w:sz w:val="20"/>
              </w:rPr>
              <w:t>债</w:t>
            </w:r>
          </w:p>
        </w:tc>
        <w:tc>
          <w:tcPr>
            <w:tcW w:type="dxa" w:w="3137"/>
            <w:shd w:fill="FFFFFF" w:val="clear"/>
          </w:tcPr>
          <w:p>
            <w:pPr>
              <w:spacing w:before="40" w:after="40" w:line="259" w:lineRule="auto"/>
            </w:pPr>
            <w:r/>
            <w:r>
              <w:rPr>
                <w:rFonts w:ascii="Calibri" w:hAnsi="Calibri" w:eastAsia="微软雅黑"/>
                <w:b w:val="0"/>
                <w:i w:val="0"/>
                <w:color w:val="1A1A1A"/>
                <w:sz w:val="20"/>
              </w:rPr>
              <w:t>利率、通胀、政策预期</w:t>
            </w:r>
          </w:p>
        </w:tc>
      </w:tr>
      <w:tr>
        <w:tc>
          <w:tcPr>
            <w:tcW w:type="dxa" w:w="3137"/>
            <w:shd w:fill="F4F1EC" w:val="clear"/>
          </w:tcPr>
          <w:p>
            <w:pPr>
              <w:spacing w:before="40" w:after="40" w:line="259" w:lineRule="auto"/>
            </w:pPr>
            <w:r/>
            <w:r>
              <w:rPr>
                <w:rFonts w:ascii="Calibri" w:hAnsi="Calibri" w:eastAsia="微软雅黑"/>
                <w:b w:val="0"/>
                <w:i w:val="0"/>
                <w:color w:val="1A1A1A"/>
                <w:sz w:val="20"/>
              </w:rPr>
              <w:t>高等级产业债</w:t>
            </w:r>
          </w:p>
        </w:tc>
        <w:tc>
          <w:tcPr>
            <w:tcW w:type="dxa" w:w="3137"/>
            <w:shd w:fill="F4F1EC" w:val="clear"/>
          </w:tcPr>
          <w:p>
            <w:pPr>
              <w:spacing w:before="40" w:after="40" w:line="259" w:lineRule="auto"/>
            </w:pPr>
            <w:r/>
            <w:r>
              <w:rPr>
                <w:rFonts w:ascii="Calibri" w:hAnsi="Calibri" w:eastAsia="微软雅黑"/>
                <w:b w:val="0"/>
                <w:i w:val="0"/>
                <w:color w:val="1A1A1A"/>
                <w:sz w:val="20"/>
              </w:rPr>
              <w:t>债</w:t>
            </w:r>
          </w:p>
        </w:tc>
        <w:tc>
          <w:tcPr>
            <w:tcW w:type="dxa" w:w="3137"/>
            <w:shd w:fill="F4F1EC" w:val="clear"/>
          </w:tcPr>
          <w:p>
            <w:pPr>
              <w:spacing w:before="40" w:after="40" w:line="259" w:lineRule="auto"/>
            </w:pPr>
            <w:r/>
            <w:r>
              <w:rPr>
                <w:rFonts w:ascii="Calibri" w:hAnsi="Calibri" w:eastAsia="微软雅黑"/>
                <w:b w:val="0"/>
                <w:i w:val="0"/>
                <w:color w:val="1A1A1A"/>
                <w:sz w:val="20"/>
              </w:rPr>
              <w:t>利率 + 有限信用</w:t>
            </w:r>
          </w:p>
        </w:tc>
      </w:tr>
      <w:tr>
        <w:tc>
          <w:tcPr>
            <w:tcW w:type="dxa" w:w="3137"/>
            <w:shd w:fill="FFFFFF" w:val="clear"/>
          </w:tcPr>
          <w:p>
            <w:pPr>
              <w:spacing w:before="40" w:after="40" w:line="259" w:lineRule="auto"/>
            </w:pPr>
            <w:r/>
            <w:r>
              <w:rPr>
                <w:rFonts w:ascii="Calibri" w:hAnsi="Calibri" w:eastAsia="微软雅黑"/>
                <w:b w:val="0"/>
                <w:i w:val="0"/>
                <w:color w:val="1A1A1A"/>
                <w:sz w:val="20"/>
              </w:rPr>
              <w:t>城投 / 民企弱资质</w:t>
            </w:r>
          </w:p>
        </w:tc>
        <w:tc>
          <w:tcPr>
            <w:tcW w:type="dxa" w:w="3137"/>
            <w:shd w:fill="FFFFFF" w:val="clear"/>
          </w:tcPr>
          <w:p>
            <w:pPr>
              <w:spacing w:before="40" w:after="40" w:line="259" w:lineRule="auto"/>
            </w:pPr>
            <w:r/>
            <w:r>
              <w:rPr>
                <w:rFonts w:ascii="Calibri" w:hAnsi="Calibri" w:eastAsia="微软雅黑"/>
                <w:b w:val="0"/>
                <w:i w:val="0"/>
                <w:color w:val="1A1A1A"/>
                <w:sz w:val="20"/>
              </w:rPr>
              <w:t>债的壳、股的尾部</w:t>
            </w:r>
          </w:p>
        </w:tc>
        <w:tc>
          <w:tcPr>
            <w:tcW w:type="dxa" w:w="3137"/>
            <w:shd w:fill="FFFFFF" w:val="clear"/>
          </w:tcPr>
          <w:p>
            <w:pPr>
              <w:spacing w:before="40" w:after="40" w:line="259" w:lineRule="auto"/>
            </w:pPr>
            <w:r/>
            <w:r>
              <w:rPr>
                <w:rFonts w:ascii="Calibri" w:hAnsi="Calibri" w:eastAsia="微软雅黑"/>
                <w:b w:val="0"/>
                <w:i w:val="0"/>
                <w:color w:val="1A1A1A"/>
                <w:sz w:val="20"/>
              </w:rPr>
              <w:t>信仰、再融资、流动性</w:t>
            </w:r>
          </w:p>
        </w:tc>
      </w:tr>
      <w:tr>
        <w:tc>
          <w:tcPr>
            <w:tcW w:type="dxa" w:w="3137"/>
            <w:shd w:fill="F4F1EC" w:val="clear"/>
          </w:tcPr>
          <w:p>
            <w:pPr>
              <w:spacing w:before="40" w:after="40" w:line="259" w:lineRule="auto"/>
            </w:pPr>
            <w:r/>
            <w:r>
              <w:rPr>
                <w:rFonts w:ascii="Calibri" w:hAnsi="Calibri" w:eastAsia="微软雅黑"/>
                <w:b w:val="0"/>
                <w:i w:val="0"/>
                <w:color w:val="1A1A1A"/>
                <w:sz w:val="20"/>
              </w:rPr>
              <w:t>银行二级资本债、永续债</w:t>
            </w:r>
          </w:p>
        </w:tc>
        <w:tc>
          <w:tcPr>
            <w:tcW w:type="dxa" w:w="3137"/>
            <w:shd w:fill="F4F1EC" w:val="clear"/>
          </w:tcPr>
          <w:p>
            <w:pPr>
              <w:spacing w:before="40" w:after="40" w:line="259" w:lineRule="auto"/>
            </w:pPr>
            <w:r/>
            <w:r>
              <w:rPr>
                <w:rFonts w:ascii="Calibri" w:hAnsi="Calibri" w:eastAsia="微软雅黑"/>
                <w:b w:val="0"/>
                <w:i w:val="0"/>
                <w:color w:val="1A1A1A"/>
                <w:sz w:val="20"/>
              </w:rPr>
              <w:t>债 + 条款期权</w:t>
            </w:r>
          </w:p>
        </w:tc>
        <w:tc>
          <w:tcPr>
            <w:tcW w:type="dxa" w:w="3137"/>
            <w:shd w:fill="F4F1EC" w:val="clear"/>
          </w:tcPr>
          <w:p>
            <w:pPr>
              <w:spacing w:before="40" w:after="40" w:line="259" w:lineRule="auto"/>
            </w:pPr>
            <w:r/>
            <w:r>
              <w:rPr>
                <w:rFonts w:ascii="Calibri" w:hAnsi="Calibri" w:eastAsia="微软雅黑"/>
                <w:b w:val="0"/>
                <w:i w:val="0"/>
                <w:color w:val="1A1A1A"/>
                <w:sz w:val="20"/>
              </w:rPr>
              <w:t>赎回预期、资本监管</w:t>
            </w:r>
          </w:p>
        </w:tc>
      </w:tr>
      <w:tr>
        <w:tc>
          <w:tcPr>
            <w:tcW w:type="dxa" w:w="3137"/>
            <w:shd w:fill="FFFFFF" w:val="clear"/>
          </w:tcPr>
          <w:p>
            <w:pPr>
              <w:spacing w:before="40" w:after="40" w:line="259" w:lineRule="auto"/>
            </w:pPr>
            <w:r/>
            <w:r>
              <w:rPr>
                <w:rFonts w:ascii="Calibri" w:hAnsi="Calibri" w:eastAsia="微软雅黑"/>
                <w:b w:val="0"/>
                <w:i w:val="0"/>
                <w:color w:val="1A1A1A"/>
                <w:sz w:val="20"/>
              </w:rPr>
              <w:t>可转债</w:t>
            </w:r>
          </w:p>
        </w:tc>
        <w:tc>
          <w:tcPr>
            <w:tcW w:type="dxa" w:w="3137"/>
            <w:shd w:fill="FFFFFF" w:val="clear"/>
          </w:tcPr>
          <w:p>
            <w:pPr>
              <w:spacing w:before="40" w:after="40" w:line="259" w:lineRule="auto"/>
            </w:pPr>
            <w:r/>
            <w:r>
              <w:rPr>
                <w:rFonts w:ascii="Calibri" w:hAnsi="Calibri" w:eastAsia="微软雅黑"/>
                <w:b w:val="0"/>
                <w:i w:val="0"/>
                <w:color w:val="1A1A1A"/>
                <w:sz w:val="20"/>
              </w:rPr>
              <w:t>债底 + 看涨期权</w:t>
            </w:r>
          </w:p>
        </w:tc>
        <w:tc>
          <w:tcPr>
            <w:tcW w:type="dxa" w:w="3137"/>
            <w:shd w:fill="FFFFFF" w:val="clear"/>
          </w:tcPr>
          <w:p>
            <w:pPr>
              <w:spacing w:before="40" w:after="40" w:line="259" w:lineRule="auto"/>
            </w:pPr>
            <w:r/>
            <w:r>
              <w:rPr>
                <w:rFonts w:ascii="Calibri" w:hAnsi="Calibri" w:eastAsia="微软雅黑"/>
                <w:b w:val="0"/>
                <w:i w:val="0"/>
                <w:color w:val="1A1A1A"/>
                <w:sz w:val="20"/>
              </w:rPr>
              <w:t>正股、估值、转股溢价</w:t>
            </w:r>
          </w:p>
        </w:tc>
      </w:tr>
      <w:tr>
        <w:tc>
          <w:tcPr>
            <w:tcW w:type="dxa" w:w="3137"/>
            <w:shd w:fill="F4F1EC" w:val="clear"/>
          </w:tcPr>
          <w:p>
            <w:pPr>
              <w:spacing w:before="40" w:after="40" w:line="259" w:lineRule="auto"/>
            </w:pPr>
            <w:r/>
            <w:r>
              <w:rPr>
                <w:rFonts w:ascii="Calibri" w:hAnsi="Calibri" w:eastAsia="微软雅黑"/>
                <w:b w:val="0"/>
                <w:i w:val="0"/>
                <w:color w:val="1A1A1A"/>
                <w:sz w:val="20"/>
              </w:rPr>
              <w:t>高分红公用事业 / 银行股</w:t>
            </w:r>
          </w:p>
        </w:tc>
        <w:tc>
          <w:tcPr>
            <w:tcW w:type="dxa" w:w="3137"/>
            <w:shd w:fill="F4F1EC" w:val="clear"/>
          </w:tcPr>
          <w:p>
            <w:pPr>
              <w:spacing w:before="40" w:after="40" w:line="259" w:lineRule="auto"/>
            </w:pPr>
            <w:r/>
            <w:r>
              <w:rPr>
                <w:rFonts w:ascii="Calibri" w:hAnsi="Calibri" w:eastAsia="微软雅黑"/>
                <w:b w:val="0"/>
                <w:i w:val="0"/>
                <w:color w:val="1A1A1A"/>
                <w:sz w:val="20"/>
              </w:rPr>
              <w:t>股的壳、债的现金流</w:t>
            </w:r>
          </w:p>
        </w:tc>
        <w:tc>
          <w:tcPr>
            <w:tcW w:type="dxa" w:w="3137"/>
            <w:shd w:fill="F4F1EC" w:val="clear"/>
          </w:tcPr>
          <w:p>
            <w:pPr>
              <w:spacing w:before="40" w:after="40" w:line="259" w:lineRule="auto"/>
            </w:pPr>
            <w:r/>
            <w:r>
              <w:rPr>
                <w:rFonts w:ascii="Calibri" w:hAnsi="Calibri" w:eastAsia="微软雅黑"/>
                <w:b w:val="0"/>
                <w:i w:val="0"/>
                <w:color w:val="1A1A1A"/>
                <w:sz w:val="20"/>
              </w:rPr>
              <w:t>监管、息差、分红可持续性</w:t>
            </w:r>
          </w:p>
        </w:tc>
      </w:tr>
      <w:tr>
        <w:tc>
          <w:tcPr>
            <w:tcW w:type="dxa" w:w="3137"/>
            <w:shd w:fill="FFFFFF" w:val="clear"/>
          </w:tcPr>
          <w:p>
            <w:pPr>
              <w:spacing w:before="40" w:after="40" w:line="259" w:lineRule="auto"/>
            </w:pPr>
            <w:r/>
            <w:r>
              <w:rPr>
                <w:rFonts w:ascii="Calibri" w:hAnsi="Calibri" w:eastAsia="微软雅黑"/>
                <w:b w:val="0"/>
                <w:i w:val="0"/>
                <w:color w:val="1A1A1A"/>
                <w:sz w:val="20"/>
              </w:rPr>
              <w:t>成长股</w:t>
            </w:r>
          </w:p>
        </w:tc>
        <w:tc>
          <w:tcPr>
            <w:tcW w:type="dxa" w:w="3137"/>
            <w:shd w:fill="FFFFFF" w:val="clear"/>
          </w:tcPr>
          <w:p>
            <w:pPr>
              <w:spacing w:before="40" w:after="40" w:line="259" w:lineRule="auto"/>
            </w:pPr>
            <w:r/>
            <w:r>
              <w:rPr>
                <w:rFonts w:ascii="Calibri" w:hAnsi="Calibri" w:eastAsia="微软雅黑"/>
                <w:b w:val="0"/>
                <w:i w:val="0"/>
                <w:color w:val="1A1A1A"/>
                <w:sz w:val="20"/>
              </w:rPr>
              <w:t>股</w:t>
            </w:r>
          </w:p>
        </w:tc>
        <w:tc>
          <w:tcPr>
            <w:tcW w:type="dxa" w:w="3137"/>
            <w:shd w:fill="FFFFFF" w:val="clear"/>
          </w:tcPr>
          <w:p>
            <w:pPr>
              <w:spacing w:before="40" w:after="40" w:line="259" w:lineRule="auto"/>
            </w:pPr>
            <w:r/>
            <w:r>
              <w:rPr>
                <w:rFonts w:ascii="Calibri" w:hAnsi="Calibri" w:eastAsia="微软雅黑"/>
                <w:b w:val="0"/>
                <w:i w:val="0"/>
                <w:color w:val="1A1A1A"/>
                <w:sz w:val="20"/>
              </w:rPr>
              <w:t>增长叙事与贴现率</w:t>
            </w:r>
          </w:p>
        </w:tc>
      </w:tr>
    </w:tbl>
    <w:p/>
    <w:p>
      <w:pPr>
        <w:spacing w:before="40" w:after="120" w:line="293" w:lineRule="auto"/>
        <w:ind w:firstLine="420"/>
      </w:pPr>
      <w:r>
        <w:rPr>
          <w:rFonts w:ascii="Calibri" w:hAnsi="Calibri" w:eastAsia="微软雅黑"/>
          <w:b w:val="0"/>
          <w:i w:val="0"/>
          <w:color w:val="1A1A1A"/>
          <w:sz w:val="22"/>
        </w:rPr>
        <w:t>配置上不要把可转债当“低波动股票”，也不要把银行股当“高票息债券”。条款和治理会在压力情景中突然改变权利顺序。</w:t>
      </w:r>
    </w:p>
    <w:p>
      <w:pPr>
        <w:spacing w:before="240" w:after="120" w:line="276" w:lineRule="auto"/>
      </w:pPr>
      <w:r>
        <w:rPr>
          <w:rFonts w:ascii="Calibri" w:hAnsi="Calibri" w:eastAsia="微软雅黑"/>
          <w:b/>
          <w:i w:val="0"/>
          <w:color w:val="2A9D8F"/>
          <w:sz w:val="26"/>
        </w:rPr>
        <w:t>2.4 从组合理论到长期投资者</w:t>
      </w:r>
    </w:p>
    <w:p>
      <w:pPr>
        <w:spacing w:before="40" w:after="120" w:line="293" w:lineRule="auto"/>
        <w:ind w:firstLine="420"/>
      </w:pPr>
      <w:r>
        <w:rPr>
          <w:rFonts w:ascii="Calibri" w:hAnsi="Calibri" w:eastAsia="微软雅黑"/>
          <w:b w:val="0"/>
          <w:i w:val="0"/>
          <w:color w:val="1A1A1A"/>
          <w:sz w:val="22"/>
        </w:rPr>
        <w:t>投研范式的进化可以按一条主线记忆：</w:t>
      </w:r>
    </w:p>
    <w:p>
      <w:pPr>
        <w:pStyle w:val="ListNumber"/>
        <w:spacing w:before="20" w:after="60" w:line="276" w:lineRule="auto"/>
      </w:pPr>
      <w:r>
        <w:rPr>
          <w:rFonts w:ascii="Calibri" w:hAnsi="Calibri" w:eastAsia="微软雅黑"/>
          <w:b/>
          <w:i w:val="0"/>
          <w:color w:val="1B365D"/>
          <w:sz w:val="22"/>
        </w:rPr>
        <w:t>Markowitz（1952）均值—方差。</w:t>
      </w:r>
      <w:r>
        <w:rPr>
          <w:rFonts w:ascii="Calibri" w:hAnsi="Calibri" w:eastAsia="微软雅黑"/>
          <w:b w:val="0"/>
          <w:i w:val="0"/>
          <w:color w:val="1A1A1A"/>
          <w:sz w:val="22"/>
        </w:rPr>
        <w:t xml:space="preserve"> 资产的价值不在于单独收益，而在于对组合方差的贡献。股债低相关，是有效前沿弯曲的主要原因。</w:t>
      </w:r>
    </w:p>
    <w:p>
      <w:pPr>
        <w:pStyle w:val="ListNumber"/>
        <w:spacing w:before="20" w:after="60" w:line="276" w:lineRule="auto"/>
      </w:pPr>
      <w:r>
        <w:rPr>
          <w:rFonts w:ascii="Calibri" w:hAnsi="Calibri" w:eastAsia="微软雅黑"/>
          <w:b/>
          <w:i w:val="0"/>
          <w:color w:val="1B365D"/>
          <w:sz w:val="22"/>
        </w:rPr>
        <w:t>Sharpe（1964）CAPM。</w:t>
      </w:r>
      <w:r>
        <w:rPr>
          <w:rFonts w:ascii="Calibri" w:hAnsi="Calibri" w:eastAsia="微软雅黑"/>
          <w:b w:val="0"/>
          <w:i w:val="0"/>
          <w:color w:val="1A1A1A"/>
          <w:sz w:val="22"/>
        </w:rPr>
        <w:t xml:space="preserve"> 股票的超额收益来自不可分散的市场风险；债券（尤其是短债）接近零贝塔或利率因子。</w:t>
      </w:r>
    </w:p>
    <w:p>
      <w:pPr>
        <w:pStyle w:val="ListNumber"/>
        <w:spacing w:before="20" w:after="60" w:line="276" w:lineRule="auto"/>
      </w:pPr>
      <w:r>
        <w:rPr>
          <w:rFonts w:ascii="Calibri" w:hAnsi="Calibri" w:eastAsia="微软雅黑"/>
          <w:b/>
          <w:i w:val="0"/>
          <w:color w:val="1B365D"/>
          <w:sz w:val="22"/>
        </w:rPr>
        <w:t>Merton ICAPM / Fama–French。</w:t>
      </w:r>
      <w:r>
        <w:rPr>
          <w:rFonts w:ascii="Calibri" w:hAnsi="Calibri" w:eastAsia="微软雅黑"/>
          <w:b w:val="0"/>
          <w:i w:val="0"/>
          <w:color w:val="1A1A1A"/>
          <w:sz w:val="22"/>
        </w:rPr>
        <w:t xml:space="preserve"> 风险不止一个市场因子。债券提供利率因子；股票提供市场、价值、动量、盈利等。Bridgewater的全天候和风险平价，本质上是把组合从“资产权重”改写为“增长、通胀、贴现率”因子权重。</w:t>
      </w:r>
    </w:p>
    <w:p>
      <w:pPr>
        <w:pStyle w:val="ListNumber"/>
        <w:spacing w:before="20" w:after="60" w:line="276" w:lineRule="auto"/>
      </w:pPr>
      <w:r>
        <w:rPr>
          <w:rFonts w:ascii="Calibri" w:hAnsi="Calibri" w:eastAsia="微软雅黑"/>
          <w:b/>
          <w:i w:val="0"/>
          <w:color w:val="1B365D"/>
          <w:sz w:val="22"/>
        </w:rPr>
        <w:t>Campbell–Viceira（1999, 2001, 2002）。</w:t>
      </w:r>
      <w:r>
        <w:rPr>
          <w:rFonts w:ascii="Calibri" w:hAnsi="Calibri" w:eastAsia="微软雅黑"/>
          <w:b w:val="0"/>
          <w:i w:val="0"/>
          <w:color w:val="1A1A1A"/>
          <w:sz w:val="22"/>
        </w:rPr>
        <w:t xml:space="preserve"> 长期投资者与单期投资者不同。股票收益若有均值回复，长期股权的风险低于短期波动暗示的水平；长期债券（尤其是通胀挂钩债）是保守投资者对冲实际利率风险的工具，而不是“低收益的将就”。</w:t>
      </w:r>
    </w:p>
    <w:p>
      <w:pPr>
        <w:pStyle w:val="ListNumber"/>
        <w:spacing w:before="20" w:after="60" w:line="276" w:lineRule="auto"/>
      </w:pPr>
      <w:r>
        <w:rPr>
          <w:rFonts w:ascii="Calibri" w:hAnsi="Calibri" w:eastAsia="微软雅黑"/>
          <w:b/>
          <w:i w:val="0"/>
          <w:color w:val="1B365D"/>
          <w:sz w:val="22"/>
        </w:rPr>
        <w:t>Ilmanen《Expected Returns》。</w:t>
      </w:r>
      <w:r>
        <w:rPr>
          <w:rFonts w:ascii="Calibri" w:hAnsi="Calibri" w:eastAsia="微软雅黑"/>
          <w:b w:val="0"/>
          <w:i w:val="0"/>
          <w:color w:val="1A1A1A"/>
          <w:sz w:val="22"/>
        </w:rPr>
        <w:t xml:space="preserve"> 把各类溢价拆成构建模块：期限溢价、信用溢价、股权溢价、流动性溢价。配置变成对模块的预算，而不是对指数名称的偏好。</w:t>
      </w:r>
    </w:p>
    <w:p>
      <w:pPr>
        <w:spacing w:before="40" w:after="120" w:line="293" w:lineRule="auto"/>
        <w:ind w:firstLine="420"/>
      </w:pPr>
      <w:r>
        <w:rPr>
          <w:rFonts w:ascii="Calibri" w:hAnsi="Calibri" w:eastAsia="微软雅黑"/>
          <w:b w:val="0"/>
          <w:i w:val="0"/>
          <w:color w:val="1A1A1A"/>
          <w:sz w:val="22"/>
        </w:rPr>
        <w:t>对中国实践最有用的一句翻译是：</w:t>
      </w:r>
      <w:r>
        <w:rPr>
          <w:rFonts w:ascii="Calibri" w:hAnsi="Calibri" w:eastAsia="微软雅黑"/>
          <w:b/>
          <w:i w:val="0"/>
          <w:color w:val="1B365D"/>
          <w:sz w:val="22"/>
        </w:rPr>
        <w:t>股票解决“钱够不够花”，债券解决“晚上睡不睡得着”；长期资金还要问债券能否对冲负债。</w:t>
      </w:r>
    </w:p>
    <w:p>
      <w:pPr>
        <w:spacing w:before="240" w:after="120" w:line="276" w:lineRule="auto"/>
      </w:pPr>
      <w:r>
        <w:rPr>
          <w:rFonts w:ascii="Calibri" w:hAnsi="Calibri" w:eastAsia="微软雅黑"/>
          <w:b/>
          <w:i w:val="0"/>
          <w:color w:val="2A9D8F"/>
          <w:sz w:val="26"/>
        </w:rPr>
        <w:t>2.5 预期收益从哪里来</w:t>
      </w:r>
    </w:p>
    <w:p>
      <w:pPr>
        <w:spacing w:before="40" w:after="120" w:line="293" w:lineRule="auto"/>
        <w:ind w:firstLine="420"/>
      </w:pPr>
      <w:r>
        <w:rPr>
          <w:rFonts w:ascii="Calibri" w:hAnsi="Calibri" w:eastAsia="微软雅黑"/>
          <w:b w:val="0"/>
          <w:i w:val="0"/>
          <w:color w:val="1A1A1A"/>
          <w:sz w:val="22"/>
        </w:rPr>
        <w:t>从业者需要一套可重复的预期收益工作底稿，而不是故事。</w:t>
      </w:r>
    </w:p>
    <w:p>
      <w:pPr>
        <w:spacing w:before="40" w:after="120" w:line="293" w:lineRule="auto"/>
        <w:ind w:firstLine="420"/>
      </w:pPr>
      <w:r>
        <w:rPr>
          <w:rFonts w:ascii="Calibri" w:hAnsi="Calibri" w:eastAsia="微软雅黑"/>
          <w:b/>
          <w:i w:val="0"/>
          <w:color w:val="1B365D"/>
          <w:sz w:val="22"/>
        </w:rPr>
        <w:t>债券预期收益（持有期视角）≈ 起始YTM + 滚动效应 + 利差收窄/走阔 + 违约损失 − 融资成本。</w:t>
      </w:r>
    </w:p>
    <w:p>
      <w:pPr>
        <w:spacing w:before="40" w:after="120" w:line="293" w:lineRule="auto"/>
        <w:ind w:firstLine="420"/>
      </w:pPr>
      <w:r>
        <w:rPr>
          <w:rFonts w:ascii="Calibri" w:hAnsi="Calibri" w:eastAsia="微软雅黑"/>
          <w:b w:val="0"/>
          <w:i w:val="0"/>
          <w:color w:val="1A1A1A"/>
          <w:sz w:val="22"/>
        </w:rPr>
        <w:t>在降息周期，资本利得可以很大，但那是不可重复的；SBBI中国数据也显示，票息才是债券长期回报的主体。利率已经到1.7%附近时，再把6%的历史年化当作前向收益，是最常见的错误。</w:t>
      </w:r>
    </w:p>
    <w:p>
      <w:pPr>
        <w:spacing w:before="40" w:after="120" w:line="293" w:lineRule="auto"/>
        <w:ind w:firstLine="420"/>
      </w:pPr>
      <w:r>
        <w:rPr>
          <w:rFonts w:ascii="Calibri" w:hAnsi="Calibri" w:eastAsia="微软雅黑"/>
          <w:b/>
          <w:i w:val="0"/>
          <w:color w:val="1B365D"/>
          <w:sz w:val="22"/>
        </w:rPr>
        <w:t>股票预期收益 ≈ 股息率 + 盈利增长 + 估值变化。</w:t>
      </w:r>
    </w:p>
    <w:p>
      <w:pPr>
        <w:spacing w:before="40" w:after="120" w:line="293" w:lineRule="auto"/>
        <w:ind w:firstLine="420"/>
      </w:pPr>
      <w:r>
        <w:rPr>
          <w:rFonts w:ascii="Calibri" w:hAnsi="Calibri" w:eastAsia="微软雅黑"/>
          <w:b w:val="0"/>
          <w:i w:val="0"/>
          <w:color w:val="1A1A1A"/>
          <w:sz w:val="22"/>
        </w:rPr>
        <w:t>有知有行对A股21年的供给侧分解给出一个重要结论：长期收益的主引擎是企业盈利增长，而不是估值趋势抬升。这纠正了“A股只是政策市”的半截话——政策影响贴现率和节奏，但不替代盈利。</w:t>
      </w:r>
    </w:p>
    <w:p>
      <w:pPr>
        <w:spacing w:before="40" w:after="120" w:line="293" w:lineRule="auto"/>
        <w:ind w:firstLine="420"/>
      </w:pPr>
      <w:r>
        <w:rPr>
          <w:rFonts w:ascii="Calibri" w:hAnsi="Calibri" w:eastAsia="微软雅黑"/>
          <w:b w:val="0"/>
          <w:i w:val="0"/>
          <w:color w:val="1A1A1A"/>
          <w:sz w:val="22"/>
        </w:rPr>
        <w:t>股权风险溢价有三种算法，必须同时看、不能混用：</w:t>
      </w:r>
    </w:p>
    <w:p>
      <w:pPr>
        <w:pStyle w:val="ListBullet"/>
        <w:spacing w:before="20" w:after="60" w:line="276" w:lineRule="auto"/>
      </w:pPr>
      <w:r>
        <w:rPr>
          <w:rFonts w:ascii="Calibri" w:hAnsi="Calibri" w:eastAsia="微软雅黑"/>
          <w:b/>
          <w:i w:val="0"/>
          <w:color w:val="1B365D"/>
          <w:sz w:val="22"/>
        </w:rPr>
        <w:t>历史溢价：</w:t>
      </w:r>
      <w:r>
        <w:rPr>
          <w:rFonts w:ascii="Calibri" w:hAnsi="Calibri" w:eastAsia="微软雅黑"/>
          <w:b w:val="0"/>
          <w:i w:val="0"/>
          <w:color w:val="1A1A1A"/>
          <w:sz w:val="22"/>
        </w:rPr>
        <w:t xml:space="preserve"> A股年化减长期国债，约6个百分点（10.40% − 4.36%）。样本短、波动极大，标准误很高。</w:t>
      </w:r>
    </w:p>
    <w:p>
      <w:pPr>
        <w:pStyle w:val="ListBullet"/>
        <w:spacing w:before="20" w:after="60" w:line="276" w:lineRule="auto"/>
      </w:pPr>
      <w:r>
        <w:rPr>
          <w:rFonts w:ascii="Calibri" w:hAnsi="Calibri" w:eastAsia="微软雅黑"/>
          <w:b/>
          <w:i w:val="0"/>
          <w:color w:val="1B365D"/>
          <w:sz w:val="22"/>
        </w:rPr>
        <w:t>调查/隐含溢价：</w:t>
      </w:r>
      <w:r>
        <w:rPr>
          <w:rFonts w:ascii="Calibri" w:hAnsi="Calibri" w:eastAsia="微软雅黑"/>
          <w:b w:val="0"/>
          <w:i w:val="0"/>
          <w:color w:val="1A1A1A"/>
          <w:sz w:val="22"/>
        </w:rPr>
        <w:t xml:space="preserve"> Damodaran式，用盈利收益率或股利贴现倒推。当前沪深300盈利收益率约7%、十年国债约1.7%，隐含溢价约5个百分点。</w:t>
      </w:r>
    </w:p>
    <w:p>
      <w:pPr>
        <w:pStyle w:val="ListBullet"/>
        <w:spacing w:before="20" w:after="60" w:line="276" w:lineRule="auto"/>
      </w:pPr>
      <w:r>
        <w:rPr>
          <w:rFonts w:ascii="Calibri" w:hAnsi="Calibri" w:eastAsia="微软雅黑"/>
          <w:b/>
          <w:i w:val="0"/>
          <w:color w:val="1B365D"/>
          <w:sz w:val="22"/>
        </w:rPr>
        <w:t>相对溢价（股债性价比）：</w:t>
      </w:r>
      <w:r>
        <w:rPr>
          <w:rFonts w:ascii="Calibri" w:hAnsi="Calibri" w:eastAsia="微软雅黑"/>
          <w:b w:val="0"/>
          <w:i w:val="0"/>
          <w:color w:val="1A1A1A"/>
          <w:sz w:val="22"/>
        </w:rPr>
        <w:t xml:space="preserve"> 用分位数而不是绝对水平做仓位。2022年后该指标长期高位而股价仍弱，说明必须用增长预期和全球利率去修正（见第五节）。</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三、中国股债市场的制度与结构</w:t>
      </w:r>
    </w:p>
    <w:p>
      <w:pPr>
        <w:spacing w:before="40" w:after="120" w:line="293" w:lineRule="auto"/>
        <w:ind w:firstLine="420"/>
      </w:pPr>
      <w:r>
        <w:rPr>
          <w:rFonts w:ascii="Calibri" w:hAnsi="Calibri" w:eastAsia="微软雅黑"/>
          <w:b w:val="0"/>
          <w:i w:val="0"/>
          <w:color w:val="1A1A1A"/>
          <w:sz w:val="22"/>
        </w:rPr>
        <w:t>理论给出“应该怎样”，结构决定“在中国实际怎样”。</w:t>
      </w:r>
    </w:p>
    <w:p>
      <w:pPr>
        <w:spacing w:before="240" w:after="120" w:line="276" w:lineRule="auto"/>
      </w:pPr>
      <w:r>
        <w:rPr>
          <w:rFonts w:ascii="Calibri" w:hAnsi="Calibri" w:eastAsia="微软雅黑"/>
          <w:b/>
          <w:i w:val="0"/>
          <w:color w:val="2A9D8F"/>
          <w:sz w:val="26"/>
        </w:rPr>
        <w:t>3.1 规模：债市是主体市场，股市是风险定价市场</w:t>
      </w:r>
    </w:p>
    <w:p>
      <w:pPr>
        <w:spacing w:before="160" w:after="80" w:line="276" w:lineRule="auto"/>
        <w:jc w:val="center"/>
      </w:pPr>
      <w:r>
        <w:drawing>
          <wp:inline xmlns:a="http://schemas.openxmlformats.org/drawingml/2006/main" xmlns:pic="http://schemas.openxmlformats.org/drawingml/2006/picture">
            <wp:extent cx="5616000" cy="3401434"/>
            <wp:docPr id="2" name="Picture 2"/>
            <wp:cNvGraphicFramePr>
              <a:graphicFrameLocks noChangeAspect="1"/>
            </wp:cNvGraphicFramePr>
            <a:graphic>
              <a:graphicData uri="http://schemas.openxmlformats.org/drawingml/2006/picture">
                <pic:pic>
                  <pic:nvPicPr>
                    <pic:cNvPr id="0" name="fig05_market_size.png"/>
                    <pic:cNvPicPr/>
                  </pic:nvPicPr>
                  <pic:blipFill>
                    <a:blip r:embed="rId11"/>
                    <a:stretch>
                      <a:fillRect/>
                    </a:stretch>
                  </pic:blipFill>
                  <pic:spPr>
                    <a:xfrm>
                      <a:off x="0" y="0"/>
                      <a:ext cx="5616000" cy="3401434"/>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图5 规模对照</w:t>
      </w:r>
    </w:p>
    <w:p>
      <w:pPr>
        <w:spacing w:before="40" w:after="120" w:line="293" w:lineRule="auto"/>
        <w:ind w:firstLine="420"/>
      </w:pPr>
      <w:r>
        <w:rPr>
          <w:rFonts w:ascii="Calibri" w:hAnsi="Calibri" w:eastAsia="微软雅黑"/>
          <w:b w:val="0"/>
          <w:i w:val="0"/>
          <w:color w:val="1A1A1A"/>
          <w:sz w:val="22"/>
        </w:rPr>
        <w:t>2025年末三组官方数字并排：</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1B365D" w:val="clear"/>
          </w:tcPr>
          <w:p>
            <w:pPr>
              <w:spacing w:before="40" w:after="40" w:line="259" w:lineRule="auto"/>
            </w:pPr>
            <w:r/>
            <w:r>
              <w:rPr>
                <w:rFonts w:ascii="Calibri" w:hAnsi="Calibri" w:eastAsia="微软雅黑"/>
                <w:b/>
                <w:i w:val="0"/>
                <w:color w:val="FFFFFF"/>
                <w:sz w:val="20"/>
              </w:rPr>
              <w:t>指标</w:t>
            </w:r>
          </w:p>
        </w:tc>
        <w:tc>
          <w:tcPr>
            <w:tcW w:type="dxa" w:w="2353"/>
            <w:shd w:fill="1B365D" w:val="clear"/>
          </w:tcPr>
          <w:p>
            <w:pPr>
              <w:spacing w:before="40" w:after="40" w:line="259" w:lineRule="auto"/>
            </w:pPr>
            <w:r/>
            <w:r>
              <w:rPr>
                <w:rFonts w:ascii="Calibri" w:hAnsi="Calibri" w:eastAsia="微软雅黑"/>
                <w:b/>
                <w:i w:val="0"/>
                <w:color w:val="FFFFFF"/>
                <w:sz w:val="20"/>
              </w:rPr>
              <w:t>规模</w:t>
            </w:r>
          </w:p>
        </w:tc>
        <w:tc>
          <w:tcPr>
            <w:tcW w:type="dxa" w:w="2353"/>
            <w:shd w:fill="1B365D" w:val="clear"/>
          </w:tcPr>
          <w:p>
            <w:pPr>
              <w:spacing w:before="40" w:after="40" w:line="259" w:lineRule="auto"/>
            </w:pPr>
            <w:r/>
            <w:r>
              <w:rPr>
                <w:rFonts w:ascii="Calibri" w:hAnsi="Calibri" w:eastAsia="微软雅黑"/>
                <w:b/>
                <w:i w:val="0"/>
                <w:color w:val="FFFFFF"/>
                <w:sz w:val="20"/>
              </w:rPr>
              <w:t>相对GDP</w:t>
            </w:r>
          </w:p>
        </w:tc>
        <w:tc>
          <w:tcPr>
            <w:tcW w:type="dxa" w:w="2353"/>
            <w:shd w:fill="1B365D" w:val="clear"/>
          </w:tcPr>
          <w:p>
            <w:pPr>
              <w:spacing w:before="40" w:after="40" w:line="259" w:lineRule="auto"/>
            </w:pPr>
            <w:r/>
            <w:r>
              <w:rPr>
                <w:rFonts w:ascii="Calibri" w:hAnsi="Calibri" w:eastAsia="微软雅黑"/>
                <w:b/>
                <w:i w:val="0"/>
                <w:color w:val="FFFFFF"/>
                <w:sz w:val="20"/>
              </w:rPr>
              <w:t>出处</w:t>
            </w:r>
          </w:p>
        </w:tc>
      </w:tr>
      <w:tr>
        <w:tc>
          <w:tcPr>
            <w:tcW w:type="dxa" w:w="2353"/>
            <w:shd w:fill="FFFFFF" w:val="clear"/>
          </w:tcPr>
          <w:p>
            <w:pPr>
              <w:spacing w:before="40" w:after="40" w:line="259" w:lineRule="auto"/>
            </w:pPr>
            <w:r/>
            <w:r>
              <w:rPr>
                <w:rFonts w:ascii="Calibri" w:hAnsi="Calibri" w:eastAsia="微软雅黑"/>
                <w:b w:val="0"/>
                <w:i w:val="0"/>
                <w:color w:val="1A1A1A"/>
                <w:sz w:val="20"/>
              </w:rPr>
              <w:t>债券市场托管余额</w:t>
            </w:r>
          </w:p>
        </w:tc>
        <w:tc>
          <w:tcPr>
            <w:tcW w:type="dxa" w:w="2353"/>
            <w:shd w:fill="FFFFFF" w:val="clear"/>
          </w:tcPr>
          <w:p>
            <w:pPr>
              <w:spacing w:before="40" w:after="40" w:line="259" w:lineRule="auto"/>
            </w:pPr>
            <w:r/>
            <w:r>
              <w:rPr>
                <w:rFonts w:ascii="Calibri" w:hAnsi="Calibri" w:eastAsia="微软雅黑"/>
                <w:b w:val="0"/>
                <w:i w:val="0"/>
                <w:color w:val="1A1A1A"/>
                <w:sz w:val="20"/>
              </w:rPr>
              <w:t>196.7万亿元</w:t>
            </w:r>
          </w:p>
        </w:tc>
        <w:tc>
          <w:tcPr>
            <w:tcW w:type="dxa" w:w="2353"/>
            <w:shd w:fill="FFFFFF" w:val="clear"/>
          </w:tcPr>
          <w:p>
            <w:pPr>
              <w:spacing w:before="40" w:after="40" w:line="259" w:lineRule="auto"/>
            </w:pPr>
            <w:r/>
            <w:r>
              <w:rPr>
                <w:rFonts w:ascii="Calibri" w:hAnsi="Calibri" w:eastAsia="微软雅黑"/>
                <w:b w:val="0"/>
                <w:i w:val="0"/>
                <w:color w:val="1A1A1A"/>
                <w:sz w:val="20"/>
              </w:rPr>
              <w:t>约140%</w:t>
            </w:r>
          </w:p>
        </w:tc>
        <w:tc>
          <w:tcPr>
            <w:tcW w:type="dxa" w:w="2353"/>
            <w:shd w:fill="FFFFFF" w:val="clear"/>
          </w:tcPr>
          <w:p>
            <w:pPr>
              <w:spacing w:before="40" w:after="40" w:line="259" w:lineRule="auto"/>
            </w:pPr>
            <w:r/>
            <w:r>
              <w:rPr>
                <w:rFonts w:ascii="Calibri" w:hAnsi="Calibri" w:eastAsia="微软雅黑"/>
                <w:b w:val="0"/>
                <w:i w:val="0"/>
                <w:color w:val="1A1A1A"/>
                <w:sz w:val="20"/>
              </w:rPr>
              <w:t>人民银行《2025年金融市场运行情况》</w:t>
            </w:r>
          </w:p>
        </w:tc>
      </w:tr>
      <w:tr>
        <w:tc>
          <w:tcPr>
            <w:tcW w:type="dxa" w:w="2353"/>
            <w:shd w:fill="F4F1EC" w:val="clear"/>
          </w:tcPr>
          <w:p>
            <w:pPr>
              <w:spacing w:before="40" w:after="40" w:line="259" w:lineRule="auto"/>
            </w:pPr>
            <w:r/>
            <w:r>
              <w:rPr>
                <w:rFonts w:ascii="Calibri" w:hAnsi="Calibri" w:eastAsia="微软雅黑"/>
                <w:b w:val="0"/>
                <w:i w:val="0"/>
                <w:color w:val="1A1A1A"/>
                <w:sz w:val="20"/>
              </w:rPr>
              <w:t>沪深A股总市值</w:t>
            </w:r>
          </w:p>
        </w:tc>
        <w:tc>
          <w:tcPr>
            <w:tcW w:type="dxa" w:w="2353"/>
            <w:shd w:fill="F4F1EC" w:val="clear"/>
          </w:tcPr>
          <w:p>
            <w:pPr>
              <w:spacing w:before="40" w:after="40" w:line="259" w:lineRule="auto"/>
            </w:pPr>
            <w:r/>
            <w:r>
              <w:rPr>
                <w:rFonts w:ascii="Calibri" w:hAnsi="Calibri" w:eastAsia="微软雅黑"/>
                <w:b w:val="0"/>
                <w:i w:val="0"/>
                <w:color w:val="1A1A1A"/>
                <w:sz w:val="20"/>
              </w:rPr>
              <w:t>107.84万亿元</w:t>
            </w:r>
          </w:p>
        </w:tc>
        <w:tc>
          <w:tcPr>
            <w:tcW w:type="dxa" w:w="2353"/>
            <w:shd w:fill="F4F1EC" w:val="clear"/>
          </w:tcPr>
          <w:p>
            <w:pPr>
              <w:spacing w:before="40" w:after="40" w:line="259" w:lineRule="auto"/>
            </w:pPr>
            <w:r/>
            <w:r>
              <w:rPr>
                <w:rFonts w:ascii="Calibri" w:hAnsi="Calibri" w:eastAsia="微软雅黑"/>
                <w:b w:val="0"/>
                <w:i w:val="0"/>
                <w:color w:val="1A1A1A"/>
                <w:sz w:val="20"/>
              </w:rPr>
              <w:t>约77%</w:t>
            </w:r>
          </w:p>
        </w:tc>
        <w:tc>
          <w:tcPr>
            <w:tcW w:type="dxa" w:w="2353"/>
            <w:shd w:fill="F4F1EC" w:val="clear"/>
          </w:tcPr>
          <w:p>
            <w:pPr>
              <w:spacing w:before="40" w:after="40" w:line="259" w:lineRule="auto"/>
            </w:pPr>
            <w:r/>
            <w:r>
              <w:rPr>
                <w:rFonts w:ascii="Calibri" w:hAnsi="Calibri" w:eastAsia="微软雅黑"/>
                <w:b w:val="0"/>
                <w:i w:val="0"/>
                <w:color w:val="1A1A1A"/>
                <w:sz w:val="20"/>
              </w:rPr>
              <w:t>中国结算《统计年鉴2025》</w:t>
            </w:r>
          </w:p>
        </w:tc>
      </w:tr>
      <w:tr>
        <w:tc>
          <w:tcPr>
            <w:tcW w:type="dxa" w:w="2353"/>
            <w:shd w:fill="FFFFFF" w:val="clear"/>
          </w:tcPr>
          <w:p>
            <w:pPr>
              <w:spacing w:before="40" w:after="40" w:line="259" w:lineRule="auto"/>
            </w:pPr>
            <w:r/>
            <w:r>
              <w:rPr>
                <w:rFonts w:ascii="Calibri" w:hAnsi="Calibri" w:eastAsia="微软雅黑"/>
                <w:b w:val="0"/>
                <w:i w:val="0"/>
                <w:color w:val="1A1A1A"/>
                <w:sz w:val="20"/>
              </w:rPr>
              <w:t>GDP（初步核算）</w:t>
            </w:r>
          </w:p>
        </w:tc>
        <w:tc>
          <w:tcPr>
            <w:tcW w:type="dxa" w:w="2353"/>
            <w:shd w:fill="FFFFFF" w:val="clear"/>
          </w:tcPr>
          <w:p>
            <w:pPr>
              <w:spacing w:before="40" w:after="40" w:line="259" w:lineRule="auto"/>
            </w:pPr>
            <w:r/>
            <w:r>
              <w:rPr>
                <w:rFonts w:ascii="Calibri" w:hAnsi="Calibri" w:eastAsia="微软雅黑"/>
                <w:b w:val="0"/>
                <w:i w:val="0"/>
                <w:color w:val="1A1A1A"/>
                <w:sz w:val="20"/>
              </w:rPr>
              <w:t>140.19万亿元</w:t>
            </w:r>
          </w:p>
        </w:tc>
        <w:tc>
          <w:tcPr>
            <w:tcW w:type="dxa" w:w="2353"/>
            <w:shd w:fill="FFFFFF" w:val="clear"/>
          </w:tcPr>
          <w:p>
            <w:pPr>
              <w:spacing w:before="40" w:after="40" w:line="259" w:lineRule="auto"/>
            </w:pPr>
            <w:r/>
            <w:r>
              <w:rPr>
                <w:rFonts w:ascii="Calibri" w:hAnsi="Calibri" w:eastAsia="微软雅黑"/>
                <w:b w:val="0"/>
                <w:i w:val="0"/>
                <w:color w:val="1A1A1A"/>
                <w:sz w:val="20"/>
              </w:rPr>
              <w:t>100%</w:t>
            </w:r>
          </w:p>
        </w:tc>
        <w:tc>
          <w:tcPr>
            <w:tcW w:type="dxa" w:w="2353"/>
            <w:shd w:fill="FFFFFF" w:val="clear"/>
          </w:tcPr>
          <w:p>
            <w:pPr>
              <w:spacing w:before="40" w:after="40" w:line="259" w:lineRule="auto"/>
            </w:pPr>
            <w:r/>
            <w:r>
              <w:rPr>
                <w:rFonts w:ascii="Calibri" w:hAnsi="Calibri" w:eastAsia="微软雅黑"/>
                <w:b w:val="0"/>
                <w:i w:val="0"/>
                <w:color w:val="1A1A1A"/>
                <w:sz w:val="20"/>
              </w:rPr>
              <w:t>国家统计局</w:t>
            </w:r>
          </w:p>
        </w:tc>
      </w:tr>
    </w:tbl>
    <w:p/>
    <w:p>
      <w:pPr>
        <w:spacing w:before="40" w:after="120" w:line="293" w:lineRule="auto"/>
        <w:ind w:firstLine="420"/>
      </w:pPr>
      <w:r>
        <w:rPr>
          <w:rFonts w:ascii="Calibri" w:hAnsi="Calibri" w:eastAsia="微软雅黑"/>
          <w:b w:val="0"/>
          <w:i w:val="0"/>
          <w:color w:val="1A1A1A"/>
          <w:sz w:val="22"/>
        </w:rPr>
        <w:t>债市已经大于经济总量，股市深度仍明显低于美国（世界银行口径下美国股票市值/GDP长期可超过200%）。对中国配置的含义是：利率债和高等级信用是“容量最大的压舱石”；权益能提供溢价，但无法单独吸收全社会保障和银行理财的规模，必须和债券共存。</w:t>
      </w:r>
    </w:p>
    <w:p>
      <w:pPr>
        <w:spacing w:before="40" w:after="120" w:line="293" w:lineRule="auto"/>
        <w:ind w:firstLine="420"/>
      </w:pPr>
      <w:r>
        <w:rPr>
          <w:rFonts w:ascii="Calibri" w:hAnsi="Calibri" w:eastAsia="微软雅黑"/>
          <w:b w:val="0"/>
          <w:i w:val="0"/>
          <w:color w:val="1A1A1A"/>
          <w:sz w:val="22"/>
        </w:rPr>
        <w:t>世界银行2024年数据显示，中国私人部门信贷/GDP约194%，股票市值/GDP约63%。这与Demirgüç-Kunt和Levine所定义的</w:t>
      </w:r>
      <w:r>
        <w:rPr>
          <w:rFonts w:ascii="Calibri" w:hAnsi="Calibri" w:eastAsia="微软雅黑"/>
          <w:b/>
          <w:i w:val="0"/>
          <w:color w:val="1B365D"/>
          <w:sz w:val="22"/>
        </w:rPr>
        <w:t>银行主导金融结构</w:t>
      </w:r>
      <w:r>
        <w:rPr>
          <w:rFonts w:ascii="Calibri" w:hAnsi="Calibri" w:eastAsia="微软雅黑"/>
          <w:b w:val="0"/>
          <w:i w:val="0"/>
          <w:color w:val="1A1A1A"/>
          <w:sz w:val="22"/>
        </w:rPr>
        <w:t>一致：中国更接近德国、日本的历史形态，而不是当代美国。</w:t>
      </w:r>
    </w:p>
    <w:p>
      <w:pPr>
        <w:spacing w:before="240" w:after="120" w:line="276" w:lineRule="auto"/>
      </w:pPr>
      <w:r>
        <w:rPr>
          <w:rFonts w:ascii="Calibri" w:hAnsi="Calibri" w:eastAsia="微软雅黑"/>
          <w:b/>
          <w:i w:val="0"/>
          <w:color w:val="2A9D8F"/>
          <w:sz w:val="26"/>
        </w:rPr>
        <w:t>3.2 债券：政府信用搭建供给，银行资金搭建需求</w:t>
      </w:r>
    </w:p>
    <w:p>
      <w:pPr>
        <w:spacing w:before="160" w:after="80" w:line="276" w:lineRule="auto"/>
        <w:jc w:val="center"/>
      </w:pPr>
      <w:r>
        <w:drawing>
          <wp:inline xmlns:a="http://schemas.openxmlformats.org/drawingml/2006/main" xmlns:pic="http://schemas.openxmlformats.org/drawingml/2006/picture">
            <wp:extent cx="5616000" cy="4184380"/>
            <wp:docPr id="3" name="Picture 3"/>
            <wp:cNvGraphicFramePr>
              <a:graphicFrameLocks noChangeAspect="1"/>
            </wp:cNvGraphicFramePr>
            <a:graphic>
              <a:graphicData uri="http://schemas.openxmlformats.org/drawingml/2006/picture">
                <pic:pic>
                  <pic:nvPicPr>
                    <pic:cNvPr id="0" name="fig03_bond_structure.png"/>
                    <pic:cNvPicPr/>
                  </pic:nvPicPr>
                  <pic:blipFill>
                    <a:blip r:embed="rId12"/>
                    <a:stretch>
                      <a:fillRect/>
                    </a:stretch>
                  </pic:blipFill>
                  <pic:spPr>
                    <a:xfrm>
                      <a:off x="0" y="0"/>
                      <a:ext cx="5616000" cy="4184380"/>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图3 债券余额结构</w:t>
      </w:r>
    </w:p>
    <w:p>
      <w:pPr>
        <w:spacing w:before="40" w:after="120" w:line="293" w:lineRule="auto"/>
        <w:ind w:firstLine="420"/>
      </w:pPr>
      <w:r>
        <w:rPr>
          <w:rFonts w:ascii="Calibri" w:hAnsi="Calibri" w:eastAsia="微软雅黑"/>
          <w:b w:val="0"/>
          <w:i w:val="0"/>
          <w:color w:val="1A1A1A"/>
          <w:sz w:val="22"/>
        </w:rPr>
        <w:t>按Wind券种，2025年底地方政府债、国债、金融债合计约七成。人民银行口径下，2025年政府债券净融资13.8万亿元，企业债券净融资仅2.4万亿元。申万宏源把这一结构概括为：“由政府信用和银行资金搭建的中国债券市场。”</w:t>
      </w:r>
    </w:p>
    <w:p>
      <w:pPr>
        <w:spacing w:before="40" w:after="120" w:line="293" w:lineRule="auto"/>
        <w:ind w:firstLine="420"/>
      </w:pPr>
      <w:r>
        <w:rPr>
          <w:rFonts w:ascii="Calibri" w:hAnsi="Calibri" w:eastAsia="微软雅黑"/>
          <w:b w:val="0"/>
          <w:i w:val="0"/>
          <w:color w:val="1A1A1A"/>
          <w:sz w:val="22"/>
        </w:rPr>
        <w:t xml:space="preserve">持有人结构同样一边倒。中央结算公司2025年统计：商业银行持有全部券种托管量 </w:t>
      </w:r>
      <w:r>
        <w:rPr>
          <w:rFonts w:ascii="Calibri" w:hAnsi="Calibri" w:eastAsia="微软雅黑"/>
          <w:b/>
          <w:i w:val="0"/>
          <w:color w:val="1B365D"/>
          <w:sz w:val="22"/>
        </w:rPr>
        <w:t>81.28万亿元，占比63.17%</w:t>
      </w:r>
      <w:r>
        <w:rPr>
          <w:rFonts w:ascii="Calibri" w:hAnsi="Calibri" w:eastAsia="微软雅黑"/>
          <w:b w:val="0"/>
          <w:i w:val="0"/>
          <w:color w:val="1A1A1A"/>
          <w:sz w:val="22"/>
        </w:rPr>
        <w:t>；非法人产品（基金、理财等）约15%；境外机构约2%。商业银行尤其偏爱地方债、国债、政金债。结果是：</w:t>
      </w:r>
    </w:p>
    <w:p>
      <w:pPr>
        <w:pStyle w:val="ListBullet"/>
        <w:spacing w:before="20" w:after="60" w:line="276" w:lineRule="auto"/>
      </w:pPr>
      <w:r>
        <w:rPr>
          <w:rFonts w:ascii="Calibri" w:hAnsi="Calibri" w:eastAsia="微软雅黑"/>
          <w:b w:val="0"/>
          <w:i w:val="0"/>
          <w:color w:val="1A1A1A"/>
          <w:sz w:val="22"/>
        </w:rPr>
        <w:t>利率中枢高度依赖银行缺配、存款成本和监管考核，而不只是增长和通胀。</w:t>
      </w:r>
    </w:p>
    <w:p>
      <w:pPr>
        <w:pStyle w:val="ListBullet"/>
        <w:spacing w:before="20" w:after="60" w:line="276" w:lineRule="auto"/>
      </w:pPr>
      <w:r>
        <w:rPr>
          <w:rFonts w:ascii="Calibri" w:hAnsi="Calibri" w:eastAsia="微软雅黑"/>
          <w:b w:val="0"/>
          <w:i w:val="0"/>
          <w:color w:val="1A1A1A"/>
          <w:sz w:val="22"/>
        </w:rPr>
        <w:t>信用利差经常“板块定价”，个体基本面差异反映不足。</w:t>
      </w:r>
    </w:p>
    <w:p>
      <w:pPr>
        <w:pStyle w:val="ListBullet"/>
        <w:spacing w:before="20" w:after="60" w:line="276" w:lineRule="auto"/>
      </w:pPr>
      <w:r>
        <w:rPr>
          <w:rFonts w:ascii="Calibri" w:hAnsi="Calibri" w:eastAsia="微软雅黑"/>
          <w:b w:val="0"/>
          <w:i w:val="0"/>
          <w:color w:val="1A1A1A"/>
          <w:sz w:val="22"/>
        </w:rPr>
        <w:t>外资占比低（全市场约1.8%–2.0%），中国利率债与全球债市的相关性低于日欧，是全球组合里可用的分散工具（BlackRock等外资机构反复强调这一点）。</w:t>
      </w:r>
    </w:p>
    <w:p>
      <w:pPr>
        <w:spacing w:before="40" w:after="120" w:line="293" w:lineRule="auto"/>
        <w:ind w:firstLine="420"/>
      </w:pPr>
      <w:r>
        <w:rPr>
          <w:rFonts w:ascii="Calibri" w:hAnsi="Calibri" w:eastAsia="微软雅黑"/>
          <w:b w:val="0"/>
          <w:i w:val="0"/>
          <w:color w:val="1A1A1A"/>
          <w:sz w:val="22"/>
        </w:rPr>
        <w:t>交易层面，2025年现券成交425.3万亿元，银行间换手率230%；10年国债活跃券价差0.44个基点，流动性在利率债上已经接近成熟市场。信用债和国债期货（2025年成交97.0万亿元）正在把市场从“方向交易”推向“配置 + 交易 + 对冲”。</w:t>
      </w:r>
    </w:p>
    <w:p>
      <w:pPr>
        <w:spacing w:before="240" w:after="120" w:line="276" w:lineRule="auto"/>
      </w:pPr>
      <w:r>
        <w:rPr>
          <w:rFonts w:ascii="Calibri" w:hAnsi="Calibri" w:eastAsia="微软雅黑"/>
          <w:b/>
          <w:i w:val="0"/>
          <w:color w:val="2A9D8F"/>
          <w:sz w:val="26"/>
        </w:rPr>
        <w:t>3.3 股票：融资功能弱，定价与财富效应强</w:t>
      </w:r>
    </w:p>
    <w:p>
      <w:pPr>
        <w:spacing w:before="40" w:after="120" w:line="293" w:lineRule="auto"/>
        <w:ind w:firstLine="420"/>
      </w:pPr>
      <w:r>
        <w:rPr>
          <w:rFonts w:ascii="Calibri" w:hAnsi="Calibri" w:eastAsia="微软雅黑"/>
          <w:b w:val="0"/>
          <w:i w:val="0"/>
          <w:color w:val="1A1A1A"/>
          <w:sz w:val="22"/>
        </w:rPr>
        <w:t>社融把真相说得很直白：</w:t>
      </w:r>
    </w:p>
    <w:p>
      <w:pPr>
        <w:spacing w:before="160" w:after="80" w:line="276" w:lineRule="auto"/>
        <w:jc w:val="center"/>
      </w:pPr>
      <w:r>
        <w:drawing>
          <wp:inline xmlns:a="http://schemas.openxmlformats.org/drawingml/2006/main" xmlns:pic="http://schemas.openxmlformats.org/drawingml/2006/picture">
            <wp:extent cx="5616000" cy="3529451"/>
            <wp:docPr id="4" name="Picture 4"/>
            <wp:cNvGraphicFramePr>
              <a:graphicFrameLocks noChangeAspect="1"/>
            </wp:cNvGraphicFramePr>
            <a:graphic>
              <a:graphicData uri="http://schemas.openxmlformats.org/drawingml/2006/picture">
                <pic:pic>
                  <pic:nvPicPr>
                    <pic:cNvPr id="0" name="fig04_social_financing.png"/>
                    <pic:cNvPicPr/>
                  </pic:nvPicPr>
                  <pic:blipFill>
                    <a:blip r:embed="rId13"/>
                    <a:stretch>
                      <a:fillRect/>
                    </a:stretch>
                  </pic:blipFill>
                  <pic:spPr>
                    <a:xfrm>
                      <a:off x="0" y="0"/>
                      <a:ext cx="5616000" cy="3529451"/>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图4 社融存量结构</w:t>
      </w:r>
    </w:p>
    <w:p>
      <w:pPr>
        <w:spacing w:before="40" w:after="120" w:line="293" w:lineRule="auto"/>
        <w:ind w:firstLine="420"/>
      </w:pPr>
      <w:r>
        <w:rPr>
          <w:rFonts w:ascii="Calibri" w:hAnsi="Calibri" w:eastAsia="微软雅黑"/>
          <w:b w:val="0"/>
          <w:i w:val="0"/>
          <w:color w:val="1A1A1A"/>
          <w:sz w:val="22"/>
        </w:rPr>
        <w:t>非金融企业境内股票存量12.2万亿元，仅占社融2.8%；2025年股票融资4763亿元，而贷款增加约16万亿元、政府债券净融资13.8万亿元。A股的宏观功能首先不是“给企业融资”，而是</w:t>
      </w:r>
      <w:r>
        <w:rPr>
          <w:rFonts w:ascii="Calibri" w:hAnsi="Calibri" w:eastAsia="微软雅黑"/>
          <w:b/>
          <w:i w:val="0"/>
          <w:color w:val="1B365D"/>
          <w:sz w:val="22"/>
        </w:rPr>
        <w:t>给居民和机构做风险资产定价、做财富管理、做激励与治理。</w:t>
      </w:r>
    </w:p>
    <w:p>
      <w:pPr>
        <w:spacing w:before="40" w:after="120" w:line="293" w:lineRule="auto"/>
        <w:ind w:firstLine="420"/>
      </w:pPr>
      <w:r>
        <w:rPr>
          <w:rFonts w:ascii="Calibri" w:hAnsi="Calibri" w:eastAsia="微软雅黑"/>
          <w:b w:val="0"/>
          <w:i w:val="0"/>
          <w:color w:val="1A1A1A"/>
          <w:sz w:val="22"/>
        </w:rPr>
        <w:t>市场微观结构与债市几乎相反：</w:t>
      </w:r>
    </w:p>
    <w:p>
      <w:pPr>
        <w:pStyle w:val="ListBullet"/>
        <w:spacing w:before="20" w:after="60" w:line="276" w:lineRule="auto"/>
      </w:pPr>
      <w:r>
        <w:rPr>
          <w:rFonts w:ascii="Calibri" w:hAnsi="Calibri" w:eastAsia="微软雅黑"/>
          <w:b/>
          <w:i w:val="0"/>
          <w:color w:val="1B365D"/>
          <w:sz w:val="22"/>
        </w:rPr>
        <w:t>投资者。</w:t>
      </w:r>
      <w:r>
        <w:rPr>
          <w:rFonts w:ascii="Calibri" w:hAnsi="Calibri" w:eastAsia="微软雅黑"/>
          <w:b w:val="0"/>
          <w:i w:val="0"/>
          <w:color w:val="1A1A1A"/>
          <w:sz w:val="22"/>
        </w:rPr>
        <w:t xml:space="preserve"> 中国结算投资者数量已超2.5亿；公募持有A股流通市值2024年末约5.96万亿元、占流通市值7.4%（基金业协会）。外资经QFII和沪深股通持有流通市值约3万亿元量级。零售和短线资金的权重，远高于债市。</w:t>
      </w:r>
    </w:p>
    <w:p>
      <w:pPr>
        <w:pStyle w:val="ListBullet"/>
        <w:spacing w:before="20" w:after="60" w:line="276" w:lineRule="auto"/>
      </w:pPr>
      <w:r>
        <w:rPr>
          <w:rFonts w:ascii="Calibri" w:hAnsi="Calibri" w:eastAsia="微软雅黑"/>
          <w:b/>
          <w:i w:val="0"/>
          <w:color w:val="1B365D"/>
          <w:sz w:val="22"/>
        </w:rPr>
        <w:t>换手。</w:t>
      </w:r>
      <w:r>
        <w:rPr>
          <w:rFonts w:ascii="Calibri" w:hAnsi="Calibri" w:eastAsia="微软雅黑"/>
          <w:b w:val="0"/>
          <w:i w:val="0"/>
          <w:color w:val="1A1A1A"/>
          <w:sz w:val="22"/>
        </w:rPr>
        <w:t xml:space="preserve"> 2025年沪深日均成交1.70万亿元，全年成交约413万亿元，首次突破400万亿元。高换手降低了“长期持有股票就能轻松收获溢价”的假设——溢价存在，但持有体验极差。</w:t>
      </w:r>
    </w:p>
    <w:p>
      <w:pPr>
        <w:pStyle w:val="ListBullet"/>
        <w:spacing w:before="20" w:after="60" w:line="276" w:lineRule="auto"/>
      </w:pPr>
      <w:r>
        <w:rPr>
          <w:rFonts w:ascii="Calibri" w:hAnsi="Calibri" w:eastAsia="微软雅黑"/>
          <w:b/>
          <w:i w:val="0"/>
          <w:color w:val="1B365D"/>
          <w:sz w:val="22"/>
        </w:rPr>
        <w:t>结构分化。</w:t>
      </w:r>
      <w:r>
        <w:rPr>
          <w:rFonts w:ascii="Calibri" w:hAnsi="Calibri" w:eastAsia="微软雅黑"/>
          <w:b w:val="0"/>
          <w:i w:val="0"/>
          <w:color w:val="1A1A1A"/>
          <w:sz w:val="22"/>
        </w:rPr>
        <w:t xml:space="preserve"> 2025年创业板指涨约50%，上证指数涨18.4%，深证成指涨29.9%。指数选择本身就是一种配置决策。</w:t>
      </w:r>
    </w:p>
    <w:p>
      <w:pPr>
        <w:pStyle w:val="ListBullet"/>
        <w:spacing w:before="20" w:after="60" w:line="276" w:lineRule="auto"/>
      </w:pPr>
      <w:r>
        <w:rPr>
          <w:rFonts w:ascii="Calibri" w:hAnsi="Calibri" w:eastAsia="微软雅黑"/>
          <w:b/>
          <w:i w:val="0"/>
          <w:color w:val="1B365D"/>
          <w:sz w:val="22"/>
        </w:rPr>
        <w:t>政策敏感。</w:t>
      </w:r>
      <w:r>
        <w:rPr>
          <w:rFonts w:ascii="Calibri" w:hAnsi="Calibri" w:eastAsia="微软雅黑"/>
          <w:b w:val="0"/>
          <w:i w:val="0"/>
          <w:color w:val="1A1A1A"/>
          <w:sz w:val="22"/>
        </w:rPr>
        <w:t xml:space="preserve"> 回购增持再贷款、印花税、减持规则、中长期资金入市，都会在贴现率通道里快速显影。这不是“没有基本面”，而是基本面之上叠了一层政策凸性。</w:t>
      </w:r>
    </w:p>
    <w:p>
      <w:pPr>
        <w:spacing w:before="240" w:after="120" w:line="276" w:lineRule="auto"/>
      </w:pPr>
      <w:r>
        <w:rPr>
          <w:rFonts w:ascii="Calibri" w:hAnsi="Calibri" w:eastAsia="微软雅黑"/>
          <w:b/>
          <w:i w:val="0"/>
          <w:color w:val="2A9D8F"/>
          <w:sz w:val="26"/>
        </w:rPr>
        <w:t>3.4 一张对照表</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1B365D" w:val="clear"/>
          </w:tcPr>
          <w:p>
            <w:pPr>
              <w:spacing w:before="40" w:after="40" w:line="259" w:lineRule="auto"/>
            </w:pPr>
            <w:r/>
            <w:r>
              <w:rPr>
                <w:rFonts w:ascii="Calibri" w:hAnsi="Calibri" w:eastAsia="微软雅黑"/>
                <w:b/>
                <w:i w:val="0"/>
                <w:color w:val="FFFFFF"/>
                <w:sz w:val="20"/>
              </w:rPr>
              <w:t>维度</w:t>
            </w:r>
          </w:p>
        </w:tc>
        <w:tc>
          <w:tcPr>
            <w:tcW w:type="dxa" w:w="3137"/>
            <w:shd w:fill="1B365D" w:val="clear"/>
          </w:tcPr>
          <w:p>
            <w:pPr>
              <w:spacing w:before="40" w:after="40" w:line="259" w:lineRule="auto"/>
            </w:pPr>
            <w:r/>
            <w:r>
              <w:rPr>
                <w:rFonts w:ascii="Calibri" w:hAnsi="Calibri" w:eastAsia="微软雅黑"/>
                <w:b/>
                <w:i w:val="0"/>
                <w:color w:val="FFFFFF"/>
                <w:sz w:val="20"/>
              </w:rPr>
              <w:t>中国债券</w:t>
            </w:r>
          </w:p>
        </w:tc>
        <w:tc>
          <w:tcPr>
            <w:tcW w:type="dxa" w:w="3137"/>
            <w:shd w:fill="1B365D" w:val="clear"/>
          </w:tcPr>
          <w:p>
            <w:pPr>
              <w:spacing w:before="40" w:after="40" w:line="259" w:lineRule="auto"/>
            </w:pPr>
            <w:r/>
            <w:r>
              <w:rPr>
                <w:rFonts w:ascii="Calibri" w:hAnsi="Calibri" w:eastAsia="微软雅黑"/>
                <w:b/>
                <w:i w:val="0"/>
                <w:color w:val="FFFFFF"/>
                <w:sz w:val="20"/>
              </w:rPr>
              <w:t>中国股票</w:t>
            </w:r>
          </w:p>
        </w:tc>
      </w:tr>
      <w:tr>
        <w:tc>
          <w:tcPr>
            <w:tcW w:type="dxa" w:w="3137"/>
            <w:shd w:fill="FFFFFF" w:val="clear"/>
          </w:tcPr>
          <w:p>
            <w:pPr>
              <w:spacing w:before="40" w:after="40" w:line="259" w:lineRule="auto"/>
            </w:pPr>
            <w:r/>
            <w:r>
              <w:rPr>
                <w:rFonts w:ascii="Calibri" w:hAnsi="Calibri" w:eastAsia="微软雅黑"/>
                <w:b w:val="0"/>
                <w:i w:val="0"/>
                <w:color w:val="1A1A1A"/>
                <w:sz w:val="20"/>
              </w:rPr>
              <w:t>权利</w:t>
            </w:r>
          </w:p>
        </w:tc>
        <w:tc>
          <w:tcPr>
            <w:tcW w:type="dxa" w:w="3137"/>
            <w:shd w:fill="FFFFFF" w:val="clear"/>
          </w:tcPr>
          <w:p>
            <w:pPr>
              <w:spacing w:before="40" w:after="40" w:line="259" w:lineRule="auto"/>
            </w:pPr>
            <w:r/>
            <w:r>
              <w:rPr>
                <w:rFonts w:ascii="Calibri" w:hAnsi="Calibri" w:eastAsia="微软雅黑"/>
                <w:b w:val="0"/>
                <w:i w:val="0"/>
                <w:color w:val="1A1A1A"/>
                <w:sz w:val="20"/>
              </w:rPr>
              <w:t>合同现金流，违约前优先</w:t>
            </w:r>
          </w:p>
        </w:tc>
        <w:tc>
          <w:tcPr>
            <w:tcW w:type="dxa" w:w="3137"/>
            <w:shd w:fill="FFFFFF" w:val="clear"/>
          </w:tcPr>
          <w:p>
            <w:pPr>
              <w:spacing w:before="40" w:after="40" w:line="259" w:lineRule="auto"/>
            </w:pPr>
            <w:r/>
            <w:r>
              <w:rPr>
                <w:rFonts w:ascii="Calibri" w:hAnsi="Calibri" w:eastAsia="微软雅黑"/>
                <w:b w:val="0"/>
                <w:i w:val="0"/>
                <w:color w:val="1A1A1A"/>
                <w:sz w:val="20"/>
              </w:rPr>
              <w:t>剩余索取权</w:t>
            </w:r>
          </w:p>
        </w:tc>
      </w:tr>
      <w:tr>
        <w:tc>
          <w:tcPr>
            <w:tcW w:type="dxa" w:w="3137"/>
            <w:shd w:fill="F4F1EC" w:val="clear"/>
          </w:tcPr>
          <w:p>
            <w:pPr>
              <w:spacing w:before="40" w:after="40" w:line="259" w:lineRule="auto"/>
            </w:pPr>
            <w:r/>
            <w:r>
              <w:rPr>
                <w:rFonts w:ascii="Calibri" w:hAnsi="Calibri" w:eastAsia="微软雅黑"/>
                <w:b w:val="0"/>
                <w:i w:val="0"/>
                <w:color w:val="1A1A1A"/>
                <w:sz w:val="20"/>
              </w:rPr>
              <w:t>主导发行人</w:t>
            </w:r>
          </w:p>
        </w:tc>
        <w:tc>
          <w:tcPr>
            <w:tcW w:type="dxa" w:w="3137"/>
            <w:shd w:fill="F4F1EC" w:val="clear"/>
          </w:tcPr>
          <w:p>
            <w:pPr>
              <w:spacing w:before="40" w:after="40" w:line="259" w:lineRule="auto"/>
            </w:pPr>
            <w:r/>
            <w:r>
              <w:rPr>
                <w:rFonts w:ascii="Calibri" w:hAnsi="Calibri" w:eastAsia="微软雅黑"/>
                <w:b w:val="0"/>
                <w:i w:val="0"/>
                <w:color w:val="1A1A1A"/>
                <w:sz w:val="20"/>
              </w:rPr>
              <w:t>政府、政策性银行、金融机构</w:t>
            </w:r>
          </w:p>
        </w:tc>
        <w:tc>
          <w:tcPr>
            <w:tcW w:type="dxa" w:w="3137"/>
            <w:shd w:fill="F4F1EC" w:val="clear"/>
          </w:tcPr>
          <w:p>
            <w:pPr>
              <w:spacing w:before="40" w:after="40" w:line="259" w:lineRule="auto"/>
            </w:pPr>
            <w:r/>
            <w:r>
              <w:rPr>
                <w:rFonts w:ascii="Calibri" w:hAnsi="Calibri" w:eastAsia="微软雅黑"/>
                <w:b w:val="0"/>
                <w:i w:val="0"/>
                <w:color w:val="1A1A1A"/>
                <w:sz w:val="20"/>
              </w:rPr>
              <w:t>上市公司（国企+民企混合）</w:t>
            </w:r>
          </w:p>
        </w:tc>
      </w:tr>
      <w:tr>
        <w:tc>
          <w:tcPr>
            <w:tcW w:type="dxa" w:w="3137"/>
            <w:shd w:fill="FFFFFF" w:val="clear"/>
          </w:tcPr>
          <w:p>
            <w:pPr>
              <w:spacing w:before="40" w:after="40" w:line="259" w:lineRule="auto"/>
            </w:pPr>
            <w:r/>
            <w:r>
              <w:rPr>
                <w:rFonts w:ascii="Calibri" w:hAnsi="Calibri" w:eastAsia="微软雅黑"/>
                <w:b w:val="0"/>
                <w:i w:val="0"/>
                <w:color w:val="1A1A1A"/>
                <w:sz w:val="20"/>
              </w:rPr>
              <w:t>主导持有人</w:t>
            </w:r>
          </w:p>
        </w:tc>
        <w:tc>
          <w:tcPr>
            <w:tcW w:type="dxa" w:w="3137"/>
            <w:shd w:fill="FFFFFF" w:val="clear"/>
          </w:tcPr>
          <w:p>
            <w:pPr>
              <w:spacing w:before="40" w:after="40" w:line="259" w:lineRule="auto"/>
            </w:pPr>
            <w:r/>
            <w:r>
              <w:rPr>
                <w:rFonts w:ascii="Calibri" w:hAnsi="Calibri" w:eastAsia="微软雅黑"/>
                <w:b w:val="0"/>
                <w:i w:val="0"/>
                <w:color w:val="1A1A1A"/>
                <w:sz w:val="20"/>
              </w:rPr>
              <w:t>商业银行自营</w:t>
            </w:r>
          </w:p>
        </w:tc>
        <w:tc>
          <w:tcPr>
            <w:tcW w:type="dxa" w:w="3137"/>
            <w:shd w:fill="FFFFFF" w:val="clear"/>
          </w:tcPr>
          <w:p>
            <w:pPr>
              <w:spacing w:before="40" w:after="40" w:line="259" w:lineRule="auto"/>
            </w:pPr>
            <w:r/>
            <w:r>
              <w:rPr>
                <w:rFonts w:ascii="Calibri" w:hAnsi="Calibri" w:eastAsia="微软雅黑"/>
                <w:b w:val="0"/>
                <w:i w:val="0"/>
                <w:color w:val="1A1A1A"/>
                <w:sz w:val="20"/>
              </w:rPr>
              <w:t>个人 + 公募/保险/外资</w:t>
            </w:r>
          </w:p>
        </w:tc>
      </w:tr>
      <w:tr>
        <w:tc>
          <w:tcPr>
            <w:tcW w:type="dxa" w:w="3137"/>
            <w:shd w:fill="F4F1EC" w:val="clear"/>
          </w:tcPr>
          <w:p>
            <w:pPr>
              <w:spacing w:before="40" w:after="40" w:line="259" w:lineRule="auto"/>
            </w:pPr>
            <w:r/>
            <w:r>
              <w:rPr>
                <w:rFonts w:ascii="Calibri" w:hAnsi="Calibri" w:eastAsia="微软雅黑"/>
                <w:b w:val="0"/>
                <w:i w:val="0"/>
                <w:color w:val="1A1A1A"/>
                <w:sz w:val="20"/>
              </w:rPr>
              <w:t>定价主驱动</w:t>
            </w:r>
          </w:p>
        </w:tc>
        <w:tc>
          <w:tcPr>
            <w:tcW w:type="dxa" w:w="3137"/>
            <w:shd w:fill="F4F1EC" w:val="clear"/>
          </w:tcPr>
          <w:p>
            <w:pPr>
              <w:spacing w:before="40" w:after="40" w:line="259" w:lineRule="auto"/>
            </w:pPr>
            <w:r/>
            <w:r>
              <w:rPr>
                <w:rFonts w:ascii="Calibri" w:hAnsi="Calibri" w:eastAsia="微软雅黑"/>
                <w:b w:val="0"/>
                <w:i w:val="0"/>
                <w:color w:val="1A1A1A"/>
                <w:sz w:val="20"/>
              </w:rPr>
              <w:t>货币政策、供给、机构行为</w:t>
            </w:r>
          </w:p>
        </w:tc>
        <w:tc>
          <w:tcPr>
            <w:tcW w:type="dxa" w:w="3137"/>
            <w:shd w:fill="F4F1EC" w:val="clear"/>
          </w:tcPr>
          <w:p>
            <w:pPr>
              <w:spacing w:before="40" w:after="40" w:line="259" w:lineRule="auto"/>
            </w:pPr>
            <w:r/>
            <w:r>
              <w:rPr>
                <w:rFonts w:ascii="Calibri" w:hAnsi="Calibri" w:eastAsia="微软雅黑"/>
                <w:b w:val="0"/>
                <w:i w:val="0"/>
                <w:color w:val="1A1A1A"/>
                <w:sz w:val="20"/>
              </w:rPr>
              <w:t>盈利、风险偏好、流动性、政策</w:t>
            </w:r>
          </w:p>
        </w:tc>
      </w:tr>
      <w:tr>
        <w:tc>
          <w:tcPr>
            <w:tcW w:type="dxa" w:w="3137"/>
            <w:shd w:fill="FFFFFF" w:val="clear"/>
          </w:tcPr>
          <w:p>
            <w:pPr>
              <w:spacing w:before="40" w:after="40" w:line="259" w:lineRule="auto"/>
            </w:pPr>
            <w:r/>
            <w:r>
              <w:rPr>
                <w:rFonts w:ascii="Calibri" w:hAnsi="Calibri" w:eastAsia="微软雅黑"/>
                <w:b w:val="0"/>
                <w:i w:val="0"/>
                <w:color w:val="1A1A1A"/>
                <w:sz w:val="20"/>
              </w:rPr>
              <w:t>主要风险</w:t>
            </w:r>
          </w:p>
        </w:tc>
        <w:tc>
          <w:tcPr>
            <w:tcW w:type="dxa" w:w="3137"/>
            <w:shd w:fill="FFFFFF" w:val="clear"/>
          </w:tcPr>
          <w:p>
            <w:pPr>
              <w:spacing w:before="40" w:after="40" w:line="259" w:lineRule="auto"/>
            </w:pPr>
            <w:r/>
            <w:r>
              <w:rPr>
                <w:rFonts w:ascii="Calibri" w:hAnsi="Calibri" w:eastAsia="微软雅黑"/>
                <w:b w:val="0"/>
                <w:i w:val="0"/>
                <w:color w:val="1A1A1A"/>
                <w:sz w:val="20"/>
              </w:rPr>
              <w:t>利率、信用、杠杆踩踏</w:t>
            </w:r>
          </w:p>
        </w:tc>
        <w:tc>
          <w:tcPr>
            <w:tcW w:type="dxa" w:w="3137"/>
            <w:shd w:fill="FFFFFF" w:val="clear"/>
          </w:tcPr>
          <w:p>
            <w:pPr>
              <w:spacing w:before="40" w:after="40" w:line="259" w:lineRule="auto"/>
            </w:pPr>
            <w:r/>
            <w:r>
              <w:rPr>
                <w:rFonts w:ascii="Calibri" w:hAnsi="Calibri" w:eastAsia="微软雅黑"/>
                <w:b w:val="0"/>
                <w:i w:val="0"/>
                <w:color w:val="1A1A1A"/>
                <w:sz w:val="20"/>
              </w:rPr>
              <w:t>盈利下修、估值压缩、流动性枯竭</w:t>
            </w:r>
          </w:p>
        </w:tc>
      </w:tr>
      <w:tr>
        <w:tc>
          <w:tcPr>
            <w:tcW w:type="dxa" w:w="3137"/>
            <w:shd w:fill="F4F1EC" w:val="clear"/>
          </w:tcPr>
          <w:p>
            <w:pPr>
              <w:spacing w:before="40" w:after="40" w:line="259" w:lineRule="auto"/>
            </w:pPr>
            <w:r/>
            <w:r>
              <w:rPr>
                <w:rFonts w:ascii="Calibri" w:hAnsi="Calibri" w:eastAsia="微软雅黑"/>
                <w:b w:val="0"/>
                <w:i w:val="0"/>
                <w:color w:val="1A1A1A"/>
                <w:sz w:val="20"/>
              </w:rPr>
              <w:t>流动性</w:t>
            </w:r>
          </w:p>
        </w:tc>
        <w:tc>
          <w:tcPr>
            <w:tcW w:type="dxa" w:w="3137"/>
            <w:shd w:fill="F4F1EC" w:val="clear"/>
          </w:tcPr>
          <w:p>
            <w:pPr>
              <w:spacing w:before="40" w:after="40" w:line="259" w:lineRule="auto"/>
            </w:pPr>
            <w:r/>
            <w:r>
              <w:rPr>
                <w:rFonts w:ascii="Calibri" w:hAnsi="Calibri" w:eastAsia="微软雅黑"/>
                <w:b w:val="0"/>
                <w:i w:val="0"/>
                <w:color w:val="1A1A1A"/>
                <w:sz w:val="20"/>
              </w:rPr>
              <w:t>利率债极好，信用债分层</w:t>
            </w:r>
          </w:p>
        </w:tc>
        <w:tc>
          <w:tcPr>
            <w:tcW w:type="dxa" w:w="3137"/>
            <w:shd w:fill="F4F1EC" w:val="clear"/>
          </w:tcPr>
          <w:p>
            <w:pPr>
              <w:spacing w:before="40" w:after="40" w:line="259" w:lineRule="auto"/>
            </w:pPr>
            <w:r/>
            <w:r>
              <w:rPr>
                <w:rFonts w:ascii="Calibri" w:hAnsi="Calibri" w:eastAsia="微软雅黑"/>
                <w:b w:val="0"/>
                <w:i w:val="0"/>
                <w:color w:val="1A1A1A"/>
                <w:sz w:val="20"/>
              </w:rPr>
              <w:t>头部好、尾部差，整体换手高</w:t>
            </w:r>
          </w:p>
        </w:tc>
      </w:tr>
      <w:tr>
        <w:tc>
          <w:tcPr>
            <w:tcW w:type="dxa" w:w="3137"/>
            <w:shd w:fill="FFFFFF" w:val="clear"/>
          </w:tcPr>
          <w:p>
            <w:pPr>
              <w:spacing w:before="40" w:after="40" w:line="259" w:lineRule="auto"/>
            </w:pPr>
            <w:r/>
            <w:r>
              <w:rPr>
                <w:rFonts w:ascii="Calibri" w:hAnsi="Calibri" w:eastAsia="微软雅黑"/>
                <w:b w:val="0"/>
                <w:i w:val="0"/>
                <w:color w:val="1A1A1A"/>
                <w:sz w:val="20"/>
              </w:rPr>
              <w:t>开放程度</w:t>
            </w:r>
          </w:p>
        </w:tc>
        <w:tc>
          <w:tcPr>
            <w:tcW w:type="dxa" w:w="3137"/>
            <w:shd w:fill="FFFFFF" w:val="clear"/>
          </w:tcPr>
          <w:p>
            <w:pPr>
              <w:spacing w:before="40" w:after="40" w:line="259" w:lineRule="auto"/>
            </w:pPr>
            <w:r/>
            <w:r>
              <w:rPr>
                <w:rFonts w:ascii="Calibri" w:hAnsi="Calibri" w:eastAsia="微软雅黑"/>
                <w:b w:val="0"/>
                <w:i w:val="0"/>
                <w:color w:val="1A1A1A"/>
                <w:sz w:val="20"/>
              </w:rPr>
              <w:t>外资持仓约2%</w:t>
            </w:r>
          </w:p>
        </w:tc>
        <w:tc>
          <w:tcPr>
            <w:tcW w:type="dxa" w:w="3137"/>
            <w:shd w:fill="FFFFFF" w:val="clear"/>
          </w:tcPr>
          <w:p>
            <w:pPr>
              <w:spacing w:before="40" w:after="40" w:line="259" w:lineRule="auto"/>
            </w:pPr>
            <w:r/>
            <w:r>
              <w:rPr>
                <w:rFonts w:ascii="Calibri" w:hAnsi="Calibri" w:eastAsia="微软雅黑"/>
                <w:b w:val="0"/>
                <w:i w:val="0"/>
                <w:color w:val="1A1A1A"/>
                <w:sz w:val="20"/>
              </w:rPr>
              <w:t>外资流通市值约3万亿元</w:t>
            </w:r>
          </w:p>
        </w:tc>
      </w:tr>
      <w:tr>
        <w:tc>
          <w:tcPr>
            <w:tcW w:type="dxa" w:w="3137"/>
            <w:shd w:fill="F4F1EC" w:val="clear"/>
          </w:tcPr>
          <w:p>
            <w:pPr>
              <w:spacing w:before="40" w:after="40" w:line="259" w:lineRule="auto"/>
            </w:pPr>
            <w:r/>
            <w:r>
              <w:rPr>
                <w:rFonts w:ascii="Calibri" w:hAnsi="Calibri" w:eastAsia="微软雅黑"/>
                <w:b w:val="0"/>
                <w:i w:val="0"/>
                <w:color w:val="1A1A1A"/>
                <w:sz w:val="20"/>
              </w:rPr>
              <w:t>对宏观的映射</w:t>
            </w:r>
          </w:p>
        </w:tc>
        <w:tc>
          <w:tcPr>
            <w:tcW w:type="dxa" w:w="3137"/>
            <w:shd w:fill="F4F1EC" w:val="clear"/>
          </w:tcPr>
          <w:p>
            <w:pPr>
              <w:spacing w:before="40" w:after="40" w:line="259" w:lineRule="auto"/>
            </w:pPr>
            <w:r/>
            <w:r>
              <w:rPr>
                <w:rFonts w:ascii="Calibri" w:hAnsi="Calibri" w:eastAsia="微软雅黑"/>
                <w:b w:val="0"/>
                <w:i w:val="0"/>
                <w:color w:val="1A1A1A"/>
                <w:sz w:val="20"/>
              </w:rPr>
              <w:t>更贴近“总量与利率”</w:t>
            </w:r>
          </w:p>
        </w:tc>
        <w:tc>
          <w:tcPr>
            <w:tcW w:type="dxa" w:w="3137"/>
            <w:shd w:fill="F4F1EC" w:val="clear"/>
          </w:tcPr>
          <w:p>
            <w:pPr>
              <w:spacing w:before="40" w:after="40" w:line="259" w:lineRule="auto"/>
            </w:pPr>
            <w:r/>
            <w:r>
              <w:rPr>
                <w:rFonts w:ascii="Calibri" w:hAnsi="Calibri" w:eastAsia="微软雅黑"/>
                <w:b w:val="0"/>
                <w:i w:val="0"/>
                <w:color w:val="1A1A1A"/>
                <w:sz w:val="20"/>
              </w:rPr>
              <w:t>更贴近“结构、预期与风险偏好”</w:t>
            </w:r>
          </w:p>
        </w:tc>
      </w:tr>
      <w:tr>
        <w:tc>
          <w:tcPr>
            <w:tcW w:type="dxa" w:w="3137"/>
            <w:shd w:fill="FFFFFF" w:val="clear"/>
          </w:tcPr>
          <w:p>
            <w:pPr>
              <w:spacing w:before="40" w:after="40" w:line="259" w:lineRule="auto"/>
            </w:pPr>
            <w:r/>
            <w:r>
              <w:rPr>
                <w:rFonts w:ascii="Calibri" w:hAnsi="Calibri" w:eastAsia="微软雅黑"/>
                <w:b w:val="0"/>
                <w:i w:val="0"/>
                <w:color w:val="1A1A1A"/>
                <w:sz w:val="20"/>
              </w:rPr>
              <w:t>2025年体验</w:t>
            </w:r>
          </w:p>
        </w:tc>
        <w:tc>
          <w:tcPr>
            <w:tcW w:type="dxa" w:w="3137"/>
            <w:shd w:fill="FFFFFF" w:val="clear"/>
          </w:tcPr>
          <w:p>
            <w:pPr>
              <w:spacing w:before="40" w:after="40" w:line="259" w:lineRule="auto"/>
            </w:pPr>
            <w:r/>
            <w:r>
              <w:rPr>
                <w:rFonts w:ascii="Calibri" w:hAnsi="Calibri" w:eastAsia="微软雅黑"/>
                <w:b w:val="0"/>
                <w:i w:val="0"/>
                <w:color w:val="1A1A1A"/>
                <w:sz w:val="20"/>
              </w:rPr>
              <w:t>短强长弱，信用垫底</w:t>
            </w:r>
          </w:p>
        </w:tc>
        <w:tc>
          <w:tcPr>
            <w:tcW w:type="dxa" w:w="3137"/>
            <w:shd w:fill="FFFFFF" w:val="clear"/>
          </w:tcPr>
          <w:p>
            <w:pPr>
              <w:spacing w:before="40" w:after="40" w:line="259" w:lineRule="auto"/>
            </w:pPr>
            <w:r/>
            <w:r>
              <w:rPr>
                <w:rFonts w:ascii="Calibri" w:hAnsi="Calibri" w:eastAsia="微软雅黑"/>
                <w:b w:val="0"/>
                <w:i w:val="0"/>
                <w:color w:val="1A1A1A"/>
                <w:sz w:val="20"/>
              </w:rPr>
              <w:t>结构性牛市，中小盘占优</w:t>
            </w:r>
          </w:p>
        </w:tc>
      </w:tr>
    </w:tbl>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四、风险与收益：二十一年证据，而不是一年故事</w:t>
      </w:r>
    </w:p>
    <w:p>
      <w:pPr>
        <w:spacing w:before="240" w:after="120" w:line="276" w:lineRule="auto"/>
      </w:pPr>
      <w:r>
        <w:rPr>
          <w:rFonts w:ascii="Calibri" w:hAnsi="Calibri" w:eastAsia="微软雅黑"/>
          <w:b/>
          <w:i w:val="0"/>
          <w:color w:val="2A9D8F"/>
          <w:sz w:val="26"/>
        </w:rPr>
        <w:t>4.1 长期财富：股票大约是长期国债的三倍</w:t>
      </w:r>
    </w:p>
    <w:p>
      <w:pPr>
        <w:spacing w:before="160" w:after="80" w:line="276" w:lineRule="auto"/>
        <w:jc w:val="center"/>
      </w:pPr>
      <w:r>
        <w:drawing>
          <wp:inline xmlns:a="http://schemas.openxmlformats.org/drawingml/2006/main" xmlns:pic="http://schemas.openxmlformats.org/drawingml/2006/picture">
            <wp:extent cx="5616000" cy="3247369"/>
            <wp:docPr id="5" name="Picture 5"/>
            <wp:cNvGraphicFramePr>
              <a:graphicFrameLocks noChangeAspect="1"/>
            </wp:cNvGraphicFramePr>
            <a:graphic>
              <a:graphicData uri="http://schemas.openxmlformats.org/drawingml/2006/picture">
                <pic:pic>
                  <pic:nvPicPr>
                    <pic:cNvPr id="0" name="fig01_terminal_wealth.png"/>
                    <pic:cNvPicPr/>
                  </pic:nvPicPr>
                  <pic:blipFill>
                    <a:blip r:embed="rId14"/>
                    <a:stretch>
                      <a:fillRect/>
                    </a:stretch>
                  </pic:blipFill>
                  <pic:spPr>
                    <a:xfrm>
                      <a:off x="0" y="0"/>
                      <a:ext cx="5616000" cy="3247369"/>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图1 累计财富</w:t>
      </w:r>
    </w:p>
    <w:p>
      <w:pPr>
        <w:spacing w:before="40" w:after="120" w:line="293" w:lineRule="auto"/>
        <w:ind w:firstLine="420"/>
      </w:pPr>
      <w:r>
        <w:rPr>
          <w:rFonts w:ascii="Calibri" w:hAnsi="Calibri" w:eastAsia="微软雅黑"/>
          <w:b w:val="0"/>
          <w:i w:val="0"/>
          <w:color w:val="1A1A1A"/>
          <w:sz w:val="22"/>
        </w:rPr>
        <w:t>按全收益再投资，2004年底的1元到2025年底：</w:t>
      </w:r>
    </w:p>
    <w:tbl>
      <w:tblPr>
        <w:tblStyle w:val="TableGrid"/>
        <w:tblW w:type="auto" w:w="0"/>
        <w:tblLayout w:type="autofit"/>
        <w:tblLook w:firstColumn="1" w:firstRow="1" w:lastColumn="0" w:lastRow="0" w:noHBand="0" w:noVBand="1" w:val="04A0"/>
      </w:tblPr>
      <w:tblGrid>
        <w:gridCol w:w="1882"/>
        <w:gridCol w:w="1882"/>
        <w:gridCol w:w="1882"/>
        <w:gridCol w:w="1882"/>
        <w:gridCol w:w="1882"/>
      </w:tblGrid>
      <w:tr>
        <w:tc>
          <w:tcPr>
            <w:tcW w:type="dxa" w:w="1882"/>
            <w:shd w:fill="1B365D" w:val="clear"/>
          </w:tcPr>
          <w:p>
            <w:pPr>
              <w:spacing w:before="40" w:after="40" w:line="259" w:lineRule="auto"/>
            </w:pPr>
            <w:r/>
            <w:r>
              <w:rPr>
                <w:rFonts w:ascii="Calibri" w:hAnsi="Calibri" w:eastAsia="微软雅黑"/>
                <w:b/>
                <w:i w:val="0"/>
                <w:color w:val="FFFFFF"/>
                <w:sz w:val="20"/>
              </w:rPr>
              <w:t>资产</w:t>
            </w:r>
          </w:p>
        </w:tc>
        <w:tc>
          <w:tcPr>
            <w:tcW w:type="dxa" w:w="1882"/>
            <w:shd w:fill="1B365D" w:val="clear"/>
          </w:tcPr>
          <w:p>
            <w:pPr>
              <w:spacing w:before="40" w:after="40" w:line="259" w:lineRule="auto"/>
            </w:pPr>
            <w:r/>
            <w:r>
              <w:rPr>
                <w:rFonts w:ascii="Calibri" w:hAnsi="Calibri" w:eastAsia="微软雅黑"/>
                <w:b/>
                <w:i w:val="0"/>
                <w:color w:val="FFFFFF"/>
                <w:sz w:val="20"/>
              </w:rPr>
              <w:t>代表指数</w:t>
            </w:r>
          </w:p>
        </w:tc>
        <w:tc>
          <w:tcPr>
            <w:tcW w:type="dxa" w:w="1882"/>
            <w:shd w:fill="1B365D" w:val="clear"/>
          </w:tcPr>
          <w:p>
            <w:pPr>
              <w:spacing w:before="40" w:after="40" w:line="259" w:lineRule="auto"/>
            </w:pPr>
            <w:r/>
            <w:r>
              <w:rPr>
                <w:rFonts w:ascii="Calibri" w:hAnsi="Calibri" w:eastAsia="微软雅黑"/>
                <w:b/>
                <w:i w:val="0"/>
                <w:color w:val="FFFFFF"/>
                <w:sz w:val="20"/>
              </w:rPr>
              <w:t>期末财富</w:t>
            </w:r>
          </w:p>
        </w:tc>
        <w:tc>
          <w:tcPr>
            <w:tcW w:type="dxa" w:w="1882"/>
            <w:shd w:fill="1B365D" w:val="clear"/>
          </w:tcPr>
          <w:p>
            <w:pPr>
              <w:spacing w:before="40" w:after="40" w:line="259" w:lineRule="auto"/>
            </w:pPr>
            <w:r/>
            <w:r>
              <w:rPr>
                <w:rFonts w:ascii="Calibri" w:hAnsi="Calibri" w:eastAsia="微软雅黑"/>
                <w:b/>
                <w:i w:val="0"/>
                <w:color w:val="FFFFFF"/>
                <w:sz w:val="20"/>
              </w:rPr>
              <w:t>年化收益</w:t>
            </w:r>
          </w:p>
        </w:tc>
        <w:tc>
          <w:tcPr>
            <w:tcW w:type="dxa" w:w="1882"/>
            <w:shd w:fill="1B365D" w:val="clear"/>
          </w:tcPr>
          <w:p>
            <w:pPr>
              <w:spacing w:before="40" w:after="40" w:line="259" w:lineRule="auto"/>
            </w:pPr>
            <w:r/>
            <w:r>
              <w:rPr>
                <w:rFonts w:ascii="Calibri" w:hAnsi="Calibri" w:eastAsia="微软雅黑"/>
                <w:b/>
                <w:i w:val="0"/>
                <w:color w:val="FFFFFF"/>
                <w:sz w:val="20"/>
              </w:rPr>
              <w:t>年化波动*</w:t>
            </w:r>
          </w:p>
        </w:tc>
      </w:tr>
      <w:tr>
        <w:tc>
          <w:tcPr>
            <w:tcW w:type="dxa" w:w="1882"/>
            <w:shd w:fill="FFFFFF" w:val="clear"/>
          </w:tcPr>
          <w:p>
            <w:pPr>
              <w:spacing w:before="40" w:after="40" w:line="259" w:lineRule="auto"/>
            </w:pPr>
            <w:r/>
            <w:r>
              <w:rPr>
                <w:rFonts w:ascii="Calibri" w:hAnsi="Calibri" w:eastAsia="微软雅黑"/>
                <w:b w:val="0"/>
                <w:i w:val="0"/>
                <w:color w:val="1A1A1A"/>
                <w:sz w:val="20"/>
              </w:rPr>
              <w:t>小盘股</w:t>
            </w:r>
          </w:p>
        </w:tc>
        <w:tc>
          <w:tcPr>
            <w:tcW w:type="dxa" w:w="1882"/>
            <w:shd w:fill="FFFFFF" w:val="clear"/>
          </w:tcPr>
          <w:p>
            <w:pPr>
              <w:spacing w:before="40" w:after="40" w:line="259" w:lineRule="auto"/>
            </w:pPr>
            <w:r/>
            <w:r>
              <w:rPr>
                <w:rFonts w:ascii="Calibri" w:hAnsi="Calibri" w:eastAsia="微软雅黑"/>
                <w:b w:val="0"/>
                <w:i w:val="0"/>
                <w:color w:val="1A1A1A"/>
                <w:sz w:val="20"/>
              </w:rPr>
              <w:t>中证1000全收益</w:t>
            </w:r>
          </w:p>
        </w:tc>
        <w:tc>
          <w:tcPr>
            <w:tcW w:type="dxa" w:w="1882"/>
            <w:shd w:fill="FFFFFF" w:val="clear"/>
          </w:tcPr>
          <w:p>
            <w:pPr>
              <w:spacing w:before="40" w:after="40" w:line="259" w:lineRule="auto"/>
            </w:pPr>
            <w:r/>
            <w:r>
              <w:rPr>
                <w:rFonts w:ascii="Calibri" w:hAnsi="Calibri" w:eastAsia="微软雅黑"/>
                <w:b w:val="0"/>
                <w:i w:val="0"/>
                <w:color w:val="1A1A1A"/>
                <w:sz w:val="20"/>
              </w:rPr>
              <w:t>8.74元</w:t>
            </w:r>
          </w:p>
        </w:tc>
        <w:tc>
          <w:tcPr>
            <w:tcW w:type="dxa" w:w="1882"/>
            <w:shd w:fill="FFFFFF" w:val="clear"/>
          </w:tcPr>
          <w:p>
            <w:pPr>
              <w:spacing w:before="40" w:after="40" w:line="259" w:lineRule="auto"/>
            </w:pPr>
            <w:r/>
            <w:r>
              <w:rPr>
                <w:rFonts w:ascii="Calibri" w:hAnsi="Calibri" w:eastAsia="微软雅黑"/>
                <w:b w:val="0"/>
                <w:i w:val="0"/>
                <w:color w:val="1A1A1A"/>
                <w:sz w:val="20"/>
              </w:rPr>
              <w:t>10.87%</w:t>
            </w:r>
          </w:p>
        </w:tc>
        <w:tc>
          <w:tcPr>
            <w:tcW w:type="dxa" w:w="1882"/>
            <w:shd w:fill="FFFFFF" w:val="clear"/>
          </w:tcPr>
          <w:p>
            <w:pPr>
              <w:spacing w:before="40" w:after="40" w:line="259" w:lineRule="auto"/>
            </w:pPr>
            <w:r/>
            <w:r>
              <w:rPr>
                <w:rFonts w:ascii="Calibri" w:hAnsi="Calibri" w:eastAsia="微软雅黑"/>
                <w:b w:val="0"/>
                <w:i w:val="0"/>
                <w:color w:val="1A1A1A"/>
                <w:sz w:val="20"/>
              </w:rPr>
              <w:t>60.93%</w:t>
            </w:r>
          </w:p>
        </w:tc>
      </w:tr>
      <w:tr>
        <w:tc>
          <w:tcPr>
            <w:tcW w:type="dxa" w:w="1882"/>
            <w:shd w:fill="F4F1EC" w:val="clear"/>
          </w:tcPr>
          <w:p>
            <w:pPr>
              <w:spacing w:before="40" w:after="40" w:line="259" w:lineRule="auto"/>
            </w:pPr>
            <w:r/>
            <w:r>
              <w:rPr>
                <w:rFonts w:ascii="Calibri" w:hAnsi="Calibri" w:eastAsia="微软雅黑"/>
                <w:b w:val="0"/>
                <w:i w:val="0"/>
                <w:color w:val="1A1A1A"/>
                <w:sz w:val="20"/>
              </w:rPr>
              <w:t>A股整体</w:t>
            </w:r>
          </w:p>
        </w:tc>
        <w:tc>
          <w:tcPr>
            <w:tcW w:type="dxa" w:w="1882"/>
            <w:shd w:fill="F4F1EC" w:val="clear"/>
          </w:tcPr>
          <w:p>
            <w:pPr>
              <w:spacing w:before="40" w:after="40" w:line="259" w:lineRule="auto"/>
            </w:pPr>
            <w:r/>
            <w:r>
              <w:rPr>
                <w:rFonts w:ascii="Calibri" w:hAnsi="Calibri" w:eastAsia="微软雅黑"/>
                <w:b w:val="0"/>
                <w:i w:val="0"/>
                <w:color w:val="1A1A1A"/>
                <w:sz w:val="20"/>
              </w:rPr>
              <w:t>中证全指全收益</w:t>
            </w:r>
          </w:p>
        </w:tc>
        <w:tc>
          <w:tcPr>
            <w:tcW w:type="dxa" w:w="1882"/>
            <w:shd w:fill="F4F1EC" w:val="clear"/>
          </w:tcPr>
          <w:p>
            <w:pPr>
              <w:spacing w:before="40" w:after="40" w:line="259" w:lineRule="auto"/>
            </w:pPr>
            <w:r/>
            <w:r>
              <w:rPr>
                <w:rFonts w:ascii="Calibri" w:hAnsi="Calibri" w:eastAsia="微软雅黑"/>
                <w:b w:val="0"/>
                <w:i w:val="0"/>
                <w:color w:val="1A1A1A"/>
                <w:sz w:val="20"/>
              </w:rPr>
              <w:t>7.98元</w:t>
            </w:r>
          </w:p>
        </w:tc>
        <w:tc>
          <w:tcPr>
            <w:tcW w:type="dxa" w:w="1882"/>
            <w:shd w:fill="F4F1EC" w:val="clear"/>
          </w:tcPr>
          <w:p>
            <w:pPr>
              <w:spacing w:before="40" w:after="40" w:line="259" w:lineRule="auto"/>
            </w:pPr>
            <w:r/>
            <w:r>
              <w:rPr>
                <w:rFonts w:ascii="Calibri" w:hAnsi="Calibri" w:eastAsia="微软雅黑"/>
                <w:b w:val="0"/>
                <w:i w:val="0"/>
                <w:color w:val="1A1A1A"/>
                <w:sz w:val="20"/>
              </w:rPr>
              <w:t>10.40%</w:t>
            </w:r>
          </w:p>
        </w:tc>
        <w:tc>
          <w:tcPr>
            <w:tcW w:type="dxa" w:w="1882"/>
            <w:shd w:fill="F4F1EC" w:val="clear"/>
          </w:tcPr>
          <w:p>
            <w:pPr>
              <w:spacing w:before="40" w:after="40" w:line="259" w:lineRule="auto"/>
            </w:pPr>
            <w:r/>
            <w:r>
              <w:rPr>
                <w:rFonts w:ascii="Calibri" w:hAnsi="Calibri" w:eastAsia="微软雅黑"/>
                <w:b w:val="0"/>
                <w:i w:val="0"/>
                <w:color w:val="1A1A1A"/>
                <w:sz w:val="20"/>
              </w:rPr>
              <w:t>54.10%</w:t>
            </w:r>
          </w:p>
        </w:tc>
      </w:tr>
      <w:tr>
        <w:tc>
          <w:tcPr>
            <w:tcW w:type="dxa" w:w="1882"/>
            <w:shd w:fill="FFFFFF" w:val="clear"/>
          </w:tcPr>
          <w:p>
            <w:pPr>
              <w:spacing w:before="40" w:after="40" w:line="259" w:lineRule="auto"/>
            </w:pPr>
            <w:r/>
            <w:r>
              <w:rPr>
                <w:rFonts w:ascii="Calibri" w:hAnsi="Calibri" w:eastAsia="微软雅黑"/>
                <w:b w:val="0"/>
                <w:i w:val="0"/>
                <w:color w:val="1A1A1A"/>
                <w:sz w:val="20"/>
              </w:rPr>
              <w:t>大盘股</w:t>
            </w:r>
          </w:p>
        </w:tc>
        <w:tc>
          <w:tcPr>
            <w:tcW w:type="dxa" w:w="1882"/>
            <w:shd w:fill="FFFFFF" w:val="clear"/>
          </w:tcPr>
          <w:p>
            <w:pPr>
              <w:spacing w:before="40" w:after="40" w:line="259" w:lineRule="auto"/>
            </w:pPr>
            <w:r/>
            <w:r>
              <w:rPr>
                <w:rFonts w:ascii="Calibri" w:hAnsi="Calibri" w:eastAsia="微软雅黑"/>
                <w:b w:val="0"/>
                <w:i w:val="0"/>
                <w:color w:val="1A1A1A"/>
                <w:sz w:val="20"/>
              </w:rPr>
              <w:t>沪深300全收益</w:t>
            </w:r>
          </w:p>
        </w:tc>
        <w:tc>
          <w:tcPr>
            <w:tcW w:type="dxa" w:w="1882"/>
            <w:shd w:fill="FFFFFF" w:val="clear"/>
          </w:tcPr>
          <w:p>
            <w:pPr>
              <w:spacing w:before="40" w:after="40" w:line="259" w:lineRule="auto"/>
            </w:pPr>
            <w:r/>
            <w:r>
              <w:rPr>
                <w:rFonts w:ascii="Calibri" w:hAnsi="Calibri" w:eastAsia="微软雅黑"/>
                <w:b w:val="0"/>
                <w:i w:val="0"/>
                <w:color w:val="1A1A1A"/>
                <w:sz w:val="20"/>
              </w:rPr>
              <w:t>7.00元</w:t>
            </w:r>
          </w:p>
        </w:tc>
        <w:tc>
          <w:tcPr>
            <w:tcW w:type="dxa" w:w="1882"/>
            <w:shd w:fill="FFFFFF" w:val="clear"/>
          </w:tcPr>
          <w:p>
            <w:pPr>
              <w:spacing w:before="40" w:after="40" w:line="259" w:lineRule="auto"/>
            </w:pPr>
            <w:r/>
            <w:r>
              <w:rPr>
                <w:rFonts w:ascii="Calibri" w:hAnsi="Calibri" w:eastAsia="微软雅黑"/>
                <w:b w:val="0"/>
                <w:i w:val="0"/>
                <w:color w:val="1A1A1A"/>
                <w:sz w:val="20"/>
              </w:rPr>
              <w:t>9.71%</w:t>
            </w:r>
          </w:p>
        </w:tc>
        <w:tc>
          <w:tcPr>
            <w:tcW w:type="dxa" w:w="1882"/>
            <w:shd w:fill="FFFFFF" w:val="clear"/>
          </w:tcPr>
          <w:p>
            <w:pPr>
              <w:spacing w:before="40" w:after="40" w:line="259" w:lineRule="auto"/>
            </w:pPr>
            <w:r/>
            <w:r>
              <w:rPr>
                <w:rFonts w:ascii="Calibri" w:hAnsi="Calibri" w:eastAsia="微软雅黑"/>
                <w:b w:val="0"/>
                <w:i w:val="0"/>
                <w:color w:val="1A1A1A"/>
                <w:sz w:val="20"/>
              </w:rPr>
              <w:t>53.44%</w:t>
            </w:r>
          </w:p>
        </w:tc>
      </w:tr>
      <w:tr>
        <w:tc>
          <w:tcPr>
            <w:tcW w:type="dxa" w:w="1882"/>
            <w:shd w:fill="F4F1EC" w:val="clear"/>
          </w:tcPr>
          <w:p>
            <w:pPr>
              <w:spacing w:before="40" w:after="40" w:line="259" w:lineRule="auto"/>
            </w:pPr>
            <w:r/>
            <w:r>
              <w:rPr>
                <w:rFonts w:ascii="Calibri" w:hAnsi="Calibri" w:eastAsia="微软雅黑"/>
                <w:b w:val="0"/>
                <w:i w:val="0"/>
                <w:color w:val="1A1A1A"/>
                <w:sz w:val="20"/>
              </w:rPr>
              <w:t>长期国债</w:t>
            </w:r>
          </w:p>
        </w:tc>
        <w:tc>
          <w:tcPr>
            <w:tcW w:type="dxa" w:w="1882"/>
            <w:shd w:fill="F4F1EC" w:val="clear"/>
          </w:tcPr>
          <w:p>
            <w:pPr>
              <w:spacing w:before="40" w:after="40" w:line="259" w:lineRule="auto"/>
            </w:pPr>
            <w:r/>
            <w:r>
              <w:rPr>
                <w:rFonts w:ascii="Calibri" w:hAnsi="Calibri" w:eastAsia="微软雅黑"/>
                <w:b w:val="0"/>
                <w:i w:val="0"/>
                <w:color w:val="1A1A1A"/>
                <w:sz w:val="20"/>
              </w:rPr>
              <w:t>中债7–10年国债财富</w:t>
            </w:r>
          </w:p>
        </w:tc>
        <w:tc>
          <w:tcPr>
            <w:tcW w:type="dxa" w:w="1882"/>
            <w:shd w:fill="F4F1EC" w:val="clear"/>
          </w:tcPr>
          <w:p>
            <w:pPr>
              <w:spacing w:before="40" w:after="40" w:line="259" w:lineRule="auto"/>
            </w:pPr>
            <w:r/>
            <w:r>
              <w:rPr>
                <w:rFonts w:ascii="Calibri" w:hAnsi="Calibri" w:eastAsia="微软雅黑"/>
                <w:b w:val="0"/>
                <w:i w:val="0"/>
                <w:color w:val="1A1A1A"/>
                <w:sz w:val="20"/>
              </w:rPr>
              <w:t>2.45元</w:t>
            </w:r>
          </w:p>
        </w:tc>
        <w:tc>
          <w:tcPr>
            <w:tcW w:type="dxa" w:w="1882"/>
            <w:shd w:fill="F4F1EC" w:val="clear"/>
          </w:tcPr>
          <w:p>
            <w:pPr>
              <w:spacing w:before="40" w:after="40" w:line="259" w:lineRule="auto"/>
            </w:pPr>
            <w:r/>
            <w:r>
              <w:rPr>
                <w:rFonts w:ascii="Calibri" w:hAnsi="Calibri" w:eastAsia="微软雅黑"/>
                <w:b w:val="0"/>
                <w:i w:val="0"/>
                <w:color w:val="1A1A1A"/>
                <w:sz w:val="20"/>
              </w:rPr>
              <w:t>4.36%</w:t>
            </w:r>
          </w:p>
        </w:tc>
        <w:tc>
          <w:tcPr>
            <w:tcW w:type="dxa" w:w="1882"/>
            <w:shd w:fill="F4F1EC" w:val="clear"/>
          </w:tcPr>
          <w:p>
            <w:pPr>
              <w:spacing w:before="40" w:after="40" w:line="259" w:lineRule="auto"/>
            </w:pPr>
            <w:r/>
            <w:r>
              <w:rPr>
                <w:rFonts w:ascii="Calibri" w:hAnsi="Calibri" w:eastAsia="微软雅黑"/>
                <w:b w:val="0"/>
                <w:i w:val="0"/>
                <w:color w:val="1A1A1A"/>
                <w:sz w:val="20"/>
              </w:rPr>
              <w:t>6.16%</w:t>
            </w:r>
          </w:p>
        </w:tc>
      </w:tr>
      <w:tr>
        <w:tc>
          <w:tcPr>
            <w:tcW w:type="dxa" w:w="1882"/>
            <w:shd w:fill="FFFFFF" w:val="clear"/>
          </w:tcPr>
          <w:p>
            <w:pPr>
              <w:spacing w:before="40" w:after="40" w:line="259" w:lineRule="auto"/>
            </w:pPr>
            <w:r/>
            <w:r>
              <w:rPr>
                <w:rFonts w:ascii="Calibri" w:hAnsi="Calibri" w:eastAsia="微软雅黑"/>
                <w:b w:val="0"/>
                <w:i w:val="0"/>
                <w:color w:val="1A1A1A"/>
                <w:sz w:val="20"/>
              </w:rPr>
              <w:t>短期国债</w:t>
            </w:r>
          </w:p>
        </w:tc>
        <w:tc>
          <w:tcPr>
            <w:tcW w:type="dxa" w:w="1882"/>
            <w:shd w:fill="FFFFFF" w:val="clear"/>
          </w:tcPr>
          <w:p>
            <w:pPr>
              <w:spacing w:before="40" w:after="40" w:line="259" w:lineRule="auto"/>
            </w:pPr>
            <w:r/>
            <w:r>
              <w:rPr>
                <w:rFonts w:ascii="Calibri" w:hAnsi="Calibri" w:eastAsia="微软雅黑"/>
                <w:b w:val="0"/>
                <w:i w:val="0"/>
                <w:color w:val="1A1A1A"/>
                <w:sz w:val="20"/>
              </w:rPr>
              <w:t>中债0–1年国债财富</w:t>
            </w:r>
          </w:p>
        </w:tc>
        <w:tc>
          <w:tcPr>
            <w:tcW w:type="dxa" w:w="1882"/>
            <w:shd w:fill="FFFFFF" w:val="clear"/>
          </w:tcPr>
          <w:p>
            <w:pPr>
              <w:spacing w:before="40" w:after="40" w:line="259" w:lineRule="auto"/>
            </w:pPr>
            <w:r/>
            <w:r>
              <w:rPr>
                <w:rFonts w:ascii="Calibri" w:hAnsi="Calibri" w:eastAsia="微软雅黑"/>
                <w:b w:val="0"/>
                <w:i w:val="0"/>
                <w:color w:val="1A1A1A"/>
                <w:sz w:val="20"/>
              </w:rPr>
              <w:t>1.66元</w:t>
            </w:r>
          </w:p>
        </w:tc>
        <w:tc>
          <w:tcPr>
            <w:tcW w:type="dxa" w:w="1882"/>
            <w:shd w:fill="FFFFFF" w:val="clear"/>
          </w:tcPr>
          <w:p>
            <w:pPr>
              <w:spacing w:before="40" w:after="40" w:line="259" w:lineRule="auto"/>
            </w:pPr>
            <w:r/>
            <w:r>
              <w:rPr>
                <w:rFonts w:ascii="Calibri" w:hAnsi="Calibri" w:eastAsia="微软雅黑"/>
                <w:b w:val="0"/>
                <w:i w:val="0"/>
                <w:color w:val="1A1A1A"/>
                <w:sz w:val="20"/>
              </w:rPr>
              <w:t>2.43%</w:t>
            </w:r>
          </w:p>
        </w:tc>
        <w:tc>
          <w:tcPr>
            <w:tcW w:type="dxa" w:w="1882"/>
            <w:shd w:fill="FFFFFF" w:val="clear"/>
          </w:tcPr>
          <w:p>
            <w:pPr>
              <w:spacing w:before="40" w:after="40" w:line="259" w:lineRule="auto"/>
            </w:pPr>
            <w:r/>
            <w:r>
              <w:rPr>
                <w:rFonts w:ascii="Calibri" w:hAnsi="Calibri" w:eastAsia="微软雅黑"/>
                <w:b w:val="0"/>
                <w:i w:val="0"/>
                <w:color w:val="1A1A1A"/>
                <w:sz w:val="20"/>
              </w:rPr>
              <w:t>0.88%</w:t>
            </w:r>
          </w:p>
        </w:tc>
      </w:tr>
      <w:tr>
        <w:tc>
          <w:tcPr>
            <w:tcW w:type="dxa" w:w="1882"/>
            <w:shd w:fill="F4F1EC" w:val="clear"/>
          </w:tcPr>
          <w:p>
            <w:pPr>
              <w:spacing w:before="40" w:after="40" w:line="259" w:lineRule="auto"/>
            </w:pPr>
            <w:r/>
            <w:r>
              <w:rPr>
                <w:rFonts w:ascii="Calibri" w:hAnsi="Calibri" w:eastAsia="微软雅黑"/>
                <w:b w:val="0"/>
                <w:i w:val="0"/>
                <w:color w:val="1A1A1A"/>
                <w:sz w:val="20"/>
              </w:rPr>
              <w:t>通货膨胀</w:t>
            </w:r>
          </w:p>
        </w:tc>
        <w:tc>
          <w:tcPr>
            <w:tcW w:type="dxa" w:w="1882"/>
            <w:shd w:fill="F4F1EC" w:val="clear"/>
          </w:tcPr>
          <w:p>
            <w:pPr>
              <w:spacing w:before="40" w:after="40" w:line="259" w:lineRule="auto"/>
            </w:pPr>
            <w:r/>
            <w:r>
              <w:rPr>
                <w:rFonts w:ascii="Calibri" w:hAnsi="Calibri" w:eastAsia="微软雅黑"/>
                <w:b w:val="0"/>
                <w:i w:val="0"/>
                <w:color w:val="1A1A1A"/>
                <w:sz w:val="20"/>
              </w:rPr>
              <w:t>CPI</w:t>
            </w:r>
          </w:p>
        </w:tc>
        <w:tc>
          <w:tcPr>
            <w:tcW w:type="dxa" w:w="1882"/>
            <w:shd w:fill="F4F1EC" w:val="clear"/>
          </w:tcPr>
          <w:p>
            <w:pPr>
              <w:spacing w:before="40" w:after="40" w:line="259" w:lineRule="auto"/>
            </w:pPr>
            <w:r/>
            <w:r>
              <w:rPr>
                <w:rFonts w:ascii="Calibri" w:hAnsi="Calibri" w:eastAsia="微软雅黑"/>
                <w:b w:val="0"/>
                <w:i w:val="0"/>
                <w:color w:val="1A1A1A"/>
                <w:sz w:val="20"/>
              </w:rPr>
              <w:t>1.56元</w:t>
            </w:r>
          </w:p>
        </w:tc>
        <w:tc>
          <w:tcPr>
            <w:tcW w:type="dxa" w:w="1882"/>
            <w:shd w:fill="F4F1EC" w:val="clear"/>
          </w:tcPr>
          <w:p>
            <w:pPr>
              <w:spacing w:before="40" w:after="40" w:line="259" w:lineRule="auto"/>
            </w:pPr>
            <w:r/>
            <w:r>
              <w:rPr>
                <w:rFonts w:ascii="Calibri" w:hAnsi="Calibri" w:eastAsia="微软雅黑"/>
                <w:b w:val="0"/>
                <w:i w:val="0"/>
                <w:color w:val="1A1A1A"/>
                <w:sz w:val="20"/>
              </w:rPr>
              <w:t>2.13%</w:t>
            </w:r>
          </w:p>
        </w:tc>
        <w:tc>
          <w:tcPr>
            <w:tcW w:type="dxa" w:w="1882"/>
            <w:shd w:fill="F4F1EC" w:val="clear"/>
          </w:tcPr>
          <w:p>
            <w:pPr>
              <w:spacing w:before="40" w:after="40" w:line="259" w:lineRule="auto"/>
            </w:pPr>
            <w:r/>
            <w:r>
              <w:rPr>
                <w:rFonts w:ascii="Calibri" w:hAnsi="Calibri" w:eastAsia="微软雅黑"/>
                <w:b w:val="0"/>
                <w:i w:val="0"/>
                <w:color w:val="1A1A1A"/>
                <w:sz w:val="20"/>
              </w:rPr>
              <w:t>1.69%</w:t>
            </w:r>
          </w:p>
        </w:tc>
      </w:tr>
      <w:tr>
        <w:tc>
          <w:tcPr>
            <w:tcW w:type="dxa" w:w="1882"/>
            <w:shd w:fill="FFFFFF" w:val="clear"/>
          </w:tcPr>
          <w:p>
            <w:pPr>
              <w:spacing w:before="40" w:after="40" w:line="259" w:lineRule="auto"/>
            </w:pPr>
            <w:r/>
            <w:r>
              <w:rPr>
                <w:rFonts w:ascii="Calibri" w:hAnsi="Calibri" w:eastAsia="微软雅黑"/>
                <w:b w:val="0"/>
                <w:i w:val="0"/>
                <w:color w:val="1A1A1A"/>
                <w:sz w:val="20"/>
              </w:rPr>
              <w:t>长期信用债（2007起）</w:t>
            </w:r>
          </w:p>
        </w:tc>
        <w:tc>
          <w:tcPr>
            <w:tcW w:type="dxa" w:w="1882"/>
            <w:shd w:fill="FFFFFF" w:val="clear"/>
          </w:tcPr>
          <w:p>
            <w:pPr>
              <w:spacing w:before="40" w:after="40" w:line="259" w:lineRule="auto"/>
            </w:pPr>
            <w:r/>
            <w:r>
              <w:rPr>
                <w:rFonts w:ascii="Calibri" w:hAnsi="Calibri" w:eastAsia="微软雅黑"/>
                <w:b w:val="0"/>
                <w:i w:val="0"/>
                <w:color w:val="1A1A1A"/>
                <w:sz w:val="20"/>
              </w:rPr>
              <w:t>中债高信用7–10年财富</w:t>
            </w:r>
          </w:p>
        </w:tc>
        <w:tc>
          <w:tcPr>
            <w:tcW w:type="dxa" w:w="1882"/>
            <w:shd w:fill="FFFFFF" w:val="clear"/>
          </w:tcPr>
          <w:p>
            <w:pPr>
              <w:spacing w:before="40" w:after="40" w:line="259" w:lineRule="auto"/>
            </w:pPr>
            <w:r/>
            <w:r>
              <w:rPr>
                <w:rFonts w:ascii="Calibri" w:hAnsi="Calibri" w:eastAsia="微软雅黑"/>
                <w:b w:val="0"/>
                <w:i w:val="0"/>
                <w:color w:val="1A1A1A"/>
                <w:sz w:val="20"/>
              </w:rPr>
              <w:t>2.61元</w:t>
            </w:r>
          </w:p>
        </w:tc>
        <w:tc>
          <w:tcPr>
            <w:tcW w:type="dxa" w:w="1882"/>
            <w:shd w:fill="FFFFFF" w:val="clear"/>
          </w:tcPr>
          <w:p>
            <w:pPr>
              <w:spacing w:before="40" w:after="40" w:line="259" w:lineRule="auto"/>
            </w:pPr>
            <w:r/>
            <w:r>
              <w:rPr>
                <w:rFonts w:ascii="Calibri" w:hAnsi="Calibri" w:eastAsia="微软雅黑"/>
                <w:b w:val="0"/>
                <w:i w:val="0"/>
                <w:color w:val="1A1A1A"/>
                <w:sz w:val="20"/>
              </w:rPr>
              <w:t>5.19%</w:t>
            </w:r>
          </w:p>
        </w:tc>
        <w:tc>
          <w:tcPr>
            <w:tcW w:type="dxa" w:w="1882"/>
            <w:shd w:fill="FFFFFF" w:val="clear"/>
          </w:tcPr>
          <w:p>
            <w:pPr>
              <w:spacing w:before="40" w:after="40" w:line="259" w:lineRule="auto"/>
            </w:pPr>
            <w:r/>
            <w:r>
              <w:rPr>
                <w:rFonts w:ascii="Calibri" w:hAnsi="Calibri" w:eastAsia="微软雅黑"/>
                <w:b w:val="0"/>
                <w:i w:val="0"/>
                <w:color w:val="1A1A1A"/>
                <w:sz w:val="20"/>
              </w:rPr>
              <w:t>6.18%</w:t>
            </w:r>
          </w:p>
        </w:tc>
      </w:tr>
    </w:tbl>
    <w:p/>
    <w:p>
      <w:pPr>
        <w:spacing w:before="40" w:after="120" w:line="293" w:lineRule="auto"/>
        <w:ind w:firstLine="420"/>
      </w:pPr>
      <w:r>
        <w:rPr>
          <w:rFonts w:ascii="Calibri" w:hAnsi="Calibri" w:eastAsia="微软雅黑"/>
          <w:b w:val="0"/>
          <w:i w:val="0"/>
          <w:color w:val="1A1A1A"/>
          <w:sz w:val="22"/>
        </w:rPr>
        <w:t>\*波动为年度收益率标准差，Ibbotson/SBBI传统口径。若改用日度收益年化，股票波动通常落在20%–30%区间，债券长端约3%–5%。</w:t>
      </w:r>
      <w:r>
        <w:rPr>
          <w:rFonts w:ascii="Calibri" w:hAnsi="Calibri" w:eastAsia="微软雅黑"/>
          <w:b/>
          <w:i w:val="0"/>
          <w:color w:val="1B365D"/>
          <w:sz w:val="22"/>
        </w:rPr>
        <w:t>比较必须在同一口径内进行。</w:t>
      </w:r>
    </w:p>
    <w:p>
      <w:pPr>
        <w:spacing w:before="40" w:after="120" w:line="293" w:lineRule="auto"/>
        <w:ind w:firstLine="420"/>
      </w:pPr>
      <w:r>
        <w:rPr>
          <w:rFonts w:ascii="Calibri" w:hAnsi="Calibri" w:eastAsia="微软雅黑"/>
          <w:b w:val="0"/>
          <w:i w:val="0"/>
          <w:color w:val="1A1A1A"/>
          <w:sz w:val="22"/>
        </w:rPr>
        <w:t>这组数字与美国1926–2025年SBBI同构：股票 ≫ 长期债 &gt; 短债 &gt; 通胀。差别在于中国样本短、股票波动显著更高，因而</w:t>
      </w:r>
      <w:r>
        <w:rPr>
          <w:rFonts w:ascii="Calibri" w:hAnsi="Calibri" w:eastAsia="微软雅黑"/>
          <w:b/>
          <w:i w:val="0"/>
          <w:color w:val="1B365D"/>
          <w:sz w:val="22"/>
        </w:rPr>
        <w:t>溢价“存在”但“难拿”。</w:t>
      </w:r>
      <w:r>
        <w:rPr>
          <w:rFonts w:ascii="Calibri" w:hAnsi="Calibri" w:eastAsia="微软雅黑"/>
          <w:b w:val="0"/>
          <w:i w:val="0"/>
          <w:color w:val="1A1A1A"/>
          <w:sz w:val="22"/>
        </w:rPr>
        <w:t xml:space="preserve"> 21年里，股票总财富大约是长期国债的3.3倍；美国百年样本里这个倍数是几十到上百倍——时间会放大复利，但前提是投资者活过回撤。</w:t>
      </w:r>
    </w:p>
    <w:p>
      <w:pPr>
        <w:spacing w:before="240" w:after="120" w:line="276" w:lineRule="auto"/>
      </w:pPr>
      <w:r>
        <w:rPr>
          <w:rFonts w:ascii="Calibri" w:hAnsi="Calibri" w:eastAsia="微软雅黑"/>
          <w:b/>
          <w:i w:val="0"/>
          <w:color w:val="2A9D8F"/>
          <w:sz w:val="26"/>
        </w:rPr>
        <w:t>4.2 风险—收益平面：股票给溢价，债券给效率</w:t>
      </w:r>
    </w:p>
    <w:p>
      <w:pPr>
        <w:spacing w:before="160" w:after="80" w:line="276" w:lineRule="auto"/>
        <w:jc w:val="center"/>
      </w:pPr>
      <w:r>
        <w:drawing>
          <wp:inline xmlns:a="http://schemas.openxmlformats.org/drawingml/2006/main" xmlns:pic="http://schemas.openxmlformats.org/drawingml/2006/picture">
            <wp:extent cx="5616000" cy="3455499"/>
            <wp:docPr id="6" name="Picture 6"/>
            <wp:cNvGraphicFramePr>
              <a:graphicFrameLocks noChangeAspect="1"/>
            </wp:cNvGraphicFramePr>
            <a:graphic>
              <a:graphicData uri="http://schemas.openxmlformats.org/drawingml/2006/picture">
                <pic:pic>
                  <pic:nvPicPr>
                    <pic:cNvPr id="0" name="fig02_risk_return.png"/>
                    <pic:cNvPicPr/>
                  </pic:nvPicPr>
                  <pic:blipFill>
                    <a:blip r:embed="rId15"/>
                    <a:stretch>
                      <a:fillRect/>
                    </a:stretch>
                  </pic:blipFill>
                  <pic:spPr>
                    <a:xfrm>
                      <a:off x="0" y="0"/>
                      <a:ext cx="5616000" cy="3455499"/>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图2 风险收益平面</w:t>
      </w:r>
    </w:p>
    <w:p>
      <w:pPr>
        <w:spacing w:before="160" w:after="80" w:line="276" w:lineRule="auto"/>
        <w:jc w:val="center"/>
      </w:pPr>
      <w:r>
        <w:drawing>
          <wp:inline xmlns:a="http://schemas.openxmlformats.org/drawingml/2006/main" xmlns:pic="http://schemas.openxmlformats.org/drawingml/2006/picture">
            <wp:extent cx="5616000" cy="3416282"/>
            <wp:docPr id="7" name="Picture 7"/>
            <wp:cNvGraphicFramePr>
              <a:graphicFrameLocks noChangeAspect="1"/>
            </wp:cNvGraphicFramePr>
            <a:graphic>
              <a:graphicData uri="http://schemas.openxmlformats.org/drawingml/2006/picture">
                <pic:pic>
                  <pic:nvPicPr>
                    <pic:cNvPr id="0" name="fig07_sharpe.png"/>
                    <pic:cNvPicPr/>
                  </pic:nvPicPr>
                  <pic:blipFill>
                    <a:blip r:embed="rId16"/>
                    <a:stretch>
                      <a:fillRect/>
                    </a:stretch>
                  </pic:blipFill>
                  <pic:spPr>
                    <a:xfrm>
                      <a:off x="0" y="0"/>
                      <a:ext cx="5616000" cy="3416282"/>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图7 夏普比率</w:t>
      </w:r>
    </w:p>
    <w:p>
      <w:pPr>
        <w:spacing w:before="40" w:after="120" w:line="293" w:lineRule="auto"/>
        <w:ind w:firstLine="420"/>
      </w:pPr>
      <w:r>
        <w:rPr>
          <w:rFonts w:ascii="Calibri" w:hAnsi="Calibri" w:eastAsia="微软雅黑"/>
          <w:b w:val="0"/>
          <w:i w:val="0"/>
          <w:color w:val="1A1A1A"/>
          <w:sz w:val="22"/>
        </w:rPr>
        <w:t>用短期国债作现金代理，粗算夏普：长期信用债约0.45，长期国债约0.31，A股整体约0.15。这不是说不该买股票，而是说：</w:t>
      </w:r>
    </w:p>
    <w:p>
      <w:pPr>
        <w:pStyle w:val="ListBullet"/>
        <w:spacing w:before="20" w:after="60" w:line="276" w:lineRule="auto"/>
      </w:pPr>
      <w:r>
        <w:rPr>
          <w:rFonts w:ascii="Calibri" w:hAnsi="Calibri" w:eastAsia="微软雅黑"/>
          <w:b w:val="0"/>
          <w:i w:val="0"/>
          <w:color w:val="1A1A1A"/>
          <w:sz w:val="22"/>
        </w:rPr>
        <w:t>股票的价值在于</w:t>
      </w:r>
      <w:r>
        <w:rPr>
          <w:rFonts w:ascii="Calibri" w:hAnsi="Calibri" w:eastAsia="微软雅黑"/>
          <w:b/>
          <w:i w:val="0"/>
          <w:color w:val="1B365D"/>
          <w:sz w:val="22"/>
        </w:rPr>
        <w:t>提高组合的期望终端财富</w:t>
      </w:r>
      <w:r>
        <w:rPr>
          <w:rFonts w:ascii="Calibri" w:hAnsi="Calibri" w:eastAsia="微软雅黑"/>
          <w:b w:val="0"/>
          <w:i w:val="0"/>
          <w:color w:val="1A1A1A"/>
          <w:sz w:val="22"/>
        </w:rPr>
        <w:t>，尤其在投资期超过十年、能够再平衡的时候；</w:t>
      </w:r>
    </w:p>
    <w:p>
      <w:pPr>
        <w:pStyle w:val="ListBullet"/>
        <w:spacing w:before="20" w:after="60" w:line="276" w:lineRule="auto"/>
      </w:pPr>
      <w:r>
        <w:rPr>
          <w:rFonts w:ascii="Calibri" w:hAnsi="Calibri" w:eastAsia="微软雅黑"/>
          <w:b w:val="0"/>
          <w:i w:val="0"/>
          <w:color w:val="1A1A1A"/>
          <w:sz w:val="22"/>
        </w:rPr>
        <w:t>债券的价值在于</w:t>
      </w:r>
      <w:r>
        <w:rPr>
          <w:rFonts w:ascii="Calibri" w:hAnsi="Calibri" w:eastAsia="微软雅黑"/>
          <w:b/>
          <w:i w:val="0"/>
          <w:color w:val="1B365D"/>
          <w:sz w:val="22"/>
        </w:rPr>
        <w:t>提高单位风险回报、压低最大回撤、匹配负债</w:t>
      </w:r>
      <w:r>
        <w:rPr>
          <w:rFonts w:ascii="Calibri" w:hAnsi="Calibri" w:eastAsia="微软雅黑"/>
          <w:b w:val="0"/>
          <w:i w:val="0"/>
          <w:color w:val="1A1A1A"/>
          <w:sz w:val="22"/>
        </w:rPr>
        <w:t>；</w:t>
      </w:r>
    </w:p>
    <w:p>
      <w:pPr>
        <w:pStyle w:val="ListBullet"/>
        <w:spacing w:before="20" w:after="60" w:line="276" w:lineRule="auto"/>
      </w:pPr>
      <w:r>
        <w:rPr>
          <w:rFonts w:ascii="Calibri" w:hAnsi="Calibri" w:eastAsia="微软雅黑"/>
          <w:b w:val="0"/>
          <w:i w:val="0"/>
          <w:color w:val="1A1A1A"/>
          <w:sz w:val="22"/>
        </w:rPr>
        <w:t>黄金在中国样本里夏普很高，但它不是股债的替代，而是通胀/地缘的卫星。</w:t>
      </w:r>
    </w:p>
    <w:p>
      <w:pPr>
        <w:spacing w:before="40" w:after="120" w:line="293" w:lineRule="auto"/>
        <w:ind w:firstLine="420"/>
      </w:pPr>
      <w:r>
        <w:rPr>
          <w:rFonts w:ascii="Calibri" w:hAnsi="Calibri" w:eastAsia="微软雅黑"/>
          <w:b w:val="0"/>
          <w:i w:val="0"/>
          <w:color w:val="1A1A1A"/>
          <w:sz w:val="22"/>
        </w:rPr>
        <w:t>A股最大回撤在全收益口径下可深至约−70%量级（卖方常用沪深300全收益回撤亦常超过−50%）。债券组合的回撤通常是一个数量级更小。任何把股票当“高息存款”的说法，都与数据冲突。</w:t>
      </w:r>
    </w:p>
    <w:p>
      <w:pPr>
        <w:spacing w:before="240" w:after="120" w:line="276" w:lineRule="auto"/>
      </w:pPr>
      <w:r>
        <w:rPr>
          <w:rFonts w:ascii="Calibri" w:hAnsi="Calibri" w:eastAsia="微软雅黑"/>
          <w:b/>
          <w:i w:val="0"/>
          <w:color w:val="2A9D8F"/>
          <w:sz w:val="26"/>
        </w:rPr>
        <w:t>4.3 收益分解：不要把牛市的资本利得写进中枢</w:t>
      </w:r>
    </w:p>
    <w:p>
      <w:pPr>
        <w:spacing w:before="40" w:after="120" w:line="293" w:lineRule="auto"/>
        <w:ind w:firstLine="420"/>
      </w:pPr>
      <w:r>
        <w:rPr>
          <w:rFonts w:ascii="Calibri" w:hAnsi="Calibri" w:eastAsia="微软雅黑"/>
          <w:b/>
          <w:i w:val="0"/>
          <w:color w:val="1B365D"/>
          <w:sz w:val="22"/>
        </w:rPr>
        <w:t>债券。</w:t>
      </w:r>
      <w:r>
        <w:rPr>
          <w:rFonts w:ascii="Calibri" w:hAnsi="Calibri" w:eastAsia="微软雅黑"/>
          <w:b w:val="0"/>
          <w:i w:val="0"/>
          <w:color w:val="1A1A1A"/>
          <w:sz w:val="22"/>
        </w:rPr>
        <w:t xml:space="preserve"> 票息是长期回报的主体；资本利得来自收益率下行。2022–2024年中国利率快速下行，财富指数收益被一次性抬高。2025年出现反转：长期国债仅0.89%，长期信用债0.30%，短债1.23%反而最好——曲线平坦化、供给放量、信用分化，资本利得没了，票息又已经很低。前向看，把4.3%的历史年化当作10年期国债的预期收益，高估了一倍以上。</w:t>
      </w:r>
    </w:p>
    <w:p>
      <w:pPr>
        <w:spacing w:before="40" w:after="120" w:line="293" w:lineRule="auto"/>
        <w:ind w:firstLine="420"/>
      </w:pPr>
      <w:r>
        <w:rPr>
          <w:rFonts w:ascii="Calibri" w:hAnsi="Calibri" w:eastAsia="微软雅黑"/>
          <w:b/>
          <w:i w:val="0"/>
          <w:color w:val="1B365D"/>
          <w:sz w:val="22"/>
        </w:rPr>
        <w:t>股票。</w:t>
      </w:r>
      <w:r>
        <w:rPr>
          <w:rFonts w:ascii="Calibri" w:hAnsi="Calibri" w:eastAsia="微软雅黑"/>
          <w:b w:val="0"/>
          <w:i w:val="0"/>
          <w:color w:val="1A1A1A"/>
          <w:sz w:val="22"/>
        </w:rPr>
        <w:t xml:space="preserve"> \(R \approx\) 股息率 + 盈利增长 + 估值变化。2005–2025年起点的市盈率并不低于终点，估值变化对长期年化是负贡献或接近零。长期能留下的，是盈利和分红。2025年A股整体+27%，其中相当部分是估值和风险偏好，不能外推。</w:t>
      </w:r>
    </w:p>
    <w:p>
      <w:pPr>
        <w:spacing w:before="240" w:after="120" w:line="276" w:lineRule="auto"/>
      </w:pPr>
      <w:r>
        <w:rPr>
          <w:rFonts w:ascii="Calibri" w:hAnsi="Calibri" w:eastAsia="微软雅黑"/>
          <w:b/>
          <w:i w:val="0"/>
          <w:color w:val="2A9D8F"/>
          <w:sz w:val="26"/>
        </w:rPr>
        <w:t>4.4 2025年：把“股强债弱”读成状态，而不是新定律</w:t>
      </w:r>
    </w:p>
    <w:p>
      <w:pPr>
        <w:spacing w:before="160" w:after="80" w:line="276" w:lineRule="auto"/>
        <w:jc w:val="center"/>
      </w:pPr>
      <w:r>
        <w:drawing>
          <wp:inline xmlns:a="http://schemas.openxmlformats.org/drawingml/2006/main" xmlns:pic="http://schemas.openxmlformats.org/drawingml/2006/picture">
            <wp:extent cx="5616000" cy="3416168"/>
            <wp:docPr id="8" name="Picture 8"/>
            <wp:cNvGraphicFramePr>
              <a:graphicFrameLocks noChangeAspect="1"/>
            </wp:cNvGraphicFramePr>
            <a:graphic>
              <a:graphicData uri="http://schemas.openxmlformats.org/drawingml/2006/picture">
                <pic:pic>
                  <pic:nvPicPr>
                    <pic:cNvPr id="0" name="fig06_year_2025.png"/>
                    <pic:cNvPicPr/>
                  </pic:nvPicPr>
                  <pic:blipFill>
                    <a:blip r:embed="rId17"/>
                    <a:stretch>
                      <a:fillRect/>
                    </a:stretch>
                  </pic:blipFill>
                  <pic:spPr>
                    <a:xfrm>
                      <a:off x="0" y="0"/>
                      <a:ext cx="5616000" cy="3416168"/>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图6 2025年收益</w:t>
      </w:r>
    </w:p>
    <w:p>
      <w:pPr>
        <w:spacing w:before="40" w:after="120" w:line="293" w:lineRule="auto"/>
        <w:ind w:firstLine="420"/>
      </w:pPr>
      <w:r>
        <w:rPr>
          <w:rFonts w:ascii="Calibri" w:hAnsi="Calibri" w:eastAsia="微软雅黑"/>
          <w:b w:val="0"/>
          <w:i w:val="0"/>
          <w:color w:val="1A1A1A"/>
          <w:sz w:val="22"/>
        </w:rPr>
        <w:t>2025年是教科书式的风险偏好修复年：权益大涨、债券“短强长弱、信用垫底”，CPI为0。它验证了三件事：</w:t>
      </w:r>
    </w:p>
    <w:p>
      <w:pPr>
        <w:pStyle w:val="ListNumber"/>
        <w:spacing w:before="20" w:after="60" w:line="276" w:lineRule="auto"/>
      </w:pPr>
      <w:r>
        <w:rPr>
          <w:rFonts w:ascii="Calibri" w:hAnsi="Calibri" w:eastAsia="微软雅黑"/>
          <w:b w:val="0"/>
          <w:i w:val="0"/>
          <w:color w:val="1A1A1A"/>
          <w:sz w:val="22"/>
        </w:rPr>
        <w:t>当增长预期和产业叙事（AI、新质生产力）改善时，股票对贴现率下行的弹性远大于债券。</w:t>
      </w:r>
    </w:p>
    <w:p>
      <w:pPr>
        <w:pStyle w:val="ListNumber"/>
        <w:spacing w:before="20" w:after="60" w:line="276" w:lineRule="auto"/>
      </w:pPr>
      <w:r>
        <w:rPr>
          <w:rFonts w:ascii="Calibri" w:hAnsi="Calibri" w:eastAsia="微软雅黑"/>
          <w:b w:val="0"/>
          <w:i w:val="0"/>
          <w:color w:val="1A1A1A"/>
          <w:sz w:val="22"/>
        </w:rPr>
        <w:t>在低利率约束下，长债的资本利得空间被供给（超长期国债、地方债）封住，债券不再自动上涨。</w:t>
      </w:r>
    </w:p>
    <w:p>
      <w:pPr>
        <w:pStyle w:val="ListNumber"/>
        <w:spacing w:before="20" w:after="60" w:line="276" w:lineRule="auto"/>
      </w:pPr>
      <w:r>
        <w:rPr>
          <w:rFonts w:ascii="Calibri" w:hAnsi="Calibri" w:eastAsia="微软雅黑"/>
          <w:b w:val="0"/>
          <w:i w:val="0"/>
          <w:color w:val="1A1A1A"/>
          <w:sz w:val="22"/>
        </w:rPr>
        <w:t>股债“跷跷板”可以在上半年出现，下半年因债市进入震荡而“脱敏”（财信证券、卖方跨资产报告的复盘）。对冲效率是状态变量。</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五、股债关系：相关性、性价比与宏观驱动</w:t>
      </w:r>
    </w:p>
    <w:p>
      <w:pPr>
        <w:spacing w:before="40" w:after="120" w:line="293" w:lineRule="auto"/>
        <w:ind w:firstLine="420"/>
      </w:pPr>
      <w:r>
        <w:rPr>
          <w:rFonts w:ascii="Calibri" w:hAnsi="Calibri" w:eastAsia="微软雅黑"/>
          <w:b w:val="0"/>
          <w:i w:val="0"/>
          <w:color w:val="1A1A1A"/>
          <w:sz w:val="22"/>
        </w:rPr>
        <w:t>配置的核心不是分别看懂股和债，而是看懂它们何时互相帮助、何时一起倒下。</w:t>
      </w:r>
    </w:p>
    <w:p>
      <w:pPr>
        <w:spacing w:before="240" w:after="120" w:line="276" w:lineRule="auto"/>
      </w:pPr>
      <w:r>
        <w:rPr>
          <w:rFonts w:ascii="Calibri" w:hAnsi="Calibri" w:eastAsia="微软雅黑"/>
          <w:b/>
          <w:i w:val="0"/>
          <w:color w:val="2A9D8F"/>
          <w:sz w:val="26"/>
        </w:rPr>
        <w:t>5.1 理论：相关性是体制，不是常数</w:t>
      </w:r>
    </w:p>
    <w:p>
      <w:pPr>
        <w:spacing w:before="40" w:after="120" w:line="293" w:lineRule="auto"/>
        <w:ind w:firstLine="420"/>
      </w:pPr>
      <w:r>
        <w:rPr>
          <w:rFonts w:ascii="Calibri" w:hAnsi="Calibri" w:eastAsia="微软雅黑"/>
          <w:b w:val="0"/>
          <w:i w:val="0"/>
          <w:color w:val="1A1A1A"/>
          <w:sz w:val="22"/>
        </w:rPr>
        <w:t>Campbell与Ammer（1993）证明，股债收益的协方差取决于共同的贴现率冲击、通胀冲击和增长冲击如何组合。Vanguard对全球样本的综述可以压成三句话：</w:t>
      </w:r>
    </w:p>
    <w:p>
      <w:pPr>
        <w:pStyle w:val="ListBullet"/>
        <w:spacing w:before="20" w:after="60" w:line="276" w:lineRule="auto"/>
      </w:pPr>
      <w:r>
        <w:rPr>
          <w:rFonts w:ascii="Calibri" w:hAnsi="Calibri" w:eastAsia="微软雅黑"/>
          <w:b w:val="0"/>
          <w:i w:val="0"/>
          <w:color w:val="1A1A1A"/>
          <w:sz w:val="22"/>
        </w:rPr>
        <w:t>1990年代以后，多数发达市场股债长期相关为负或接近零，债券能在股市下跌时充当缓冲；</w:t>
      </w:r>
    </w:p>
    <w:p>
      <w:pPr>
        <w:pStyle w:val="ListBullet"/>
        <w:spacing w:before="20" w:after="60" w:line="276" w:lineRule="auto"/>
      </w:pPr>
      <w:r>
        <w:rPr>
          <w:rFonts w:ascii="Calibri" w:hAnsi="Calibri" w:eastAsia="微软雅黑"/>
          <w:b w:val="0"/>
          <w:i w:val="0"/>
          <w:color w:val="1A1A1A"/>
          <w:sz w:val="22"/>
        </w:rPr>
        <w:t>只要相关系数小于1，分散化就有价值；</w:t>
      </w:r>
    </w:p>
    <w:p>
      <w:pPr>
        <w:pStyle w:val="ListBullet"/>
        <w:spacing w:before="20" w:after="60" w:line="276" w:lineRule="auto"/>
      </w:pPr>
      <w:r>
        <w:rPr>
          <w:rFonts w:ascii="Calibri" w:hAnsi="Calibri" w:eastAsia="微软雅黑"/>
          <w:b/>
          <w:i w:val="0"/>
          <w:color w:val="1B365D"/>
          <w:sz w:val="22"/>
        </w:rPr>
        <w:t>供给冲击和高通胀会把相关推正</w:t>
      </w:r>
      <w:r>
        <w:rPr>
          <w:rFonts w:ascii="Calibri" w:hAnsi="Calibri" w:eastAsia="微软雅黑"/>
          <w:b w:val="0"/>
          <w:i w:val="0"/>
          <w:color w:val="1A1A1A"/>
          <w:sz w:val="22"/>
        </w:rPr>
        <w:t>，2022年全球60/40失效是近例。</w:t>
      </w:r>
    </w:p>
    <w:p>
      <w:pPr>
        <w:spacing w:before="160" w:after="80" w:line="276" w:lineRule="auto"/>
        <w:jc w:val="center"/>
      </w:pPr>
      <w:r>
        <w:drawing>
          <wp:inline xmlns:a="http://schemas.openxmlformats.org/drawingml/2006/main" xmlns:pic="http://schemas.openxmlformats.org/drawingml/2006/picture">
            <wp:extent cx="5616000" cy="3194583"/>
            <wp:docPr id="9" name="Picture 9"/>
            <wp:cNvGraphicFramePr>
              <a:graphicFrameLocks noChangeAspect="1"/>
            </wp:cNvGraphicFramePr>
            <a:graphic>
              <a:graphicData uri="http://schemas.openxmlformats.org/drawingml/2006/picture">
                <pic:pic>
                  <pic:nvPicPr>
                    <pic:cNvPr id="0" name="fig11_regimes.png"/>
                    <pic:cNvPicPr/>
                  </pic:nvPicPr>
                  <pic:blipFill>
                    <a:blip r:embed="rId18"/>
                    <a:stretch>
                      <a:fillRect/>
                    </a:stretch>
                  </pic:blipFill>
                  <pic:spPr>
                    <a:xfrm>
                      <a:off x="0" y="0"/>
                      <a:ext cx="5616000" cy="3194583"/>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图11 股债相关性的三种宏观状态</w:t>
      </w:r>
    </w:p>
    <w:p>
      <w:pPr>
        <w:spacing w:before="40" w:after="120" w:line="293" w:lineRule="auto"/>
        <w:ind w:firstLine="420"/>
      </w:pPr>
      <w:r>
        <w:rPr>
          <w:rFonts w:ascii="Calibri" w:hAnsi="Calibri" w:eastAsia="微软雅黑"/>
          <w:b w:val="0"/>
          <w:i w:val="0"/>
          <w:color w:val="1A1A1A"/>
          <w:sz w:val="22"/>
        </w:rPr>
        <w:t>中国近二十年的卖方复盘（财信证券等）给出本土化事实：</w:t>
      </w:r>
    </w:p>
    <w:p>
      <w:pPr>
        <w:pStyle w:val="ListNumber"/>
        <w:spacing w:before="20" w:after="60" w:line="276" w:lineRule="auto"/>
      </w:pPr>
      <w:r>
        <w:rPr>
          <w:rFonts w:ascii="Calibri" w:hAnsi="Calibri" w:eastAsia="微软雅黑"/>
          <w:b w:val="0"/>
          <w:i w:val="0"/>
          <w:color w:val="1A1A1A"/>
          <w:sz w:val="22"/>
        </w:rPr>
        <w:t>约七成时间股债呈现“常联动”（相关系数绝对值≥0.3）。</w:t>
      </w:r>
    </w:p>
    <w:p>
      <w:pPr>
        <w:pStyle w:val="ListNumber"/>
        <w:spacing w:before="20" w:after="60" w:line="276" w:lineRule="auto"/>
      </w:pPr>
      <w:r>
        <w:rPr>
          <w:rFonts w:ascii="Calibri" w:hAnsi="Calibri" w:eastAsia="微软雅黑"/>
          <w:b w:val="0"/>
          <w:i w:val="0"/>
          <w:color w:val="1A1A1A"/>
          <w:sz w:val="22"/>
        </w:rPr>
        <w:t>持有期越长，相关性越弱——这有利于战略配置，不利于短线对冲。</w:t>
      </w:r>
    </w:p>
    <w:p>
      <w:pPr>
        <w:pStyle w:val="ListNumber"/>
        <w:spacing w:before="20" w:after="60" w:line="276" w:lineRule="auto"/>
      </w:pPr>
      <w:r>
        <w:rPr>
          <w:rFonts w:ascii="Calibri" w:hAnsi="Calibri" w:eastAsia="微软雅黑"/>
          <w:b w:val="0"/>
          <w:i w:val="0"/>
          <w:color w:val="1A1A1A"/>
          <w:sz w:val="22"/>
        </w:rPr>
        <w:t>长期看负相关仍是主导，但同向波动的年份并不罕见。</w:t>
      </w:r>
    </w:p>
    <w:p>
      <w:pPr>
        <w:pStyle w:val="ListNumber"/>
        <w:spacing w:before="20" w:after="60" w:line="276" w:lineRule="auto"/>
      </w:pPr>
      <w:r>
        <w:rPr>
          <w:rFonts w:ascii="Calibri" w:hAnsi="Calibri" w:eastAsia="微软雅黑"/>
          <w:b w:val="0"/>
          <w:i w:val="0"/>
          <w:color w:val="1A1A1A"/>
          <w:sz w:val="22"/>
        </w:rPr>
        <w:t>2025年上半年是强负相关的“跷跷板”，下半年转为弱相关。</w:t>
      </w:r>
    </w:p>
    <w:p>
      <w:pPr>
        <w:spacing w:before="40" w:after="120" w:line="293" w:lineRule="auto"/>
        <w:ind w:firstLine="420"/>
      </w:pPr>
      <w:r>
        <w:rPr>
          <w:rFonts w:ascii="Calibri" w:hAnsi="Calibri" w:eastAsia="微软雅黑"/>
          <w:b w:val="0"/>
          <w:i w:val="0"/>
          <w:color w:val="1A1A1A"/>
          <w:sz w:val="22"/>
        </w:rPr>
        <w:t>学术上，Chen等（2025）用自适应Lasso-DCC-MIDAS发现：繁荣期中国股债更易“同步”为正，衰退期更易“异步”为负；股票换手率和实际有效汇率是重要驱动。含义很实践：</w:t>
      </w:r>
      <w:r>
        <w:rPr>
          <w:rFonts w:ascii="Calibri" w:hAnsi="Calibri" w:eastAsia="微软雅黑"/>
          <w:b/>
          <w:i w:val="0"/>
          <w:color w:val="1B365D"/>
          <w:sz w:val="22"/>
        </w:rPr>
        <w:t>不要在模型里写死 ρ = −0.3。</w:t>
      </w:r>
      <w:r>
        <w:rPr>
          <w:rFonts w:ascii="Calibri" w:hAnsi="Calibri" w:eastAsia="微软雅黑"/>
          <w:b w:val="0"/>
          <w:i w:val="0"/>
          <w:color w:val="1A1A1A"/>
          <w:sz w:val="22"/>
        </w:rPr>
        <w:t xml:space="preserve"> 给相关设置体制（需求/供给/流动性），再决定债券对冲额度。</w:t>
      </w:r>
    </w:p>
    <w:p>
      <w:pPr>
        <w:spacing w:before="240" w:after="120" w:line="276" w:lineRule="auto"/>
      </w:pPr>
      <w:r>
        <w:rPr>
          <w:rFonts w:ascii="Calibri" w:hAnsi="Calibri" w:eastAsia="微软雅黑"/>
          <w:b/>
          <w:i w:val="0"/>
          <w:color w:val="2A9D8F"/>
          <w:sz w:val="26"/>
        </w:rPr>
        <w:t>5.2 股债性价比：最常用、也最容易用坏的指标</w:t>
      </w:r>
    </w:p>
    <w:p>
      <w:pPr>
        <w:spacing w:before="160" w:after="80" w:line="276" w:lineRule="auto"/>
        <w:jc w:val="center"/>
      </w:pPr>
      <w:r>
        <w:drawing>
          <wp:inline xmlns:a="http://schemas.openxmlformats.org/drawingml/2006/main" xmlns:pic="http://schemas.openxmlformats.org/drawingml/2006/picture">
            <wp:extent cx="5616000" cy="3287959"/>
            <wp:docPr id="10" name="Picture 10"/>
            <wp:cNvGraphicFramePr>
              <a:graphicFrameLocks noChangeAspect="1"/>
            </wp:cNvGraphicFramePr>
            <a:graphic>
              <a:graphicData uri="http://schemas.openxmlformats.org/drawingml/2006/picture">
                <pic:pic>
                  <pic:nvPicPr>
                    <pic:cNvPr id="0" name="fig10_erp.png"/>
                    <pic:cNvPicPr/>
                  </pic:nvPicPr>
                  <pic:blipFill>
                    <a:blip r:embed="rId19"/>
                    <a:stretch>
                      <a:fillRect/>
                    </a:stretch>
                  </pic:blipFill>
                  <pic:spPr>
                    <a:xfrm>
                      <a:off x="0" y="0"/>
                      <a:ext cx="5616000" cy="3287959"/>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图10 股债比价</w:t>
      </w:r>
    </w:p>
    <w:p>
      <w:pPr>
        <w:spacing w:before="40" w:after="120" w:line="293" w:lineRule="auto"/>
        <w:ind w:firstLine="420"/>
      </w:pPr>
      <w:r>
        <w:rPr>
          <w:rFonts w:ascii="Calibri" w:hAnsi="Calibri" w:eastAsia="微软雅黑"/>
          <w:b w:val="0"/>
          <w:i w:val="0"/>
          <w:color w:val="1A1A1A"/>
          <w:sz w:val="22"/>
        </w:rPr>
        <w:t>国内主流量化形式来自Fed模型：</w:t>
      </w:r>
    </w:p>
    <w:p>
      <w:pPr>
        <w:spacing w:before="120" w:after="120" w:line="276" w:lineRule="auto"/>
        <w:jc w:val="center"/>
      </w:pPr>
      <w:r>
        <w:rPr>
          <w:rFonts w:ascii="Calibri" w:hAnsi="Calibri" w:eastAsia="Cambria Math"/>
          <w:b w:val="0"/>
          <w:i/>
          <w:color w:val="1B365D"/>
          <w:sz w:val="24"/>
        </w:rPr>
        <w:t>\text{股债利差}=\frac{1}{PE_{\text{TTM}}}-YTM_{10Y}</w:t>
      </w:r>
    </w:p>
    <w:p>
      <w:pPr>
        <w:spacing w:before="40" w:after="120" w:line="293" w:lineRule="auto"/>
        <w:ind w:firstLine="420"/>
      </w:pPr>
      <w:r>
        <w:rPr>
          <w:rFonts w:ascii="Calibri" w:hAnsi="Calibri" w:eastAsia="微软雅黑"/>
          <w:b w:val="0"/>
          <w:i w:val="0"/>
          <w:color w:val="1A1A1A"/>
          <w:sz w:val="22"/>
        </w:rPr>
        <w:t>或用股息率：\(\text{DY}-YTM\)。2026年8月中旬，沪深300 PE-TTM约14.3倍，盈利收益率约7.0%；十年国债约1.7%；股息率约2.6%。两种算法都显示股票相对债券有吸引力：</w:t>
      </w:r>
    </w:p>
    <w:p>
      <w:pPr>
        <w:pStyle w:val="ListBullet"/>
        <w:spacing w:before="20" w:after="60" w:line="276" w:lineRule="auto"/>
      </w:pPr>
      <w:r>
        <w:rPr>
          <w:rFonts w:ascii="Calibri" w:hAnsi="Calibri" w:eastAsia="微软雅黑"/>
          <w:b w:val="0"/>
          <w:i w:val="0"/>
          <w:color w:val="1A1A1A"/>
          <w:sz w:val="22"/>
        </w:rPr>
        <w:t xml:space="preserve">盈利收益率 − 国债 ≈ </w:t>
      </w:r>
      <w:r>
        <w:rPr>
          <w:rFonts w:ascii="Calibri" w:hAnsi="Calibri" w:eastAsia="微软雅黑"/>
          <w:b/>
          <w:i w:val="0"/>
          <w:color w:val="1B365D"/>
          <w:sz w:val="22"/>
        </w:rPr>
        <w:t>5.3个百分点</w:t>
      </w:r>
    </w:p>
    <w:p>
      <w:pPr>
        <w:pStyle w:val="ListBullet"/>
        <w:spacing w:before="20" w:after="60" w:line="276" w:lineRule="auto"/>
      </w:pPr>
      <w:r>
        <w:rPr>
          <w:rFonts w:ascii="Calibri" w:hAnsi="Calibri" w:eastAsia="微软雅黑"/>
          <w:b w:val="0"/>
          <w:i w:val="0"/>
          <w:color w:val="1A1A1A"/>
          <w:sz w:val="22"/>
        </w:rPr>
        <w:t xml:space="preserve">股息率 − 国债 ≈ </w:t>
      </w:r>
      <w:r>
        <w:rPr>
          <w:rFonts w:ascii="Calibri" w:hAnsi="Calibri" w:eastAsia="微软雅黑"/>
          <w:b/>
          <w:i w:val="0"/>
          <w:color w:val="1B365D"/>
          <w:sz w:val="22"/>
        </w:rPr>
        <w:t>0.9个百分点</w:t>
      </w:r>
      <w:r>
        <w:rPr>
          <w:rFonts w:ascii="Calibri" w:hAnsi="Calibri" w:eastAsia="微软雅黑"/>
          <w:b w:val="0"/>
          <w:i w:val="0"/>
          <w:color w:val="1A1A1A"/>
          <w:sz w:val="22"/>
        </w:rPr>
        <w:t>（股息已高于国债，这在过去十年并不常见）</w:t>
      </w:r>
    </w:p>
    <w:p>
      <w:pPr>
        <w:spacing w:before="40" w:after="120" w:line="293" w:lineRule="auto"/>
        <w:ind w:firstLine="420"/>
      </w:pPr>
      <w:r>
        <w:rPr>
          <w:rFonts w:ascii="Calibri" w:hAnsi="Calibri" w:eastAsia="微软雅黑"/>
          <w:b w:val="0"/>
          <w:i w:val="0"/>
          <w:color w:val="1A1A1A"/>
          <w:sz w:val="22"/>
        </w:rPr>
        <w:t>使用纪律：</w:t>
      </w:r>
    </w:p>
    <w:p>
      <w:pPr>
        <w:pStyle w:val="ListNumber"/>
        <w:spacing w:before="20" w:after="60" w:line="276" w:lineRule="auto"/>
      </w:pPr>
      <w:r>
        <w:rPr>
          <w:rFonts w:ascii="Calibri" w:hAnsi="Calibri" w:eastAsia="微软雅黑"/>
          <w:b/>
          <w:i w:val="0"/>
          <w:color w:val="1B365D"/>
          <w:sz w:val="22"/>
        </w:rPr>
        <w:t>看分位，不看绝对水平。</w:t>
      </w:r>
      <w:r>
        <w:rPr>
          <w:rFonts w:ascii="Calibri" w:hAnsi="Calibri" w:eastAsia="微软雅黑"/>
          <w:b w:val="0"/>
          <w:i w:val="0"/>
          <w:color w:val="1A1A1A"/>
          <w:sz w:val="22"/>
        </w:rPr>
        <w:t xml:space="preserve"> 利率中枢下移后，历史分位会被系统性抬高。</w:t>
      </w:r>
    </w:p>
    <w:p>
      <w:pPr>
        <w:pStyle w:val="ListNumber"/>
        <w:spacing w:before="20" w:after="60" w:line="276" w:lineRule="auto"/>
      </w:pPr>
      <w:r>
        <w:rPr>
          <w:rFonts w:ascii="Calibri" w:hAnsi="Calibri" w:eastAsia="微软雅黑"/>
          <w:b/>
          <w:i w:val="0"/>
          <w:color w:val="1B365D"/>
          <w:sz w:val="22"/>
        </w:rPr>
        <w:t>用增长和全球利率修正。</w:t>
      </w:r>
      <w:r>
        <w:rPr>
          <w:rFonts w:ascii="Calibri" w:hAnsi="Calibri" w:eastAsia="微软雅黑"/>
          <w:b w:val="0"/>
          <w:i w:val="0"/>
          <w:color w:val="1A1A1A"/>
          <w:sz w:val="22"/>
        </w:rPr>
        <w:t xml:space="preserve"> 2022年后传统ERP长期高位而股指偏弱，因为它忽略了盈利下修和中美利差。改进指标把盈利预期和美债纳入后，轮动效果恢复（卖方“固收+”系列的经验）。</w:t>
      </w:r>
    </w:p>
    <w:p>
      <w:pPr>
        <w:pStyle w:val="ListNumber"/>
        <w:spacing w:before="20" w:after="60" w:line="276" w:lineRule="auto"/>
      </w:pPr>
      <w:r>
        <w:rPr>
          <w:rFonts w:ascii="Calibri" w:hAnsi="Calibri" w:eastAsia="微软雅黑"/>
          <w:b/>
          <w:i w:val="0"/>
          <w:color w:val="1B365D"/>
          <w:sz w:val="22"/>
        </w:rPr>
        <w:t>仓位映射要钝化。</w:t>
      </w:r>
      <w:r>
        <w:rPr>
          <w:rFonts w:ascii="Calibri" w:hAnsi="Calibri" w:eastAsia="微软雅黑"/>
          <w:b w:val="0"/>
          <w:i w:val="0"/>
          <w:color w:val="1A1A1A"/>
          <w:sz w:val="22"/>
        </w:rPr>
        <w:t xml:space="preserve"> 常见做法是：用过去十年分位数Q作为权益权重，每月再平衡。不要在指标极值做100%切换。</w:t>
      </w:r>
    </w:p>
    <w:p>
      <w:pPr>
        <w:pStyle w:val="ListNumber"/>
        <w:spacing w:before="20" w:after="60" w:line="276" w:lineRule="auto"/>
      </w:pPr>
      <w:r>
        <w:rPr>
          <w:rFonts w:ascii="Calibri" w:hAnsi="Calibri" w:eastAsia="微软雅黑"/>
          <w:b/>
          <w:i w:val="0"/>
          <w:color w:val="1B365D"/>
          <w:sz w:val="22"/>
        </w:rPr>
        <w:t>指数要匹配。</w:t>
      </w:r>
      <w:r>
        <w:rPr>
          <w:rFonts w:ascii="Calibri" w:hAnsi="Calibri" w:eastAsia="微软雅黑"/>
          <w:b w:val="0"/>
          <w:i w:val="0"/>
          <w:color w:val="1A1A1A"/>
          <w:sz w:val="22"/>
        </w:rPr>
        <w:t xml:space="preserve"> 用沪深300对利率债，用中证1000对成长，用红利指数对“类债股票”，结论会不同。</w:t>
      </w:r>
    </w:p>
    <w:p>
      <w:pPr>
        <w:spacing w:before="240" w:after="120" w:line="276" w:lineRule="auto"/>
      </w:pPr>
      <w:r>
        <w:rPr>
          <w:rFonts w:ascii="Calibri" w:hAnsi="Calibri" w:eastAsia="微软雅黑"/>
          <w:b/>
          <w:i w:val="0"/>
          <w:color w:val="2A9D8F"/>
          <w:sz w:val="26"/>
        </w:rPr>
        <w:t>5.3 美林时钟必须中国化，且要叠加货币—信用</w:t>
      </w:r>
    </w:p>
    <w:p>
      <w:pPr>
        <w:spacing w:before="160" w:after="80" w:line="276" w:lineRule="auto"/>
        <w:jc w:val="center"/>
      </w:pPr>
      <w:r>
        <w:drawing>
          <wp:inline xmlns:a="http://schemas.openxmlformats.org/drawingml/2006/main" xmlns:pic="http://schemas.openxmlformats.org/drawingml/2006/picture">
            <wp:extent cx="5616000" cy="6033344"/>
            <wp:docPr id="11" name="Picture 11"/>
            <wp:cNvGraphicFramePr>
              <a:graphicFrameLocks noChangeAspect="1"/>
            </wp:cNvGraphicFramePr>
            <a:graphic>
              <a:graphicData uri="http://schemas.openxmlformats.org/drawingml/2006/picture">
                <pic:pic>
                  <pic:nvPicPr>
                    <pic:cNvPr id="0" name="fig08_merrill_clock.png"/>
                    <pic:cNvPicPr/>
                  </pic:nvPicPr>
                  <pic:blipFill>
                    <a:blip r:embed="rId20"/>
                    <a:stretch>
                      <a:fillRect/>
                    </a:stretch>
                  </pic:blipFill>
                  <pic:spPr>
                    <a:xfrm>
                      <a:off x="0" y="0"/>
                      <a:ext cx="5616000" cy="6033344"/>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图8 增长通胀四象限</w:t>
      </w:r>
    </w:p>
    <w:p>
      <w:pPr>
        <w:spacing w:before="40" w:after="120" w:line="293" w:lineRule="auto"/>
        <w:ind w:firstLine="420"/>
      </w:pPr>
      <w:r>
        <w:rPr>
          <w:rFonts w:ascii="Calibri" w:hAnsi="Calibri" w:eastAsia="微软雅黑"/>
          <w:b w:val="0"/>
          <w:i w:val="0"/>
          <w:color w:val="1A1A1A"/>
          <w:sz w:val="22"/>
        </w:rPr>
        <w:t>Merrill Lynch（2004）用产出缺口和CPI把周期分成复苏、过热、滞胀、衰退，对应股、商、现金、债的轮动。中国不能原样照搬：</w:t>
      </w:r>
    </w:p>
    <w:p>
      <w:pPr>
        <w:pStyle w:val="ListBullet"/>
        <w:spacing w:before="20" w:after="60" w:line="276" w:lineRule="auto"/>
      </w:pPr>
      <w:r>
        <w:rPr>
          <w:rFonts w:ascii="Calibri" w:hAnsi="Calibri" w:eastAsia="微软雅黑"/>
          <w:b w:val="0"/>
          <w:i w:val="0"/>
          <w:color w:val="1A1A1A"/>
          <w:sz w:val="22"/>
        </w:rPr>
        <w:t>增长指标改用工业增加值、PMI，通胀用CPI与PPI（中金等建议）；</w:t>
      </w:r>
    </w:p>
    <w:p>
      <w:pPr>
        <w:pStyle w:val="ListBullet"/>
        <w:spacing w:before="20" w:after="60" w:line="276" w:lineRule="auto"/>
      </w:pPr>
      <w:r>
        <w:rPr>
          <w:rFonts w:ascii="Calibri" w:hAnsi="Calibri" w:eastAsia="微软雅黑"/>
          <w:b w:val="0"/>
          <w:i w:val="0"/>
          <w:color w:val="1A1A1A"/>
          <w:sz w:val="22"/>
        </w:rPr>
        <w:t>必须叠加</w:t>
      </w:r>
      <w:r>
        <w:rPr>
          <w:rFonts w:ascii="Calibri" w:hAnsi="Calibri" w:eastAsia="微软雅黑"/>
          <w:b/>
          <w:i w:val="0"/>
          <w:color w:val="1B365D"/>
          <w:sz w:val="22"/>
        </w:rPr>
        <w:t>货币（利率、社融、M2）和信用（信贷脉冲、城投/地产融资）</w:t>
      </w:r>
      <w:r>
        <w:rPr>
          <w:rFonts w:ascii="Calibri" w:hAnsi="Calibri" w:eastAsia="微软雅黑"/>
          <w:b w:val="0"/>
          <w:i w:val="0"/>
          <w:color w:val="1A1A1A"/>
          <w:sz w:val="22"/>
        </w:rPr>
        <w:t>。中国多次出现“宽货币、紧信用”：债牛、股不强。2024–2025部分时间接近这一状态，随后权益在产业叙事和资金入市下单独修复。</w:t>
      </w:r>
    </w:p>
    <w:p>
      <w:pPr>
        <w:pStyle w:val="ListBullet"/>
        <w:spacing w:before="20" w:after="60" w:line="276" w:lineRule="auto"/>
      </w:pPr>
      <w:r>
        <w:rPr>
          <w:rFonts w:ascii="Calibri" w:hAnsi="Calibri" w:eastAsia="微软雅黑"/>
          <w:b w:val="0"/>
          <w:i w:val="0"/>
          <w:color w:val="1A1A1A"/>
          <w:sz w:val="22"/>
        </w:rPr>
        <w:t>滞胀象限在中国样本中常背离（方正等复盘：滞胀阶段股票有时并不最差）。</w:t>
      </w:r>
    </w:p>
    <w:p>
      <w:pPr>
        <w:pStyle w:val="ListBullet"/>
        <w:spacing w:before="20" w:after="60" w:line="276" w:lineRule="auto"/>
      </w:pPr>
      <w:r>
        <w:rPr>
          <w:rFonts w:ascii="Calibri" w:hAnsi="Calibri" w:eastAsia="微软雅黑"/>
          <w:b w:val="0"/>
          <w:i w:val="0"/>
          <w:color w:val="1A1A1A"/>
          <w:sz w:val="22"/>
        </w:rPr>
        <w:t>周期轮动快、政策干预密，时钟更适合做</w:t>
      </w:r>
      <w:r>
        <w:rPr>
          <w:rFonts w:ascii="Calibri" w:hAnsi="Calibri" w:eastAsia="微软雅黑"/>
          <w:b/>
          <w:i w:val="0"/>
          <w:color w:val="1B365D"/>
          <w:sz w:val="22"/>
        </w:rPr>
        <w:t>状态识别</w:t>
      </w:r>
      <w:r>
        <w:rPr>
          <w:rFonts w:ascii="Calibri" w:hAnsi="Calibri" w:eastAsia="微软雅黑"/>
          <w:b w:val="0"/>
          <w:i w:val="0"/>
          <w:color w:val="1A1A1A"/>
          <w:sz w:val="22"/>
        </w:rPr>
        <w:t>，不适合做精确择时。</w:t>
      </w:r>
    </w:p>
    <w:p>
      <w:pPr>
        <w:spacing w:before="40" w:after="120" w:line="293" w:lineRule="auto"/>
        <w:ind w:firstLine="420"/>
      </w:pPr>
      <w:r>
        <w:rPr>
          <w:rFonts w:ascii="Calibri" w:hAnsi="Calibri" w:eastAsia="微软雅黑"/>
          <w:b w:val="0"/>
          <w:i w:val="0"/>
          <w:color w:val="1A1A1A"/>
          <w:sz w:val="22"/>
        </w:rPr>
        <w:t>一张可执行的对照：</w:t>
      </w:r>
    </w:p>
    <w:tbl>
      <w:tblPr>
        <w:tblStyle w:val="TableGrid"/>
        <w:tblW w:type="auto" w:w="0"/>
        <w:tblLayout w:type="autofit"/>
        <w:tblLook w:firstColumn="1" w:firstRow="1" w:lastColumn="0" w:lastRow="0" w:noHBand="0" w:noVBand="1" w:val="04A0"/>
      </w:tblPr>
      <w:tblGrid>
        <w:gridCol w:w="1569"/>
        <w:gridCol w:w="1569"/>
        <w:gridCol w:w="1569"/>
        <w:gridCol w:w="1569"/>
        <w:gridCol w:w="1569"/>
        <w:gridCol w:w="1569"/>
      </w:tblGrid>
      <w:tr>
        <w:tc>
          <w:tcPr>
            <w:tcW w:type="dxa" w:w="1569"/>
            <w:shd w:fill="1B365D" w:val="clear"/>
          </w:tcPr>
          <w:p>
            <w:pPr>
              <w:spacing w:before="40" w:after="40" w:line="259" w:lineRule="auto"/>
            </w:pPr>
            <w:r/>
            <w:r>
              <w:rPr>
                <w:rFonts w:ascii="Calibri" w:hAnsi="Calibri" w:eastAsia="微软雅黑"/>
                <w:b/>
                <w:i w:val="0"/>
                <w:color w:val="FFFFFF"/>
                <w:sz w:val="20"/>
              </w:rPr>
              <w:t>状态</w:t>
            </w:r>
          </w:p>
        </w:tc>
        <w:tc>
          <w:tcPr>
            <w:tcW w:type="dxa" w:w="1569"/>
            <w:shd w:fill="1B365D" w:val="clear"/>
          </w:tcPr>
          <w:p>
            <w:pPr>
              <w:spacing w:before="40" w:after="40" w:line="259" w:lineRule="auto"/>
            </w:pPr>
            <w:r/>
            <w:r>
              <w:rPr>
                <w:rFonts w:ascii="Calibri" w:hAnsi="Calibri" w:eastAsia="微软雅黑"/>
                <w:b/>
                <w:i w:val="0"/>
                <w:color w:val="FFFFFF"/>
                <w:sz w:val="20"/>
              </w:rPr>
              <w:t>增长</w:t>
            </w:r>
          </w:p>
        </w:tc>
        <w:tc>
          <w:tcPr>
            <w:tcW w:type="dxa" w:w="1569"/>
            <w:shd w:fill="1B365D" w:val="clear"/>
          </w:tcPr>
          <w:p>
            <w:pPr>
              <w:spacing w:before="40" w:after="40" w:line="259" w:lineRule="auto"/>
            </w:pPr>
            <w:r/>
            <w:r>
              <w:rPr>
                <w:rFonts w:ascii="Calibri" w:hAnsi="Calibri" w:eastAsia="微软雅黑"/>
                <w:b/>
                <w:i w:val="0"/>
                <w:color w:val="FFFFFF"/>
                <w:sz w:val="20"/>
              </w:rPr>
              <w:t>通胀</w:t>
            </w:r>
          </w:p>
        </w:tc>
        <w:tc>
          <w:tcPr>
            <w:tcW w:type="dxa" w:w="1569"/>
            <w:shd w:fill="1B365D" w:val="clear"/>
          </w:tcPr>
          <w:p>
            <w:pPr>
              <w:spacing w:before="40" w:after="40" w:line="259" w:lineRule="auto"/>
            </w:pPr>
            <w:r/>
            <w:r>
              <w:rPr>
                <w:rFonts w:ascii="Calibri" w:hAnsi="Calibri" w:eastAsia="微软雅黑"/>
                <w:b/>
                <w:i w:val="0"/>
                <w:color w:val="FFFFFF"/>
                <w:sz w:val="20"/>
              </w:rPr>
              <w:t>货币信用</w:t>
            </w:r>
          </w:p>
        </w:tc>
        <w:tc>
          <w:tcPr>
            <w:tcW w:type="dxa" w:w="1569"/>
            <w:shd w:fill="1B365D" w:val="clear"/>
          </w:tcPr>
          <w:p>
            <w:pPr>
              <w:spacing w:before="40" w:after="40" w:line="259" w:lineRule="auto"/>
            </w:pPr>
            <w:r/>
            <w:r>
              <w:rPr>
                <w:rFonts w:ascii="Calibri" w:hAnsi="Calibri" w:eastAsia="微软雅黑"/>
                <w:b/>
                <w:i w:val="0"/>
                <w:color w:val="FFFFFF"/>
                <w:sz w:val="20"/>
              </w:rPr>
              <w:t>债券</w:t>
            </w:r>
          </w:p>
        </w:tc>
        <w:tc>
          <w:tcPr>
            <w:tcW w:type="dxa" w:w="1569"/>
            <w:shd w:fill="1B365D" w:val="clear"/>
          </w:tcPr>
          <w:p>
            <w:pPr>
              <w:spacing w:before="40" w:after="40" w:line="259" w:lineRule="auto"/>
            </w:pPr>
            <w:r/>
            <w:r>
              <w:rPr>
                <w:rFonts w:ascii="Calibri" w:hAnsi="Calibri" w:eastAsia="微软雅黑"/>
                <w:b/>
                <w:i w:val="0"/>
                <w:color w:val="FFFFFF"/>
                <w:sz w:val="20"/>
              </w:rPr>
              <w:t>股票</w:t>
            </w:r>
          </w:p>
        </w:tc>
      </w:tr>
      <w:tr>
        <w:tc>
          <w:tcPr>
            <w:tcW w:type="dxa" w:w="1569"/>
            <w:shd w:fill="FFFFFF" w:val="clear"/>
          </w:tcPr>
          <w:p>
            <w:pPr>
              <w:spacing w:before="40" w:after="40" w:line="259" w:lineRule="auto"/>
            </w:pPr>
            <w:r/>
            <w:r>
              <w:rPr>
                <w:rFonts w:ascii="Calibri" w:hAnsi="Calibri" w:eastAsia="微软雅黑"/>
                <w:b w:val="0"/>
                <w:i w:val="0"/>
                <w:color w:val="1A1A1A"/>
                <w:sz w:val="20"/>
              </w:rPr>
              <w:t>衰退</w:t>
            </w:r>
          </w:p>
        </w:tc>
        <w:tc>
          <w:tcPr>
            <w:tcW w:type="dxa" w:w="1569"/>
            <w:shd w:fill="FFFFFF" w:val="clear"/>
          </w:tcPr>
          <w:p>
            <w:pPr>
              <w:spacing w:before="40" w:after="40" w:line="259" w:lineRule="auto"/>
            </w:pPr>
            <w:r/>
            <w:r>
              <w:rPr>
                <w:rFonts w:ascii="Calibri" w:hAnsi="Calibri" w:eastAsia="微软雅黑"/>
                <w:b w:val="0"/>
                <w:i w:val="0"/>
                <w:color w:val="1A1A1A"/>
                <w:sz w:val="20"/>
              </w:rPr>
              <w:t>↓</w:t>
            </w:r>
          </w:p>
        </w:tc>
        <w:tc>
          <w:tcPr>
            <w:tcW w:type="dxa" w:w="1569"/>
            <w:shd w:fill="FFFFFF" w:val="clear"/>
          </w:tcPr>
          <w:p>
            <w:pPr>
              <w:spacing w:before="40" w:after="40" w:line="259" w:lineRule="auto"/>
            </w:pPr>
            <w:r/>
            <w:r>
              <w:rPr>
                <w:rFonts w:ascii="Calibri" w:hAnsi="Calibri" w:eastAsia="微软雅黑"/>
                <w:b w:val="0"/>
                <w:i w:val="0"/>
                <w:color w:val="1A1A1A"/>
                <w:sz w:val="20"/>
              </w:rPr>
              <w:t>↓</w:t>
            </w:r>
          </w:p>
        </w:tc>
        <w:tc>
          <w:tcPr>
            <w:tcW w:type="dxa" w:w="1569"/>
            <w:shd w:fill="FFFFFF" w:val="clear"/>
          </w:tcPr>
          <w:p>
            <w:pPr>
              <w:spacing w:before="40" w:after="40" w:line="259" w:lineRule="auto"/>
            </w:pPr>
            <w:r/>
            <w:r>
              <w:rPr>
                <w:rFonts w:ascii="Calibri" w:hAnsi="Calibri" w:eastAsia="微软雅黑"/>
                <w:b w:val="0"/>
                <w:i w:val="0"/>
                <w:color w:val="1A1A1A"/>
                <w:sz w:val="20"/>
              </w:rPr>
              <w:t>转向宽松</w:t>
            </w:r>
          </w:p>
        </w:tc>
        <w:tc>
          <w:tcPr>
            <w:tcW w:type="dxa" w:w="1569"/>
            <w:shd w:fill="FFFFFF" w:val="clear"/>
          </w:tcPr>
          <w:p>
            <w:pPr>
              <w:spacing w:before="40" w:after="40" w:line="259" w:lineRule="auto"/>
            </w:pPr>
            <w:r/>
            <w:r>
              <w:rPr>
                <w:rFonts w:ascii="Calibri" w:hAnsi="Calibri" w:eastAsia="微软雅黑"/>
                <w:b w:val="0"/>
                <w:i w:val="0"/>
                <w:color w:val="1A1A1A"/>
                <w:sz w:val="20"/>
              </w:rPr>
              <w:t>拉长久期，利率债为王</w:t>
            </w:r>
          </w:p>
        </w:tc>
        <w:tc>
          <w:tcPr>
            <w:tcW w:type="dxa" w:w="1569"/>
            <w:shd w:fill="FFFFFF" w:val="clear"/>
          </w:tcPr>
          <w:p>
            <w:pPr>
              <w:spacing w:before="40" w:after="40" w:line="259" w:lineRule="auto"/>
            </w:pPr>
            <w:r/>
            <w:r>
              <w:rPr>
                <w:rFonts w:ascii="Calibri" w:hAnsi="Calibri" w:eastAsia="微软雅黑"/>
                <w:b w:val="0"/>
                <w:i w:val="0"/>
                <w:color w:val="1A1A1A"/>
                <w:sz w:val="20"/>
              </w:rPr>
              <w:t>控制仓位，布局高股息</w:t>
            </w:r>
          </w:p>
        </w:tc>
      </w:tr>
      <w:tr>
        <w:tc>
          <w:tcPr>
            <w:tcW w:type="dxa" w:w="1569"/>
            <w:shd w:fill="F4F1EC" w:val="clear"/>
          </w:tcPr>
          <w:p>
            <w:pPr>
              <w:spacing w:before="40" w:after="40" w:line="259" w:lineRule="auto"/>
            </w:pPr>
            <w:r/>
            <w:r>
              <w:rPr>
                <w:rFonts w:ascii="Calibri" w:hAnsi="Calibri" w:eastAsia="微软雅黑"/>
                <w:b w:val="0"/>
                <w:i w:val="0"/>
                <w:color w:val="1A1A1A"/>
                <w:sz w:val="20"/>
              </w:rPr>
              <w:t>复苏</w:t>
            </w:r>
          </w:p>
        </w:tc>
        <w:tc>
          <w:tcPr>
            <w:tcW w:type="dxa" w:w="1569"/>
            <w:shd w:fill="F4F1EC" w:val="clear"/>
          </w:tcPr>
          <w:p>
            <w:pPr>
              <w:spacing w:before="40" w:after="40" w:line="259" w:lineRule="auto"/>
            </w:pPr>
            <w:r/>
            <w:r>
              <w:rPr>
                <w:rFonts w:ascii="Calibri" w:hAnsi="Calibri" w:eastAsia="微软雅黑"/>
                <w:b w:val="0"/>
                <w:i w:val="0"/>
                <w:color w:val="1A1A1A"/>
                <w:sz w:val="20"/>
              </w:rPr>
              <w:t>↑</w:t>
            </w:r>
          </w:p>
        </w:tc>
        <w:tc>
          <w:tcPr>
            <w:tcW w:type="dxa" w:w="1569"/>
            <w:shd w:fill="F4F1EC" w:val="clear"/>
          </w:tcPr>
          <w:p>
            <w:pPr>
              <w:spacing w:before="40" w:after="40" w:line="259" w:lineRule="auto"/>
            </w:pPr>
            <w:r/>
            <w:r>
              <w:rPr>
                <w:rFonts w:ascii="Calibri" w:hAnsi="Calibri" w:eastAsia="微软雅黑"/>
                <w:b w:val="0"/>
                <w:i w:val="0"/>
                <w:color w:val="1A1A1A"/>
                <w:sz w:val="20"/>
              </w:rPr>
              <w:t>↓</w:t>
            </w:r>
          </w:p>
        </w:tc>
        <w:tc>
          <w:tcPr>
            <w:tcW w:type="dxa" w:w="1569"/>
            <w:shd w:fill="F4F1EC" w:val="clear"/>
          </w:tcPr>
          <w:p>
            <w:pPr>
              <w:spacing w:before="40" w:after="40" w:line="259" w:lineRule="auto"/>
            </w:pPr>
            <w:r/>
            <w:r>
              <w:rPr>
                <w:rFonts w:ascii="Calibri" w:hAnsi="Calibri" w:eastAsia="微软雅黑"/>
                <w:b w:val="0"/>
                <w:i w:val="0"/>
                <w:color w:val="1A1A1A"/>
                <w:sz w:val="20"/>
              </w:rPr>
              <w:t>信用改善</w:t>
            </w:r>
          </w:p>
        </w:tc>
        <w:tc>
          <w:tcPr>
            <w:tcW w:type="dxa" w:w="1569"/>
            <w:shd w:fill="F4F1EC" w:val="clear"/>
          </w:tcPr>
          <w:p>
            <w:pPr>
              <w:spacing w:before="40" w:after="40" w:line="259" w:lineRule="auto"/>
            </w:pPr>
            <w:r/>
            <w:r>
              <w:rPr>
                <w:rFonts w:ascii="Calibri" w:hAnsi="Calibri" w:eastAsia="微软雅黑"/>
                <w:b w:val="0"/>
                <w:i w:val="0"/>
                <w:color w:val="1A1A1A"/>
                <w:sz w:val="20"/>
              </w:rPr>
              <w:t>缩短久期，防调整</w:t>
            </w:r>
          </w:p>
        </w:tc>
        <w:tc>
          <w:tcPr>
            <w:tcW w:type="dxa" w:w="1569"/>
            <w:shd w:fill="F4F1EC" w:val="clear"/>
          </w:tcPr>
          <w:p>
            <w:pPr>
              <w:spacing w:before="40" w:after="40" w:line="259" w:lineRule="auto"/>
            </w:pPr>
            <w:r/>
            <w:r>
              <w:rPr>
                <w:rFonts w:ascii="Calibri" w:hAnsi="Calibri" w:eastAsia="微软雅黑"/>
                <w:b w:val="0"/>
                <w:i w:val="0"/>
                <w:color w:val="1A1A1A"/>
                <w:sz w:val="20"/>
              </w:rPr>
              <w:t>提高仓位，成长/周期</w:t>
            </w:r>
          </w:p>
        </w:tc>
      </w:tr>
      <w:tr>
        <w:tc>
          <w:tcPr>
            <w:tcW w:type="dxa" w:w="1569"/>
            <w:shd w:fill="FFFFFF" w:val="clear"/>
          </w:tcPr>
          <w:p>
            <w:pPr>
              <w:spacing w:before="40" w:after="40" w:line="259" w:lineRule="auto"/>
            </w:pPr>
            <w:r/>
            <w:r>
              <w:rPr>
                <w:rFonts w:ascii="Calibri" w:hAnsi="Calibri" w:eastAsia="微软雅黑"/>
                <w:b w:val="0"/>
                <w:i w:val="0"/>
                <w:color w:val="1A1A1A"/>
                <w:sz w:val="20"/>
              </w:rPr>
              <w:t>过热</w:t>
            </w:r>
          </w:p>
        </w:tc>
        <w:tc>
          <w:tcPr>
            <w:tcW w:type="dxa" w:w="1569"/>
            <w:shd w:fill="FFFFFF" w:val="clear"/>
          </w:tcPr>
          <w:p>
            <w:pPr>
              <w:spacing w:before="40" w:after="40" w:line="259" w:lineRule="auto"/>
            </w:pPr>
            <w:r/>
            <w:r>
              <w:rPr>
                <w:rFonts w:ascii="Calibri" w:hAnsi="Calibri" w:eastAsia="微软雅黑"/>
                <w:b w:val="0"/>
                <w:i w:val="0"/>
                <w:color w:val="1A1A1A"/>
                <w:sz w:val="20"/>
              </w:rPr>
              <w:t>↑</w:t>
            </w:r>
          </w:p>
        </w:tc>
        <w:tc>
          <w:tcPr>
            <w:tcW w:type="dxa" w:w="1569"/>
            <w:shd w:fill="FFFFFF" w:val="clear"/>
          </w:tcPr>
          <w:p>
            <w:pPr>
              <w:spacing w:before="40" w:after="40" w:line="259" w:lineRule="auto"/>
            </w:pPr>
            <w:r/>
            <w:r>
              <w:rPr>
                <w:rFonts w:ascii="Calibri" w:hAnsi="Calibri" w:eastAsia="微软雅黑"/>
                <w:b w:val="0"/>
                <w:i w:val="0"/>
                <w:color w:val="1A1A1A"/>
                <w:sz w:val="20"/>
              </w:rPr>
              <w:t>↑</w:t>
            </w:r>
          </w:p>
        </w:tc>
        <w:tc>
          <w:tcPr>
            <w:tcW w:type="dxa" w:w="1569"/>
            <w:shd w:fill="FFFFFF" w:val="clear"/>
          </w:tcPr>
          <w:p>
            <w:pPr>
              <w:spacing w:before="40" w:after="40" w:line="259" w:lineRule="auto"/>
            </w:pPr>
            <w:r/>
            <w:r>
              <w:rPr>
                <w:rFonts w:ascii="Calibri" w:hAnsi="Calibri" w:eastAsia="微软雅黑"/>
                <w:b w:val="0"/>
                <w:i w:val="0"/>
                <w:color w:val="1A1A1A"/>
                <w:sz w:val="20"/>
              </w:rPr>
              <w:t>收紧</w:t>
            </w:r>
          </w:p>
        </w:tc>
        <w:tc>
          <w:tcPr>
            <w:tcW w:type="dxa" w:w="1569"/>
            <w:shd w:fill="FFFFFF" w:val="clear"/>
          </w:tcPr>
          <w:p>
            <w:pPr>
              <w:spacing w:before="40" w:after="40" w:line="259" w:lineRule="auto"/>
            </w:pPr>
            <w:r/>
            <w:r>
              <w:rPr>
                <w:rFonts w:ascii="Calibri" w:hAnsi="Calibri" w:eastAsia="微软雅黑"/>
                <w:b w:val="0"/>
                <w:i w:val="0"/>
                <w:color w:val="1A1A1A"/>
                <w:sz w:val="20"/>
              </w:rPr>
              <w:t>低配长债</w:t>
            </w:r>
          </w:p>
        </w:tc>
        <w:tc>
          <w:tcPr>
            <w:tcW w:type="dxa" w:w="1569"/>
            <w:shd w:fill="FFFFFF" w:val="clear"/>
          </w:tcPr>
          <w:p>
            <w:pPr>
              <w:spacing w:before="40" w:after="40" w:line="259" w:lineRule="auto"/>
            </w:pPr>
            <w:r/>
            <w:r>
              <w:rPr>
                <w:rFonts w:ascii="Calibri" w:hAnsi="Calibri" w:eastAsia="微软雅黑"/>
                <w:b w:val="0"/>
                <w:i w:val="0"/>
                <w:color w:val="1A1A1A"/>
                <w:sz w:val="20"/>
              </w:rPr>
              <w:t>周期、资源；注意估值</w:t>
            </w:r>
          </w:p>
        </w:tc>
      </w:tr>
      <w:tr>
        <w:tc>
          <w:tcPr>
            <w:tcW w:type="dxa" w:w="1569"/>
            <w:shd w:fill="F4F1EC" w:val="clear"/>
          </w:tcPr>
          <w:p>
            <w:pPr>
              <w:spacing w:before="40" w:after="40" w:line="259" w:lineRule="auto"/>
            </w:pPr>
            <w:r/>
            <w:r>
              <w:rPr>
                <w:rFonts w:ascii="Calibri" w:hAnsi="Calibri" w:eastAsia="微软雅黑"/>
                <w:b w:val="0"/>
                <w:i w:val="0"/>
                <w:color w:val="1A1A1A"/>
                <w:sz w:val="20"/>
              </w:rPr>
              <w:t>滞胀</w:t>
            </w:r>
          </w:p>
        </w:tc>
        <w:tc>
          <w:tcPr>
            <w:tcW w:type="dxa" w:w="1569"/>
            <w:shd w:fill="F4F1EC" w:val="clear"/>
          </w:tcPr>
          <w:p>
            <w:pPr>
              <w:spacing w:before="40" w:after="40" w:line="259" w:lineRule="auto"/>
            </w:pPr>
            <w:r/>
            <w:r>
              <w:rPr>
                <w:rFonts w:ascii="Calibri" w:hAnsi="Calibri" w:eastAsia="微软雅黑"/>
                <w:b w:val="0"/>
                <w:i w:val="0"/>
                <w:color w:val="1A1A1A"/>
                <w:sz w:val="20"/>
              </w:rPr>
              <w:t>↓</w:t>
            </w:r>
          </w:p>
        </w:tc>
        <w:tc>
          <w:tcPr>
            <w:tcW w:type="dxa" w:w="1569"/>
            <w:shd w:fill="F4F1EC" w:val="clear"/>
          </w:tcPr>
          <w:p>
            <w:pPr>
              <w:spacing w:before="40" w:after="40" w:line="259" w:lineRule="auto"/>
            </w:pPr>
            <w:r/>
            <w:r>
              <w:rPr>
                <w:rFonts w:ascii="Calibri" w:hAnsi="Calibri" w:eastAsia="微软雅黑"/>
                <w:b w:val="0"/>
                <w:i w:val="0"/>
                <w:color w:val="1A1A1A"/>
                <w:sz w:val="20"/>
              </w:rPr>
              <w:t>↑</w:t>
            </w:r>
          </w:p>
        </w:tc>
        <w:tc>
          <w:tcPr>
            <w:tcW w:type="dxa" w:w="1569"/>
            <w:shd w:fill="F4F1EC" w:val="clear"/>
          </w:tcPr>
          <w:p>
            <w:pPr>
              <w:spacing w:before="40" w:after="40" w:line="259" w:lineRule="auto"/>
            </w:pPr>
            <w:r/>
            <w:r>
              <w:rPr>
                <w:rFonts w:ascii="Calibri" w:hAnsi="Calibri" w:eastAsia="微软雅黑"/>
                <w:b w:val="0"/>
                <w:i w:val="0"/>
                <w:color w:val="1A1A1A"/>
                <w:sz w:val="20"/>
              </w:rPr>
              <w:t>两难</w:t>
            </w:r>
          </w:p>
        </w:tc>
        <w:tc>
          <w:tcPr>
            <w:tcW w:type="dxa" w:w="1569"/>
            <w:shd w:fill="F4F1EC" w:val="clear"/>
          </w:tcPr>
          <w:p>
            <w:pPr>
              <w:spacing w:before="40" w:after="40" w:line="259" w:lineRule="auto"/>
            </w:pPr>
            <w:r/>
            <w:r>
              <w:rPr>
                <w:rFonts w:ascii="Calibri" w:hAnsi="Calibri" w:eastAsia="微软雅黑"/>
                <w:b w:val="0"/>
                <w:i w:val="0"/>
                <w:color w:val="1A1A1A"/>
                <w:sz w:val="20"/>
              </w:rPr>
              <w:t>短久期、防双杀</w:t>
            </w:r>
          </w:p>
        </w:tc>
        <w:tc>
          <w:tcPr>
            <w:tcW w:type="dxa" w:w="1569"/>
            <w:shd w:fill="F4F1EC" w:val="clear"/>
          </w:tcPr>
          <w:p>
            <w:pPr>
              <w:spacing w:before="40" w:after="40" w:line="259" w:lineRule="auto"/>
            </w:pPr>
            <w:r/>
            <w:r>
              <w:rPr>
                <w:rFonts w:ascii="Calibri" w:hAnsi="Calibri" w:eastAsia="微软雅黑"/>
                <w:b w:val="0"/>
                <w:i w:val="0"/>
                <w:color w:val="1A1A1A"/>
                <w:sz w:val="20"/>
              </w:rPr>
              <w:t>低配，黄金/现金提高</w:t>
            </w:r>
          </w:p>
        </w:tc>
      </w:tr>
      <w:tr>
        <w:tc>
          <w:tcPr>
            <w:tcW w:type="dxa" w:w="1569"/>
            <w:shd w:fill="FFFFFF" w:val="clear"/>
          </w:tcPr>
          <w:p>
            <w:pPr>
              <w:spacing w:before="40" w:after="40" w:line="259" w:lineRule="auto"/>
            </w:pPr>
            <w:r/>
            <w:r>
              <w:rPr>
                <w:rFonts w:ascii="Calibri" w:hAnsi="Calibri" w:eastAsia="微软雅黑"/>
                <w:b w:val="0"/>
                <w:i w:val="0"/>
                <w:color w:val="1A1A1A"/>
                <w:sz w:val="20"/>
              </w:rPr>
              <w:t>宽货币弱信用</w:t>
            </w:r>
          </w:p>
        </w:tc>
        <w:tc>
          <w:tcPr>
            <w:tcW w:type="dxa" w:w="1569"/>
            <w:shd w:fill="FFFFFF" w:val="clear"/>
          </w:tcPr>
          <w:p>
            <w:pPr>
              <w:spacing w:before="40" w:after="40" w:line="259" w:lineRule="auto"/>
            </w:pPr>
            <w:r/>
            <w:r>
              <w:rPr>
                <w:rFonts w:ascii="Calibri" w:hAnsi="Calibri" w:eastAsia="微软雅黑"/>
                <w:b w:val="0"/>
                <w:i w:val="0"/>
                <w:color w:val="1A1A1A"/>
                <w:sz w:val="20"/>
              </w:rPr>
              <w:t>平</w:t>
            </w:r>
          </w:p>
        </w:tc>
        <w:tc>
          <w:tcPr>
            <w:tcW w:type="dxa" w:w="1569"/>
            <w:shd w:fill="FFFFFF" w:val="clear"/>
          </w:tcPr>
          <w:p>
            <w:pPr>
              <w:spacing w:before="40" w:after="40" w:line="259" w:lineRule="auto"/>
            </w:pPr>
            <w:r/>
            <w:r>
              <w:rPr>
                <w:rFonts w:ascii="Calibri" w:hAnsi="Calibri" w:eastAsia="微软雅黑"/>
                <w:b w:val="0"/>
                <w:i w:val="0"/>
                <w:color w:val="1A1A1A"/>
                <w:sz w:val="20"/>
              </w:rPr>
              <w:t>低</w:t>
            </w:r>
          </w:p>
        </w:tc>
        <w:tc>
          <w:tcPr>
            <w:tcW w:type="dxa" w:w="1569"/>
            <w:shd w:fill="FFFFFF" w:val="clear"/>
          </w:tcPr>
          <w:p>
            <w:pPr>
              <w:spacing w:before="40" w:after="40" w:line="259" w:lineRule="auto"/>
            </w:pPr>
            <w:r/>
            <w:r>
              <w:rPr>
                <w:rFonts w:ascii="Calibri" w:hAnsi="Calibri" w:eastAsia="微软雅黑"/>
                <w:b w:val="0"/>
                <w:i w:val="0"/>
                <w:color w:val="1A1A1A"/>
                <w:sz w:val="20"/>
              </w:rPr>
              <w:t>利率下行、信贷弱</w:t>
            </w:r>
          </w:p>
        </w:tc>
        <w:tc>
          <w:tcPr>
            <w:tcW w:type="dxa" w:w="1569"/>
            <w:shd w:fill="FFFFFF" w:val="clear"/>
          </w:tcPr>
          <w:p>
            <w:pPr>
              <w:spacing w:before="40" w:after="40" w:line="259" w:lineRule="auto"/>
            </w:pPr>
            <w:r/>
            <w:r>
              <w:rPr>
                <w:rFonts w:ascii="Calibri" w:hAnsi="Calibri" w:eastAsia="微软雅黑"/>
                <w:b w:val="0"/>
                <w:i w:val="0"/>
                <w:color w:val="1A1A1A"/>
                <w:sz w:val="20"/>
              </w:rPr>
              <w:t>债牛，但空间取决于供给</w:t>
            </w:r>
          </w:p>
        </w:tc>
        <w:tc>
          <w:tcPr>
            <w:tcW w:type="dxa" w:w="1569"/>
            <w:shd w:fill="FFFFFF" w:val="clear"/>
          </w:tcPr>
          <w:p>
            <w:pPr>
              <w:spacing w:before="40" w:after="40" w:line="259" w:lineRule="auto"/>
            </w:pPr>
            <w:r/>
            <w:r>
              <w:rPr>
                <w:rFonts w:ascii="Calibri" w:hAnsi="Calibri" w:eastAsia="微软雅黑"/>
                <w:b w:val="0"/>
                <w:i w:val="0"/>
                <w:color w:val="1A1A1A"/>
                <w:sz w:val="20"/>
              </w:rPr>
              <w:t>结构行情或磨底</w:t>
            </w:r>
          </w:p>
        </w:tc>
      </w:tr>
      <w:tr>
        <w:tc>
          <w:tcPr>
            <w:tcW w:type="dxa" w:w="1569"/>
            <w:shd w:fill="F4F1EC" w:val="clear"/>
          </w:tcPr>
          <w:p>
            <w:pPr>
              <w:spacing w:before="40" w:after="40" w:line="259" w:lineRule="auto"/>
            </w:pPr>
            <w:r/>
            <w:r>
              <w:rPr>
                <w:rFonts w:ascii="Calibri" w:hAnsi="Calibri" w:eastAsia="微软雅黑"/>
                <w:b w:val="0"/>
                <w:i w:val="0"/>
                <w:color w:val="1A1A1A"/>
                <w:sz w:val="20"/>
              </w:rPr>
              <w:t>供给冲击</w:t>
            </w:r>
          </w:p>
        </w:tc>
        <w:tc>
          <w:tcPr>
            <w:tcW w:type="dxa" w:w="1569"/>
            <w:shd w:fill="F4F1EC" w:val="clear"/>
          </w:tcPr>
          <w:p>
            <w:pPr>
              <w:spacing w:before="40" w:after="40" w:line="259" w:lineRule="auto"/>
            </w:pPr>
            <w:r/>
            <w:r>
              <w:rPr>
                <w:rFonts w:ascii="Calibri" w:hAnsi="Calibri" w:eastAsia="微软雅黑"/>
                <w:b w:val="0"/>
                <w:i w:val="0"/>
                <w:color w:val="1A1A1A"/>
                <w:sz w:val="20"/>
              </w:rPr>
              <w:t>不定</w:t>
            </w:r>
          </w:p>
        </w:tc>
        <w:tc>
          <w:tcPr>
            <w:tcW w:type="dxa" w:w="1569"/>
            <w:shd w:fill="F4F1EC" w:val="clear"/>
          </w:tcPr>
          <w:p>
            <w:pPr>
              <w:spacing w:before="40" w:after="40" w:line="259" w:lineRule="auto"/>
            </w:pPr>
            <w:r/>
            <w:r>
              <w:rPr>
                <w:rFonts w:ascii="Calibri" w:hAnsi="Calibri" w:eastAsia="微软雅黑"/>
                <w:b w:val="0"/>
                <w:i w:val="0"/>
                <w:color w:val="1A1A1A"/>
                <w:sz w:val="20"/>
              </w:rPr>
              <w:t>↑</w:t>
            </w:r>
          </w:p>
        </w:tc>
        <w:tc>
          <w:tcPr>
            <w:tcW w:type="dxa" w:w="1569"/>
            <w:shd w:fill="F4F1EC" w:val="clear"/>
          </w:tcPr>
          <w:p>
            <w:pPr>
              <w:spacing w:before="40" w:after="40" w:line="259" w:lineRule="auto"/>
            </w:pPr>
            <w:r/>
            <w:r>
              <w:rPr>
                <w:rFonts w:ascii="Calibri" w:hAnsi="Calibri" w:eastAsia="微软雅黑"/>
                <w:b w:val="0"/>
                <w:i w:val="0"/>
                <w:color w:val="1A1A1A"/>
                <w:sz w:val="20"/>
              </w:rPr>
              <w:t>被动收紧</w:t>
            </w:r>
          </w:p>
        </w:tc>
        <w:tc>
          <w:tcPr>
            <w:tcW w:type="dxa" w:w="1569"/>
            <w:shd w:fill="F4F1EC" w:val="clear"/>
          </w:tcPr>
          <w:p>
            <w:pPr>
              <w:spacing w:before="40" w:after="40" w:line="259" w:lineRule="auto"/>
            </w:pPr>
            <w:r/>
            <w:r>
              <w:rPr>
                <w:rFonts w:ascii="Calibri" w:hAnsi="Calibri" w:eastAsia="微软雅黑"/>
                <w:b w:val="0"/>
                <w:i w:val="0"/>
                <w:color w:val="1A1A1A"/>
                <w:sz w:val="20"/>
              </w:rPr>
              <w:t>与股票正相关</w:t>
            </w:r>
          </w:p>
        </w:tc>
        <w:tc>
          <w:tcPr>
            <w:tcW w:type="dxa" w:w="1569"/>
            <w:shd w:fill="F4F1EC" w:val="clear"/>
          </w:tcPr>
          <w:p>
            <w:pPr>
              <w:spacing w:before="40" w:after="40" w:line="259" w:lineRule="auto"/>
            </w:pPr>
            <w:r/>
            <w:r>
              <w:rPr>
                <w:rFonts w:ascii="Calibri" w:hAnsi="Calibri" w:eastAsia="微软雅黑"/>
                <w:b w:val="0"/>
                <w:i w:val="0"/>
                <w:color w:val="1A1A1A"/>
                <w:sz w:val="20"/>
              </w:rPr>
              <w:t>股债双杀，降杠杆</w:t>
            </w:r>
          </w:p>
        </w:tc>
      </w:tr>
    </w:tbl>
    <w:p/>
    <w:p>
      <w:pPr>
        <w:spacing w:before="240" w:after="120" w:line="276" w:lineRule="auto"/>
      </w:pPr>
      <w:r>
        <w:rPr>
          <w:rFonts w:ascii="Calibri" w:hAnsi="Calibri" w:eastAsia="微软雅黑"/>
          <w:b/>
          <w:i w:val="0"/>
          <w:color w:val="2A9D8F"/>
          <w:sz w:val="26"/>
        </w:rPr>
        <w:t>5.4 中国独有的第三极：房地产</w:t>
      </w:r>
    </w:p>
    <w:p>
      <w:pPr>
        <w:spacing w:before="160" w:after="80" w:line="276" w:lineRule="auto"/>
        <w:jc w:val="center"/>
      </w:pPr>
      <w:r>
        <w:drawing>
          <wp:inline xmlns:a="http://schemas.openxmlformats.org/drawingml/2006/main" xmlns:pic="http://schemas.openxmlformats.org/drawingml/2006/picture">
            <wp:extent cx="5616000" cy="4904551"/>
            <wp:docPr id="12" name="Picture 12"/>
            <wp:cNvGraphicFramePr>
              <a:graphicFrameLocks noChangeAspect="1"/>
            </wp:cNvGraphicFramePr>
            <a:graphic>
              <a:graphicData uri="http://schemas.openxmlformats.org/drawingml/2006/picture">
                <pic:pic>
                  <pic:nvPicPr>
                    <pic:cNvPr id="0" name="fig13_triangle.png"/>
                    <pic:cNvPicPr/>
                  </pic:nvPicPr>
                  <pic:blipFill>
                    <a:blip r:embed="rId21"/>
                    <a:stretch>
                      <a:fillRect/>
                    </a:stretch>
                  </pic:blipFill>
                  <pic:spPr>
                    <a:xfrm>
                      <a:off x="0" y="0"/>
                      <a:ext cx="5616000" cy="4904551"/>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图13 股债房三角</w:t>
      </w:r>
    </w:p>
    <w:p>
      <w:pPr>
        <w:spacing w:before="40" w:after="120" w:line="293" w:lineRule="auto"/>
        <w:ind w:firstLine="420"/>
      </w:pPr>
      <w:r>
        <w:rPr>
          <w:rFonts w:ascii="Calibri" w:hAnsi="Calibri" w:eastAsia="微软雅黑"/>
          <w:b w:val="0"/>
          <w:i w:val="0"/>
          <w:color w:val="1A1A1A"/>
          <w:sz w:val="22"/>
        </w:rPr>
        <w:t>Eurizon SLJ（2025）指出，中国投资者的套利发生在</w:t>
      </w:r>
      <w:r>
        <w:rPr>
          <w:rFonts w:ascii="Calibri" w:hAnsi="Calibri" w:eastAsia="微软雅黑"/>
          <w:b/>
          <w:i w:val="0"/>
          <w:color w:val="1B365D"/>
          <w:sz w:val="22"/>
        </w:rPr>
        <w:t>股、债、房</w:t>
      </w:r>
      <w:r>
        <w:rPr>
          <w:rFonts w:ascii="Calibri" w:hAnsi="Calibri" w:eastAsia="微软雅黑"/>
          <w:b w:val="0"/>
          <w:i w:val="0"/>
          <w:color w:val="1A1A1A"/>
          <w:sz w:val="22"/>
        </w:rPr>
        <w:t>之间，而不是单纯股债。地产不再吸收居民增量储蓄后，资金进入存款和债券，把国债收益率压到极低；只有当住房或股票重新具备吸引力，利率才会有趋势性回升。2025年股债并未完美负相关，一个解释就是“多余储蓄同时溢出到两个金融市场”。</w:t>
      </w:r>
    </w:p>
    <w:p>
      <w:pPr>
        <w:spacing w:before="40" w:after="120" w:line="293" w:lineRule="auto"/>
        <w:ind w:firstLine="420"/>
      </w:pPr>
      <w:r>
        <w:rPr>
          <w:rFonts w:ascii="Calibri" w:hAnsi="Calibri" w:eastAsia="微软雅黑"/>
          <w:b w:val="0"/>
          <w:i w:val="0"/>
          <w:color w:val="1A1A1A"/>
          <w:sz w:val="22"/>
        </w:rPr>
        <w:t>对配置的直接含义：观察居民存款活化、新房销售和按揭，与观察PMI同样重要。地产稳，则债的“资产荒”逻辑减弱；地产弱，则利率债仍有配置盘，但信用和银行股会承压。</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六、投研范式：从业者如何把理论变成日常流程</w:t>
      </w:r>
    </w:p>
    <w:p>
      <w:pPr>
        <w:spacing w:before="160" w:after="80" w:line="276" w:lineRule="auto"/>
        <w:jc w:val="center"/>
      </w:pPr>
      <w:r>
        <w:drawing>
          <wp:inline xmlns:a="http://schemas.openxmlformats.org/drawingml/2006/main" xmlns:pic="http://schemas.openxmlformats.org/drawingml/2006/picture">
            <wp:extent cx="5616000" cy="3448296"/>
            <wp:docPr id="13" name="Picture 13"/>
            <wp:cNvGraphicFramePr>
              <a:graphicFrameLocks noChangeAspect="1"/>
            </wp:cNvGraphicFramePr>
            <a:graphic>
              <a:graphicData uri="http://schemas.openxmlformats.org/drawingml/2006/picture">
                <pic:pic>
                  <pic:nvPicPr>
                    <pic:cNvPr id="0" name="fig09_research_stack.png"/>
                    <pic:cNvPicPr/>
                  </pic:nvPicPr>
                  <pic:blipFill>
                    <a:blip r:embed="rId22"/>
                    <a:stretch>
                      <a:fillRect/>
                    </a:stretch>
                  </pic:blipFill>
                  <pic:spPr>
                    <a:xfrm>
                      <a:off x="0" y="0"/>
                      <a:ext cx="5616000" cy="3448296"/>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图9 三层工作台</w:t>
      </w:r>
    </w:p>
    <w:p>
      <w:pPr>
        <w:spacing w:before="240" w:after="120" w:line="276" w:lineRule="auto"/>
      </w:pPr>
      <w:r>
        <w:rPr>
          <w:rFonts w:ascii="Calibri" w:hAnsi="Calibri" w:eastAsia="微软雅黑"/>
          <w:b/>
          <w:i w:val="0"/>
          <w:color w:val="2A9D8F"/>
          <w:sz w:val="26"/>
        </w:rPr>
        <w:t>6.1 战略配置：先写目标函数</w:t>
      </w:r>
    </w:p>
    <w:p>
      <w:pPr>
        <w:spacing w:before="40" w:after="120" w:line="293" w:lineRule="auto"/>
        <w:ind w:firstLine="420"/>
      </w:pPr>
      <w:r>
        <w:rPr>
          <w:rFonts w:ascii="Calibri" w:hAnsi="Calibri" w:eastAsia="微软雅黑"/>
          <w:b w:val="0"/>
          <w:i w:val="0"/>
          <w:color w:val="1A1A1A"/>
          <w:sz w:val="22"/>
        </w:rPr>
        <w:t>SAA不预测明年涨跌，只回答：在负债、流动性和回撤约束下，中枢应该在哪。常用四套，不要混用。</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1B365D" w:val="clear"/>
          </w:tcPr>
          <w:p>
            <w:pPr>
              <w:spacing w:before="40" w:after="40" w:line="259" w:lineRule="auto"/>
            </w:pPr>
            <w:r/>
            <w:r>
              <w:rPr>
                <w:rFonts w:ascii="Calibri" w:hAnsi="Calibri" w:eastAsia="微软雅黑"/>
                <w:b/>
                <w:i w:val="0"/>
                <w:color w:val="FFFFFF"/>
                <w:sz w:val="20"/>
              </w:rPr>
              <w:t>范式</w:t>
            </w:r>
          </w:p>
        </w:tc>
        <w:tc>
          <w:tcPr>
            <w:tcW w:type="dxa" w:w="2353"/>
            <w:shd w:fill="1B365D" w:val="clear"/>
          </w:tcPr>
          <w:p>
            <w:pPr>
              <w:spacing w:before="40" w:after="40" w:line="259" w:lineRule="auto"/>
            </w:pPr>
            <w:r/>
            <w:r>
              <w:rPr>
                <w:rFonts w:ascii="Calibri" w:hAnsi="Calibri" w:eastAsia="微软雅黑"/>
                <w:b/>
                <w:i w:val="0"/>
                <w:color w:val="FFFFFF"/>
                <w:sz w:val="20"/>
              </w:rPr>
              <w:t>做法</w:t>
            </w:r>
          </w:p>
        </w:tc>
        <w:tc>
          <w:tcPr>
            <w:tcW w:type="dxa" w:w="2353"/>
            <w:shd w:fill="1B365D" w:val="clear"/>
          </w:tcPr>
          <w:p>
            <w:pPr>
              <w:spacing w:before="40" w:after="40" w:line="259" w:lineRule="auto"/>
            </w:pPr>
            <w:r/>
            <w:r>
              <w:rPr>
                <w:rFonts w:ascii="Calibri" w:hAnsi="Calibri" w:eastAsia="微软雅黑"/>
                <w:b/>
                <w:i w:val="0"/>
                <w:color w:val="FFFFFF"/>
                <w:sz w:val="20"/>
              </w:rPr>
              <w:t>适合谁</w:t>
            </w:r>
          </w:p>
        </w:tc>
        <w:tc>
          <w:tcPr>
            <w:tcW w:type="dxa" w:w="2353"/>
            <w:shd w:fill="1B365D" w:val="clear"/>
          </w:tcPr>
          <w:p>
            <w:pPr>
              <w:spacing w:before="40" w:after="40" w:line="259" w:lineRule="auto"/>
            </w:pPr>
            <w:r/>
            <w:r>
              <w:rPr>
                <w:rFonts w:ascii="Calibri" w:hAnsi="Calibri" w:eastAsia="微软雅黑"/>
                <w:b/>
                <w:i w:val="0"/>
                <w:color w:val="FFFFFF"/>
                <w:sz w:val="20"/>
              </w:rPr>
              <w:t>中国落地注意</w:t>
            </w:r>
          </w:p>
        </w:tc>
      </w:tr>
      <w:tr>
        <w:tc>
          <w:tcPr>
            <w:tcW w:type="dxa" w:w="2353"/>
            <w:shd w:fill="FFFFFF" w:val="clear"/>
          </w:tcPr>
          <w:p>
            <w:pPr>
              <w:spacing w:before="40" w:after="40" w:line="259" w:lineRule="auto"/>
            </w:pPr>
            <w:r/>
            <w:r>
              <w:rPr>
                <w:rFonts w:ascii="Calibri" w:hAnsi="Calibri" w:eastAsia="微软雅黑"/>
                <w:b w:val="0"/>
                <w:i w:val="0"/>
                <w:color w:val="1A1A1A"/>
                <w:sz w:val="20"/>
              </w:rPr>
              <w:t>60/40及变体</w:t>
            </w:r>
          </w:p>
        </w:tc>
        <w:tc>
          <w:tcPr>
            <w:tcW w:type="dxa" w:w="2353"/>
            <w:shd w:fill="FFFFFF" w:val="clear"/>
          </w:tcPr>
          <w:p>
            <w:pPr>
              <w:spacing w:before="40" w:after="40" w:line="259" w:lineRule="auto"/>
            </w:pPr>
            <w:r/>
            <w:r>
              <w:rPr>
                <w:rFonts w:ascii="Calibri" w:hAnsi="Calibri" w:eastAsia="微软雅黑"/>
                <w:b w:val="0"/>
                <w:i w:val="0"/>
                <w:color w:val="1A1A1A"/>
                <w:sz w:val="20"/>
              </w:rPr>
              <w:t>资本权重固定，年度再平衡</w:t>
            </w:r>
          </w:p>
        </w:tc>
        <w:tc>
          <w:tcPr>
            <w:tcW w:type="dxa" w:w="2353"/>
            <w:shd w:fill="FFFFFF" w:val="clear"/>
          </w:tcPr>
          <w:p>
            <w:pPr>
              <w:spacing w:before="40" w:after="40" w:line="259" w:lineRule="auto"/>
            </w:pPr>
            <w:r/>
            <w:r>
              <w:rPr>
                <w:rFonts w:ascii="Calibri" w:hAnsi="Calibri" w:eastAsia="微软雅黑"/>
                <w:b w:val="0"/>
                <w:i w:val="0"/>
                <w:color w:val="1A1A1A"/>
                <w:sz w:val="20"/>
              </w:rPr>
              <w:t>教学、个人、简单FOF</w:t>
            </w:r>
          </w:p>
        </w:tc>
        <w:tc>
          <w:tcPr>
            <w:tcW w:type="dxa" w:w="2353"/>
            <w:shd w:fill="FFFFFF" w:val="clear"/>
          </w:tcPr>
          <w:p>
            <w:pPr>
              <w:spacing w:before="40" w:after="40" w:line="259" w:lineRule="auto"/>
            </w:pPr>
            <w:r/>
            <w:r>
              <w:rPr>
                <w:rFonts w:ascii="Calibri" w:hAnsi="Calibri" w:eastAsia="微软雅黑"/>
                <w:b w:val="0"/>
                <w:i w:val="0"/>
                <w:color w:val="1A1A1A"/>
                <w:sz w:val="20"/>
              </w:rPr>
              <w:t>A股波动高，60权益的回撤常不可接受，实际多用20/80到40/60</w:t>
            </w:r>
          </w:p>
        </w:tc>
      </w:tr>
      <w:tr>
        <w:tc>
          <w:tcPr>
            <w:tcW w:type="dxa" w:w="2353"/>
            <w:shd w:fill="F4F1EC" w:val="clear"/>
          </w:tcPr>
          <w:p>
            <w:pPr>
              <w:spacing w:before="40" w:after="40" w:line="259" w:lineRule="auto"/>
            </w:pPr>
            <w:r/>
            <w:r>
              <w:rPr>
                <w:rFonts w:ascii="Calibri" w:hAnsi="Calibri" w:eastAsia="微软雅黑"/>
                <w:b w:val="0"/>
                <w:i w:val="0"/>
                <w:color w:val="1A1A1A"/>
                <w:sz w:val="20"/>
              </w:rPr>
              <w:t>风险平价</w:t>
            </w:r>
          </w:p>
        </w:tc>
        <w:tc>
          <w:tcPr>
            <w:tcW w:type="dxa" w:w="2353"/>
            <w:shd w:fill="F4F1EC" w:val="clear"/>
          </w:tcPr>
          <w:p>
            <w:pPr>
              <w:spacing w:before="40" w:after="40" w:line="259" w:lineRule="auto"/>
            </w:pPr>
            <w:r/>
            <w:r>
              <w:rPr>
                <w:rFonts w:ascii="Calibri" w:hAnsi="Calibri" w:eastAsia="微软雅黑"/>
                <w:b w:val="0"/>
                <w:i w:val="0"/>
                <w:color w:val="1A1A1A"/>
                <w:sz w:val="20"/>
              </w:rPr>
              <w:t>让股、债对组合波动贡献相等</w:t>
            </w:r>
          </w:p>
        </w:tc>
        <w:tc>
          <w:tcPr>
            <w:tcW w:type="dxa" w:w="2353"/>
            <w:shd w:fill="F4F1EC" w:val="clear"/>
          </w:tcPr>
          <w:p>
            <w:pPr>
              <w:spacing w:before="40" w:after="40" w:line="259" w:lineRule="auto"/>
            </w:pPr>
            <w:r/>
            <w:r>
              <w:rPr>
                <w:rFonts w:ascii="Calibri" w:hAnsi="Calibri" w:eastAsia="微软雅黑"/>
                <w:b w:val="0"/>
                <w:i w:val="0"/>
                <w:color w:val="1A1A1A"/>
                <w:sz w:val="20"/>
              </w:rPr>
              <w:t>绝对收益、银行理财</w:t>
            </w:r>
          </w:p>
        </w:tc>
        <w:tc>
          <w:tcPr>
            <w:tcW w:type="dxa" w:w="2353"/>
            <w:shd w:fill="F4F1EC" w:val="clear"/>
          </w:tcPr>
          <w:p>
            <w:pPr>
              <w:spacing w:before="40" w:after="40" w:line="259" w:lineRule="auto"/>
            </w:pPr>
            <w:r/>
            <w:r>
              <w:rPr>
                <w:rFonts w:ascii="Calibri" w:hAnsi="Calibri" w:eastAsia="微软雅黑"/>
                <w:b w:val="0"/>
                <w:i w:val="0"/>
                <w:color w:val="1A1A1A"/>
                <w:sz w:val="20"/>
              </w:rPr>
              <w:t>债券权重要非常高；需用国债期货管理久期；相关转正时失效</w:t>
            </w:r>
          </w:p>
        </w:tc>
      </w:tr>
      <w:tr>
        <w:tc>
          <w:tcPr>
            <w:tcW w:type="dxa" w:w="2353"/>
            <w:shd w:fill="FFFFFF" w:val="clear"/>
          </w:tcPr>
          <w:p>
            <w:pPr>
              <w:spacing w:before="40" w:after="40" w:line="259" w:lineRule="auto"/>
            </w:pPr>
            <w:r/>
            <w:r>
              <w:rPr>
                <w:rFonts w:ascii="Calibri" w:hAnsi="Calibri" w:eastAsia="微软雅黑"/>
                <w:b w:val="0"/>
                <w:i w:val="0"/>
                <w:color w:val="1A1A1A"/>
                <w:sz w:val="20"/>
              </w:rPr>
              <w:t>全天候</w:t>
            </w:r>
          </w:p>
        </w:tc>
        <w:tc>
          <w:tcPr>
            <w:tcW w:type="dxa" w:w="2353"/>
            <w:shd w:fill="FFFFFF" w:val="clear"/>
          </w:tcPr>
          <w:p>
            <w:pPr>
              <w:spacing w:before="40" w:after="40" w:line="259" w:lineRule="auto"/>
            </w:pPr>
            <w:r/>
            <w:r>
              <w:rPr>
                <w:rFonts w:ascii="Calibri" w:hAnsi="Calibri" w:eastAsia="微软雅黑"/>
                <w:b w:val="0"/>
                <w:i w:val="0"/>
                <w:color w:val="1A1A1A"/>
                <w:sz w:val="20"/>
              </w:rPr>
              <w:t>对增长上升/下降、通胀上升/下降四格风险预算</w:t>
            </w:r>
          </w:p>
        </w:tc>
        <w:tc>
          <w:tcPr>
            <w:tcW w:type="dxa" w:w="2353"/>
            <w:shd w:fill="FFFFFF" w:val="clear"/>
          </w:tcPr>
          <w:p>
            <w:pPr>
              <w:spacing w:before="40" w:after="40" w:line="259" w:lineRule="auto"/>
            </w:pPr>
            <w:r/>
            <w:r>
              <w:rPr>
                <w:rFonts w:ascii="Calibri" w:hAnsi="Calibri" w:eastAsia="微软雅黑"/>
                <w:b w:val="0"/>
                <w:i w:val="0"/>
                <w:color w:val="1A1A1A"/>
                <w:sz w:val="20"/>
              </w:rPr>
              <w:t>长期资金</w:t>
            </w:r>
          </w:p>
        </w:tc>
        <w:tc>
          <w:tcPr>
            <w:tcW w:type="dxa" w:w="2353"/>
            <w:shd w:fill="FFFFFF" w:val="clear"/>
          </w:tcPr>
          <w:p>
            <w:pPr>
              <w:spacing w:before="40" w:after="40" w:line="259" w:lineRule="auto"/>
            </w:pPr>
            <w:r/>
            <w:r>
              <w:rPr>
                <w:rFonts w:ascii="Calibri" w:hAnsi="Calibri" w:eastAsia="微软雅黑"/>
                <w:b w:val="0"/>
                <w:i w:val="0"/>
                <w:color w:val="1A1A1A"/>
                <w:sz w:val="20"/>
              </w:rPr>
              <w:t>商品工具不足；可用黄金、资源股、通胀挂钩近似</w:t>
            </w:r>
          </w:p>
        </w:tc>
      </w:tr>
      <w:tr>
        <w:tc>
          <w:tcPr>
            <w:tcW w:type="dxa" w:w="2353"/>
            <w:shd w:fill="F4F1EC" w:val="clear"/>
          </w:tcPr>
          <w:p>
            <w:pPr>
              <w:spacing w:before="40" w:after="40" w:line="259" w:lineRule="auto"/>
            </w:pPr>
            <w:r/>
            <w:r>
              <w:rPr>
                <w:rFonts w:ascii="Calibri" w:hAnsi="Calibri" w:eastAsia="微软雅黑"/>
                <w:b w:val="0"/>
                <w:i w:val="0"/>
                <w:color w:val="1A1A1A"/>
                <w:sz w:val="20"/>
              </w:rPr>
              <w:t>LDI</w:t>
            </w:r>
          </w:p>
        </w:tc>
        <w:tc>
          <w:tcPr>
            <w:tcW w:type="dxa" w:w="2353"/>
            <w:shd w:fill="F4F1EC" w:val="clear"/>
          </w:tcPr>
          <w:p>
            <w:pPr>
              <w:spacing w:before="40" w:after="40" w:line="259" w:lineRule="auto"/>
            </w:pPr>
            <w:r/>
            <w:r>
              <w:rPr>
                <w:rFonts w:ascii="Calibri" w:hAnsi="Calibri" w:eastAsia="微软雅黑"/>
                <w:b w:val="0"/>
                <w:i w:val="0"/>
                <w:color w:val="1A1A1A"/>
                <w:sz w:val="20"/>
              </w:rPr>
              <w:t>债券匹配负债久期，权益做盈余增长</w:t>
            </w:r>
          </w:p>
        </w:tc>
        <w:tc>
          <w:tcPr>
            <w:tcW w:type="dxa" w:w="2353"/>
            <w:shd w:fill="F4F1EC" w:val="clear"/>
          </w:tcPr>
          <w:p>
            <w:pPr>
              <w:spacing w:before="40" w:after="40" w:line="259" w:lineRule="auto"/>
            </w:pPr>
            <w:r/>
            <w:r>
              <w:rPr>
                <w:rFonts w:ascii="Calibri" w:hAnsi="Calibri" w:eastAsia="微软雅黑"/>
                <w:b w:val="0"/>
                <w:i w:val="0"/>
                <w:color w:val="1A1A1A"/>
                <w:sz w:val="20"/>
              </w:rPr>
              <w:t>保险、养老金</w:t>
            </w:r>
          </w:p>
        </w:tc>
        <w:tc>
          <w:tcPr>
            <w:tcW w:type="dxa" w:w="2353"/>
            <w:shd w:fill="F4F1EC" w:val="clear"/>
          </w:tcPr>
          <w:p>
            <w:pPr>
              <w:spacing w:before="40" w:after="40" w:line="259" w:lineRule="auto"/>
            </w:pPr>
            <w:r/>
            <w:r>
              <w:rPr>
                <w:rFonts w:ascii="Calibri" w:hAnsi="Calibri" w:eastAsia="微软雅黑"/>
                <w:b w:val="0"/>
                <w:i w:val="0"/>
                <w:color w:val="1A1A1A"/>
                <w:sz w:val="20"/>
              </w:rPr>
              <w:t>会计分类（FVOCI vs 损益）往往比经济久期更决定行为</w:t>
            </w:r>
          </w:p>
        </w:tc>
      </w:tr>
    </w:tbl>
    <w:p/>
    <w:p>
      <w:pPr>
        <w:spacing w:before="40" w:after="120" w:line="293" w:lineRule="auto"/>
        <w:ind w:firstLine="420"/>
      </w:pPr>
      <w:r>
        <w:rPr>
          <w:rFonts w:ascii="Calibri" w:hAnsi="Calibri" w:eastAsia="微软雅黑"/>
          <w:b w:val="0"/>
          <w:i w:val="0"/>
          <w:color w:val="1A1A1A"/>
          <w:sz w:val="22"/>
        </w:rPr>
        <w:t>一个可用的中枢起点（不是建议，是校准锚）：</w:t>
      </w:r>
    </w:p>
    <w:p>
      <w:pPr>
        <w:pStyle w:val="ListBullet"/>
        <w:spacing w:before="20" w:after="60" w:line="276" w:lineRule="auto"/>
      </w:pPr>
      <w:r>
        <w:rPr>
          <w:rFonts w:ascii="Calibri" w:hAnsi="Calibri" w:eastAsia="微软雅黑"/>
          <w:b w:val="0"/>
          <w:i w:val="0"/>
          <w:color w:val="1A1A1A"/>
          <w:sz w:val="22"/>
        </w:rPr>
        <w:t>低风险、一年以内要赔付：短债 70–90，长债 10–30，股票 0–10</w:t>
      </w:r>
    </w:p>
    <w:p>
      <w:pPr>
        <w:pStyle w:val="ListBullet"/>
        <w:spacing w:before="20" w:after="60" w:line="276" w:lineRule="auto"/>
      </w:pPr>
      <w:r>
        <w:rPr>
          <w:rFonts w:ascii="Calibri" w:hAnsi="Calibri" w:eastAsia="微软雅黑"/>
          <w:b w:val="0"/>
          <w:i w:val="0"/>
          <w:color w:val="1A1A1A"/>
          <w:sz w:val="22"/>
        </w:rPr>
        <w:t>保险盈余账户、十年负债：利率债匹配久期，权益 10–25（监管与偿付能力内）</w:t>
      </w:r>
    </w:p>
    <w:p>
      <w:pPr>
        <w:pStyle w:val="ListBullet"/>
        <w:spacing w:before="20" w:after="60" w:line="276" w:lineRule="auto"/>
      </w:pPr>
      <w:r>
        <w:rPr>
          <w:rFonts w:ascii="Calibri" w:hAnsi="Calibri" w:eastAsia="微软雅黑"/>
          <w:b w:val="0"/>
          <w:i w:val="0"/>
          <w:color w:val="1A1A1A"/>
          <w:sz w:val="22"/>
        </w:rPr>
        <w:t>个人三十年养老：权益 40–70，债券/现金补齐，纪律再平衡</w:t>
      </w:r>
    </w:p>
    <w:p>
      <w:pPr>
        <w:pStyle w:val="ListBullet"/>
        <w:spacing w:before="20" w:after="60" w:line="276" w:lineRule="auto"/>
      </w:pPr>
      <w:r>
        <w:rPr>
          <w:rFonts w:ascii="Calibri" w:hAnsi="Calibri" w:eastAsia="微软雅黑"/>
          <w:b w:val="0"/>
          <w:i w:val="0"/>
          <w:color w:val="1A1A1A"/>
          <w:sz w:val="22"/>
        </w:rPr>
        <w:t>公募“固收+”：权益风险预算先定（例如年化波动 3%–6%），再反推股票仓位</w:t>
      </w:r>
    </w:p>
    <w:p>
      <w:pPr>
        <w:spacing w:before="40" w:after="120" w:line="293" w:lineRule="auto"/>
        <w:ind w:firstLine="420"/>
      </w:pPr>
      <w:r>
        <w:rPr>
          <w:rFonts w:ascii="Calibri" w:hAnsi="Calibri" w:eastAsia="微软雅黑"/>
          <w:b w:val="0"/>
          <w:i w:val="0"/>
          <w:color w:val="1A1A1A"/>
          <w:sz w:val="22"/>
        </w:rPr>
        <w:t>再平衡本身是阿尔法的重要来源。A股大起大落，定期把股票卖出/买回到中枢，等于系统性地“高卖低买”。卖方回测中，简单再均衡相对买入持有能显著降低回撤。</w:t>
      </w:r>
    </w:p>
    <w:p>
      <w:pPr>
        <w:spacing w:before="240" w:after="120" w:line="276" w:lineRule="auto"/>
      </w:pPr>
      <w:r>
        <w:rPr>
          <w:rFonts w:ascii="Calibri" w:hAnsi="Calibri" w:eastAsia="微软雅黑"/>
          <w:b/>
          <w:i w:val="0"/>
          <w:color w:val="2A9D8F"/>
          <w:sz w:val="26"/>
        </w:rPr>
        <w:t>6.2 战术配置：只允许围绕中枢偏离</w:t>
      </w:r>
    </w:p>
    <w:p>
      <w:pPr>
        <w:spacing w:before="40" w:after="120" w:line="293" w:lineRule="auto"/>
        <w:ind w:firstLine="420"/>
      </w:pPr>
      <w:r>
        <w:rPr>
          <w:rFonts w:ascii="Calibri" w:hAnsi="Calibri" w:eastAsia="微软雅黑"/>
          <w:b w:val="0"/>
          <w:i w:val="0"/>
          <w:color w:val="1A1A1A"/>
          <w:sz w:val="22"/>
        </w:rPr>
        <w:t>TAA是状态识别，不是天天预测。建议把指标分成互不替代的四组，打分后才能动仓。</w:t>
      </w:r>
    </w:p>
    <w:p>
      <w:pPr>
        <w:spacing w:before="40" w:after="120" w:line="293" w:lineRule="auto"/>
        <w:ind w:firstLine="420"/>
      </w:pPr>
      <w:r>
        <w:rPr>
          <w:rFonts w:ascii="Calibri" w:hAnsi="Calibri" w:eastAsia="微软雅黑"/>
          <w:b/>
          <w:i w:val="0"/>
          <w:color w:val="1B365D"/>
          <w:sz w:val="22"/>
        </w:rPr>
        <w:t>A组 宏观状态：</w:t>
      </w:r>
      <w:r>
        <w:rPr>
          <w:rFonts w:ascii="Calibri" w:hAnsi="Calibri" w:eastAsia="微软雅黑"/>
          <w:b w:val="0"/>
          <w:i w:val="0"/>
          <w:color w:val="1A1A1A"/>
          <w:sz w:val="22"/>
        </w:rPr>
        <w:t xml:space="preserve"> PMI、工业增加值、CPI/PPI、社融脉冲、出口。决定时钟象限。</w:t>
      </w:r>
    </w:p>
    <w:p>
      <w:pPr>
        <w:spacing w:before="40" w:after="120" w:line="293" w:lineRule="auto"/>
        <w:ind w:firstLine="420"/>
      </w:pPr>
      <w:r>
        <w:rPr>
          <w:rFonts w:ascii="Calibri" w:hAnsi="Calibri" w:eastAsia="微软雅黑"/>
          <w:b/>
          <w:i w:val="0"/>
          <w:color w:val="1B365D"/>
          <w:sz w:val="22"/>
        </w:rPr>
        <w:t>B组 货币价格：</w:t>
      </w:r>
      <w:r>
        <w:rPr>
          <w:rFonts w:ascii="Calibri" w:hAnsi="Calibri" w:eastAsia="微软雅黑"/>
          <w:b w:val="0"/>
          <w:i w:val="0"/>
          <w:color w:val="1A1A1A"/>
          <w:sz w:val="22"/>
        </w:rPr>
        <w:t xml:space="preserve"> DR007、十年国债、曲线形态、存单—国债利差。决定债券久期。</w:t>
      </w:r>
    </w:p>
    <w:p>
      <w:pPr>
        <w:spacing w:before="40" w:after="120" w:line="293" w:lineRule="auto"/>
        <w:ind w:firstLine="420"/>
      </w:pPr>
      <w:r>
        <w:rPr>
          <w:rFonts w:ascii="Calibri" w:hAnsi="Calibri" w:eastAsia="微软雅黑"/>
          <w:b/>
          <w:i w:val="0"/>
          <w:color w:val="1B365D"/>
          <w:sz w:val="22"/>
        </w:rPr>
        <w:t>C组 比价：</w:t>
      </w:r>
      <w:r>
        <w:rPr>
          <w:rFonts w:ascii="Calibri" w:hAnsi="Calibri" w:eastAsia="微软雅黑"/>
          <w:b w:val="0"/>
          <w:i w:val="0"/>
          <w:color w:val="1A1A1A"/>
          <w:sz w:val="22"/>
        </w:rPr>
        <w:t xml:space="preserve"> ERP分位、股息率−国债、股债相对动量。决定股债切分。</w:t>
      </w:r>
    </w:p>
    <w:p>
      <w:pPr>
        <w:spacing w:before="40" w:after="120" w:line="293" w:lineRule="auto"/>
        <w:ind w:firstLine="420"/>
      </w:pPr>
      <w:r>
        <w:rPr>
          <w:rFonts w:ascii="Calibri" w:hAnsi="Calibri" w:eastAsia="微软雅黑"/>
          <w:b/>
          <w:i w:val="0"/>
          <w:color w:val="1B365D"/>
          <w:sz w:val="22"/>
        </w:rPr>
        <w:t>D组 拥挤与行为：</w:t>
      </w:r>
      <w:r>
        <w:rPr>
          <w:rFonts w:ascii="Calibri" w:hAnsi="Calibri" w:eastAsia="微软雅黑"/>
          <w:b w:val="0"/>
          <w:i w:val="0"/>
          <w:color w:val="1A1A1A"/>
          <w:sz w:val="22"/>
        </w:rPr>
        <w:t xml:space="preserve"> 两融、基金仓位、新发、换手、波动率。决定不要把正确的方向做成错误的时点。</w:t>
      </w:r>
    </w:p>
    <w:p>
      <w:pPr>
        <w:spacing w:before="40" w:after="120" w:line="293" w:lineRule="auto"/>
        <w:ind w:firstLine="420"/>
      </w:pPr>
      <w:r>
        <w:rPr>
          <w:rFonts w:ascii="Calibri" w:hAnsi="Calibri" w:eastAsia="微软雅黑"/>
          <w:b w:val="0"/>
          <w:i w:val="0"/>
          <w:color w:val="1A1A1A"/>
          <w:sz w:val="22"/>
        </w:rPr>
        <w:t>偏离幅度要事先写死，例如权益中枢30%，战术区间20%–40%。没有区间的TAA会退化成择时赌博。</w:t>
      </w:r>
    </w:p>
    <w:p>
      <w:pPr>
        <w:spacing w:before="240" w:after="120" w:line="276" w:lineRule="auto"/>
      </w:pPr>
      <w:r>
        <w:rPr>
          <w:rFonts w:ascii="Calibri" w:hAnsi="Calibri" w:eastAsia="微软雅黑"/>
          <w:b/>
          <w:i w:val="0"/>
          <w:color w:val="2A9D8F"/>
          <w:sz w:val="26"/>
        </w:rPr>
        <w:t>6.3 债券内部的研究流程</w:t>
      </w:r>
    </w:p>
    <w:p>
      <w:pPr>
        <w:spacing w:before="40" w:after="120" w:line="293" w:lineRule="auto"/>
        <w:ind w:firstLine="420"/>
      </w:pPr>
      <w:r>
        <w:rPr>
          <w:rFonts w:ascii="Calibri" w:hAnsi="Calibri" w:eastAsia="微软雅黑"/>
          <w:b w:val="0"/>
          <w:i w:val="0"/>
          <w:color w:val="1A1A1A"/>
          <w:sz w:val="22"/>
        </w:rPr>
        <w:t>一条标准的债券投研流水线：</w:t>
      </w:r>
    </w:p>
    <w:p>
      <w:pPr>
        <w:pStyle w:val="ListNumber"/>
        <w:spacing w:before="20" w:after="60" w:line="276" w:lineRule="auto"/>
      </w:pPr>
      <w:r>
        <w:rPr>
          <w:rFonts w:ascii="Calibri" w:hAnsi="Calibri" w:eastAsia="微软雅黑"/>
          <w:b/>
          <w:i w:val="0"/>
          <w:color w:val="1B365D"/>
          <w:sz w:val="22"/>
        </w:rPr>
        <w:t>政策利率与资金面</w:t>
      </w:r>
      <w:r>
        <w:rPr>
          <w:rFonts w:ascii="Calibri" w:hAnsi="Calibri" w:eastAsia="微软雅黑"/>
          <w:b w:val="0"/>
          <w:i w:val="0"/>
          <w:color w:val="1A1A1A"/>
          <w:sz w:val="22"/>
        </w:rPr>
        <w:t xml:space="preserve"> → 短端（0–1年）</w:t>
      </w:r>
    </w:p>
    <w:p>
      <w:pPr>
        <w:pStyle w:val="ListNumber"/>
        <w:spacing w:before="20" w:after="60" w:line="276" w:lineRule="auto"/>
      </w:pPr>
      <w:r>
        <w:rPr>
          <w:rFonts w:ascii="Calibri" w:hAnsi="Calibri" w:eastAsia="微软雅黑"/>
          <w:b/>
          <w:i w:val="0"/>
          <w:color w:val="1B365D"/>
          <w:sz w:val="22"/>
        </w:rPr>
        <w:t>增长、通胀、供给（国债发行、地方债）</w:t>
      </w:r>
      <w:r>
        <w:rPr>
          <w:rFonts w:ascii="Calibri" w:hAnsi="Calibri" w:eastAsia="微软雅黑"/>
          <w:b w:val="0"/>
          <w:i w:val="0"/>
          <w:color w:val="1A1A1A"/>
          <w:sz w:val="22"/>
        </w:rPr>
        <w:t xml:space="preserve"> → 曲线与久期</w:t>
      </w:r>
    </w:p>
    <w:p>
      <w:pPr>
        <w:pStyle w:val="ListNumber"/>
        <w:spacing w:before="20" w:after="60" w:line="276" w:lineRule="auto"/>
      </w:pPr>
      <w:r>
        <w:rPr>
          <w:rFonts w:ascii="Calibri" w:hAnsi="Calibri" w:eastAsia="微软雅黑"/>
          <w:b/>
          <w:i w:val="0"/>
          <w:color w:val="1B365D"/>
          <w:sz w:val="22"/>
        </w:rPr>
        <w:t>机构行为（大行欠配、保险配置、理财赎回）</w:t>
      </w:r>
      <w:r>
        <w:rPr>
          <w:rFonts w:ascii="Calibri" w:hAnsi="Calibri" w:eastAsia="微软雅黑"/>
          <w:b w:val="0"/>
          <w:i w:val="0"/>
          <w:color w:val="1A1A1A"/>
          <w:sz w:val="22"/>
        </w:rPr>
        <w:t xml:space="preserve"> → 超预期的利差与拥挤</w:t>
      </w:r>
    </w:p>
    <w:p>
      <w:pPr>
        <w:pStyle w:val="ListNumber"/>
        <w:spacing w:before="20" w:after="60" w:line="276" w:lineRule="auto"/>
      </w:pPr>
      <w:r>
        <w:rPr>
          <w:rFonts w:ascii="Calibri" w:hAnsi="Calibri" w:eastAsia="微软雅黑"/>
          <w:b/>
          <w:i w:val="0"/>
          <w:color w:val="1B365D"/>
          <w:sz w:val="22"/>
        </w:rPr>
        <w:t>信用：总量利差 → 行业 → 主体 → 条款</w:t>
      </w:r>
      <w:r>
        <w:rPr>
          <w:rFonts w:ascii="Calibri" w:hAnsi="Calibri" w:eastAsia="微软雅黑"/>
          <w:b w:val="0"/>
          <w:i w:val="0"/>
          <w:color w:val="1A1A1A"/>
          <w:sz w:val="22"/>
        </w:rPr>
        <w:t xml:space="preserve"> → 信用债是否赚的是风险还是溢价</w:t>
      </w:r>
    </w:p>
    <w:p>
      <w:pPr>
        <w:pStyle w:val="ListNumber"/>
        <w:spacing w:before="20" w:after="60" w:line="276" w:lineRule="auto"/>
      </w:pPr>
      <w:r>
        <w:rPr>
          <w:rFonts w:ascii="Calibri" w:hAnsi="Calibri" w:eastAsia="微软雅黑"/>
          <w:b/>
          <w:i w:val="0"/>
          <w:color w:val="1B365D"/>
          <w:sz w:val="22"/>
        </w:rPr>
        <w:t>杠杆：回购成本 vs 票息</w:t>
      </w:r>
      <w:r>
        <w:rPr>
          <w:rFonts w:ascii="Calibri" w:hAnsi="Calibri" w:eastAsia="微软雅黑"/>
          <w:b w:val="0"/>
          <w:i w:val="0"/>
          <w:color w:val="1A1A1A"/>
          <w:sz w:val="22"/>
        </w:rPr>
        <w:t xml:space="preserve"> → 利差策略的真实夏普</w:t>
      </w:r>
    </w:p>
    <w:p>
      <w:pPr>
        <w:pStyle w:val="ListNumber"/>
        <w:spacing w:before="20" w:after="60" w:line="276" w:lineRule="auto"/>
      </w:pPr>
      <w:r>
        <w:rPr>
          <w:rFonts w:ascii="Calibri" w:hAnsi="Calibri" w:eastAsia="微软雅黑"/>
          <w:b/>
          <w:i w:val="0"/>
          <w:color w:val="1B365D"/>
          <w:sz w:val="22"/>
        </w:rPr>
        <w:t>工具：现券、国债期货、IRS</w:t>
      </w:r>
      <w:r>
        <w:rPr>
          <w:rFonts w:ascii="Calibri" w:hAnsi="Calibri" w:eastAsia="微软雅黑"/>
          <w:b w:val="0"/>
          <w:i w:val="0"/>
          <w:color w:val="1A1A1A"/>
          <w:sz w:val="22"/>
        </w:rPr>
        <w:t xml:space="preserve"> → 表达观点的最便宜方式</w:t>
      </w:r>
    </w:p>
    <w:p>
      <w:pPr>
        <w:spacing w:before="40" w:after="120" w:line="293" w:lineRule="auto"/>
        <w:ind w:firstLine="420"/>
      </w:pPr>
      <w:r>
        <w:rPr>
          <w:rFonts w:ascii="Calibri" w:hAnsi="Calibri" w:eastAsia="微软雅黑"/>
          <w:b w:val="0"/>
          <w:i w:val="0"/>
          <w:color w:val="1A1A1A"/>
          <w:sz w:val="22"/>
        </w:rPr>
        <w:t>中国利率债的超额经常来自对</w:t>
      </w:r>
      <w:r>
        <w:rPr>
          <w:rFonts w:ascii="Calibri" w:hAnsi="Calibri" w:eastAsia="微软雅黑"/>
          <w:b/>
          <w:i w:val="0"/>
          <w:color w:val="1B365D"/>
          <w:sz w:val="22"/>
        </w:rPr>
        <w:t>供给节奏和银行配置盘</w:t>
      </w:r>
      <w:r>
        <w:rPr>
          <w:rFonts w:ascii="Calibri" w:hAnsi="Calibri" w:eastAsia="微软雅黑"/>
          <w:b w:val="0"/>
          <w:i w:val="0"/>
          <w:color w:val="1A1A1A"/>
          <w:sz w:val="22"/>
        </w:rPr>
        <w:t>的判断，而不是对GDP的判断。2025年长债弱于短债，就是供给和曲线交易压过了“低通胀该买长债”的简单宏观。</w:t>
      </w:r>
    </w:p>
    <w:p>
      <w:pPr>
        <w:spacing w:before="240" w:after="120" w:line="276" w:lineRule="auto"/>
      </w:pPr>
      <w:r>
        <w:rPr>
          <w:rFonts w:ascii="Calibri" w:hAnsi="Calibri" w:eastAsia="微软雅黑"/>
          <w:b/>
          <w:i w:val="0"/>
          <w:color w:val="2A9D8F"/>
          <w:sz w:val="26"/>
        </w:rPr>
        <w:t>6.4 股票内部的研究流程</w:t>
      </w:r>
    </w:p>
    <w:p>
      <w:pPr>
        <w:pStyle w:val="ListNumber"/>
        <w:spacing w:before="20" w:after="60" w:line="276" w:lineRule="auto"/>
      </w:pPr>
      <w:r>
        <w:rPr>
          <w:rFonts w:ascii="Calibri" w:hAnsi="Calibri" w:eastAsia="微软雅黑"/>
          <w:b/>
          <w:i w:val="0"/>
          <w:color w:val="1B365D"/>
          <w:sz w:val="22"/>
        </w:rPr>
        <w:t>指数与风格：大盘/小盘、价值/成长、红利/质量。</w:t>
      </w:r>
      <w:r>
        <w:rPr>
          <w:rFonts w:ascii="Calibri" w:hAnsi="Calibri" w:eastAsia="微软雅黑"/>
          <w:b w:val="0"/>
          <w:i w:val="0"/>
          <w:color w:val="1A1A1A"/>
          <w:sz w:val="22"/>
        </w:rPr>
        <w:t xml:space="preserve"> 2025年小盘显著占优，风格错了，个股对了也跑输。</w:t>
      </w:r>
    </w:p>
    <w:p>
      <w:pPr>
        <w:pStyle w:val="ListNumber"/>
        <w:spacing w:before="20" w:after="60" w:line="276" w:lineRule="auto"/>
      </w:pPr>
      <w:r>
        <w:rPr>
          <w:rFonts w:ascii="Calibri" w:hAnsi="Calibri" w:eastAsia="微软雅黑"/>
          <w:b/>
          <w:i w:val="0"/>
          <w:color w:val="1B365D"/>
          <w:sz w:val="22"/>
        </w:rPr>
        <w:t>盈利周期：一致预期修订、工业企业利润、出口与资本开支。</w:t>
      </w:r>
    </w:p>
    <w:p>
      <w:pPr>
        <w:pStyle w:val="ListNumber"/>
        <w:spacing w:before="20" w:after="60" w:line="276" w:lineRule="auto"/>
      </w:pPr>
      <w:r>
        <w:rPr>
          <w:rFonts w:ascii="Calibri" w:hAnsi="Calibri" w:eastAsia="微软雅黑"/>
          <w:b/>
          <w:i w:val="0"/>
          <w:color w:val="1B365D"/>
          <w:sz w:val="22"/>
        </w:rPr>
        <w:t>估值：PE/PB分位、股权风险溢价、与全球同业比较。</w:t>
      </w:r>
    </w:p>
    <w:p>
      <w:pPr>
        <w:pStyle w:val="ListNumber"/>
        <w:spacing w:before="20" w:after="60" w:line="276" w:lineRule="auto"/>
      </w:pPr>
      <w:r>
        <w:rPr>
          <w:rFonts w:ascii="Calibri" w:hAnsi="Calibri" w:eastAsia="微软雅黑"/>
          <w:b/>
          <w:i w:val="0"/>
          <w:color w:val="1B365D"/>
          <w:sz w:val="22"/>
        </w:rPr>
        <w:t>流动性与微观结构：北向、ETF份额、主动基金拥挤。</w:t>
      </w:r>
    </w:p>
    <w:p>
      <w:pPr>
        <w:pStyle w:val="ListNumber"/>
        <w:spacing w:before="20" w:after="60" w:line="276" w:lineRule="auto"/>
      </w:pPr>
      <w:r>
        <w:rPr>
          <w:rFonts w:ascii="Calibri" w:hAnsi="Calibri" w:eastAsia="微软雅黑"/>
          <w:b/>
          <w:i w:val="0"/>
          <w:color w:val="1B365D"/>
          <w:sz w:val="22"/>
        </w:rPr>
        <w:t>政策与产业：产能、补贴、反垄断、资本市场改革。</w:t>
      </w:r>
    </w:p>
    <w:p>
      <w:pPr>
        <w:pStyle w:val="ListNumber"/>
        <w:spacing w:before="20" w:after="60" w:line="276" w:lineRule="auto"/>
      </w:pPr>
      <w:r>
        <w:rPr>
          <w:rFonts w:ascii="Calibri" w:hAnsi="Calibri" w:eastAsia="微软雅黑"/>
          <w:b/>
          <w:i w:val="0"/>
          <w:color w:val="1B365D"/>
          <w:sz w:val="22"/>
        </w:rPr>
        <w:t>个股：治理、自由现金流、杠杆。</w:t>
      </w:r>
      <w:r>
        <w:rPr>
          <w:rFonts w:ascii="Calibri" w:hAnsi="Calibri" w:eastAsia="微软雅黑"/>
          <w:b w:val="0"/>
          <w:i w:val="0"/>
          <w:color w:val="1A1A1A"/>
          <w:sz w:val="22"/>
        </w:rPr>
        <w:t xml:space="preserve"> 大类配置研究员可以不做深度个股，但不能没有“什么公司不该以债的逻辑去买”的清单。</w:t>
      </w:r>
    </w:p>
    <w:p>
      <w:pPr>
        <w:spacing w:before="240" w:after="120" w:line="276" w:lineRule="auto"/>
      </w:pPr>
      <w:r>
        <w:rPr>
          <w:rFonts w:ascii="Calibri" w:hAnsi="Calibri" w:eastAsia="微软雅黑"/>
          <w:b/>
          <w:i w:val="0"/>
          <w:color w:val="2A9D8F"/>
          <w:sz w:val="26"/>
        </w:rPr>
        <w:t>6.5 可转债：股债之间的专门赛道</w:t>
      </w:r>
    </w:p>
    <w:p>
      <w:pPr>
        <w:spacing w:before="40" w:after="120" w:line="293" w:lineRule="auto"/>
        <w:ind w:firstLine="420"/>
      </w:pPr>
      <w:r>
        <w:rPr>
          <w:rFonts w:ascii="Calibri" w:hAnsi="Calibri" w:eastAsia="微软雅黑"/>
          <w:b w:val="0"/>
          <w:i w:val="0"/>
          <w:color w:val="1A1A1A"/>
          <w:sz w:val="22"/>
        </w:rPr>
        <w:t>可转债提供债底和期权。它在“债券票息不够、又不能把回撤做成股票”的账户里非常有用，但研究范式是期权的：看隐含波动、平价溢价、正股拥挤和条款博弈。把它放进纯债组合，等于偷偷提高权益风险预算。</w:t>
      </w:r>
    </w:p>
    <w:p>
      <w:pPr>
        <w:spacing w:before="240" w:after="120" w:line="276" w:lineRule="auto"/>
      </w:pPr>
      <w:r>
        <w:rPr>
          <w:rFonts w:ascii="Calibri" w:hAnsi="Calibri" w:eastAsia="微软雅黑"/>
          <w:b/>
          <w:i w:val="0"/>
          <w:color w:val="2A9D8F"/>
          <w:sz w:val="26"/>
        </w:rPr>
        <w:t>6.6 风险管理：组合语言必须统一</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1B365D" w:val="clear"/>
          </w:tcPr>
          <w:p>
            <w:pPr>
              <w:spacing w:before="40" w:after="40" w:line="259" w:lineRule="auto"/>
            </w:pPr>
            <w:r/>
            <w:r>
              <w:rPr>
                <w:rFonts w:ascii="Calibri" w:hAnsi="Calibri" w:eastAsia="微软雅黑"/>
                <w:b/>
                <w:i w:val="0"/>
                <w:color w:val="FFFFFF"/>
                <w:sz w:val="20"/>
              </w:rPr>
              <w:t>风险</w:t>
            </w:r>
          </w:p>
        </w:tc>
        <w:tc>
          <w:tcPr>
            <w:tcW w:type="dxa" w:w="2353"/>
            <w:shd w:fill="1B365D" w:val="clear"/>
          </w:tcPr>
          <w:p>
            <w:pPr>
              <w:spacing w:before="40" w:after="40" w:line="259" w:lineRule="auto"/>
            </w:pPr>
            <w:r/>
            <w:r>
              <w:rPr>
                <w:rFonts w:ascii="Calibri" w:hAnsi="Calibri" w:eastAsia="微软雅黑"/>
                <w:b/>
                <w:i w:val="0"/>
                <w:color w:val="FFFFFF"/>
                <w:sz w:val="20"/>
              </w:rPr>
              <w:t>债券侧监控</w:t>
            </w:r>
          </w:p>
        </w:tc>
        <w:tc>
          <w:tcPr>
            <w:tcW w:type="dxa" w:w="2353"/>
            <w:shd w:fill="1B365D" w:val="clear"/>
          </w:tcPr>
          <w:p>
            <w:pPr>
              <w:spacing w:before="40" w:after="40" w:line="259" w:lineRule="auto"/>
            </w:pPr>
            <w:r/>
            <w:r>
              <w:rPr>
                <w:rFonts w:ascii="Calibri" w:hAnsi="Calibri" w:eastAsia="微软雅黑"/>
                <w:b/>
                <w:i w:val="0"/>
                <w:color w:val="FFFFFF"/>
                <w:sz w:val="20"/>
              </w:rPr>
              <w:t>股票侧监控</w:t>
            </w:r>
          </w:p>
        </w:tc>
        <w:tc>
          <w:tcPr>
            <w:tcW w:type="dxa" w:w="2353"/>
            <w:shd w:fill="1B365D" w:val="clear"/>
          </w:tcPr>
          <w:p>
            <w:pPr>
              <w:spacing w:before="40" w:after="40" w:line="259" w:lineRule="auto"/>
            </w:pPr>
            <w:r/>
            <w:r>
              <w:rPr>
                <w:rFonts w:ascii="Calibri" w:hAnsi="Calibri" w:eastAsia="微软雅黑"/>
                <w:b/>
                <w:i w:val="0"/>
                <w:color w:val="FFFFFF"/>
                <w:sz w:val="20"/>
              </w:rPr>
              <w:t>组合层</w:t>
            </w:r>
          </w:p>
        </w:tc>
      </w:tr>
      <w:tr>
        <w:tc>
          <w:tcPr>
            <w:tcW w:type="dxa" w:w="2353"/>
            <w:shd w:fill="FFFFFF" w:val="clear"/>
          </w:tcPr>
          <w:p>
            <w:pPr>
              <w:spacing w:before="40" w:after="40" w:line="259" w:lineRule="auto"/>
            </w:pPr>
            <w:r/>
            <w:r>
              <w:rPr>
                <w:rFonts w:ascii="Calibri" w:hAnsi="Calibri" w:eastAsia="微软雅黑"/>
                <w:b w:val="0"/>
                <w:i w:val="0"/>
                <w:color w:val="1A1A1A"/>
                <w:sz w:val="20"/>
              </w:rPr>
              <w:t>市场</w:t>
            </w:r>
          </w:p>
        </w:tc>
        <w:tc>
          <w:tcPr>
            <w:tcW w:type="dxa" w:w="2353"/>
            <w:shd w:fill="FFFFFF" w:val="clear"/>
          </w:tcPr>
          <w:p>
            <w:pPr>
              <w:spacing w:before="40" w:after="40" w:line="259" w:lineRule="auto"/>
            </w:pPr>
            <w:r/>
            <w:r>
              <w:rPr>
                <w:rFonts w:ascii="Calibri" w:hAnsi="Calibri" w:eastAsia="微软雅黑"/>
                <w:b w:val="0"/>
                <w:i w:val="0"/>
                <w:color w:val="1A1A1A"/>
                <w:sz w:val="20"/>
              </w:rPr>
              <w:t>DV01、关键期限暴露</w:t>
            </w:r>
          </w:p>
        </w:tc>
        <w:tc>
          <w:tcPr>
            <w:tcW w:type="dxa" w:w="2353"/>
            <w:shd w:fill="FFFFFF" w:val="clear"/>
          </w:tcPr>
          <w:p>
            <w:pPr>
              <w:spacing w:before="40" w:after="40" w:line="259" w:lineRule="auto"/>
            </w:pPr>
            <w:r/>
            <w:r>
              <w:rPr>
                <w:rFonts w:ascii="Calibri" w:hAnsi="Calibri" w:eastAsia="微软雅黑"/>
                <w:b w:val="0"/>
                <w:i w:val="0"/>
                <w:color w:val="1A1A1A"/>
                <w:sz w:val="20"/>
              </w:rPr>
              <w:t>Beta、行业偏离</w:t>
            </w:r>
          </w:p>
        </w:tc>
        <w:tc>
          <w:tcPr>
            <w:tcW w:type="dxa" w:w="2353"/>
            <w:shd w:fill="FFFFFF" w:val="clear"/>
          </w:tcPr>
          <w:p>
            <w:pPr>
              <w:spacing w:before="40" w:after="40" w:line="259" w:lineRule="auto"/>
            </w:pPr>
            <w:r/>
            <w:r>
              <w:rPr>
                <w:rFonts w:ascii="Calibri" w:hAnsi="Calibri" w:eastAsia="微软雅黑"/>
                <w:b w:val="0"/>
                <w:i w:val="0"/>
                <w:color w:val="1A1A1A"/>
                <w:sz w:val="20"/>
              </w:rPr>
              <w:t>波动率预算、VaR</w:t>
            </w:r>
          </w:p>
        </w:tc>
      </w:tr>
      <w:tr>
        <w:tc>
          <w:tcPr>
            <w:tcW w:type="dxa" w:w="2353"/>
            <w:shd w:fill="F4F1EC" w:val="clear"/>
          </w:tcPr>
          <w:p>
            <w:pPr>
              <w:spacing w:before="40" w:after="40" w:line="259" w:lineRule="auto"/>
            </w:pPr>
            <w:r/>
            <w:r>
              <w:rPr>
                <w:rFonts w:ascii="Calibri" w:hAnsi="Calibri" w:eastAsia="微软雅黑"/>
                <w:b w:val="0"/>
                <w:i w:val="0"/>
                <w:color w:val="1A1A1A"/>
                <w:sz w:val="20"/>
              </w:rPr>
              <w:t>极端</w:t>
            </w:r>
          </w:p>
        </w:tc>
        <w:tc>
          <w:tcPr>
            <w:tcW w:type="dxa" w:w="2353"/>
            <w:shd w:fill="F4F1EC" w:val="clear"/>
          </w:tcPr>
          <w:p>
            <w:pPr>
              <w:spacing w:before="40" w:after="40" w:line="259" w:lineRule="auto"/>
            </w:pPr>
            <w:r/>
            <w:r>
              <w:rPr>
                <w:rFonts w:ascii="Calibri" w:hAnsi="Calibri" w:eastAsia="微软雅黑"/>
                <w:b w:val="0"/>
                <w:i w:val="0"/>
                <w:color w:val="1A1A1A"/>
                <w:sz w:val="20"/>
              </w:rPr>
              <w:t>利率+50bp、信用利差+100bp</w:t>
            </w:r>
          </w:p>
        </w:tc>
        <w:tc>
          <w:tcPr>
            <w:tcW w:type="dxa" w:w="2353"/>
            <w:shd w:fill="F4F1EC" w:val="clear"/>
          </w:tcPr>
          <w:p>
            <w:pPr>
              <w:spacing w:before="40" w:after="40" w:line="259" w:lineRule="auto"/>
            </w:pPr>
            <w:r/>
            <w:r>
              <w:rPr>
                <w:rFonts w:ascii="Calibri" w:hAnsi="Calibri" w:eastAsia="微软雅黑"/>
                <w:b w:val="0"/>
                <w:i w:val="0"/>
                <w:color w:val="1A1A1A"/>
                <w:sz w:val="20"/>
              </w:rPr>
              <w:t>指数−20%、风格反转</w:t>
            </w:r>
          </w:p>
        </w:tc>
        <w:tc>
          <w:tcPr>
            <w:tcW w:type="dxa" w:w="2353"/>
            <w:shd w:fill="F4F1EC" w:val="clear"/>
          </w:tcPr>
          <w:p>
            <w:pPr>
              <w:spacing w:before="40" w:after="40" w:line="259" w:lineRule="auto"/>
            </w:pPr>
            <w:r/>
            <w:r>
              <w:rPr>
                <w:rFonts w:ascii="Calibri" w:hAnsi="Calibri" w:eastAsia="微软雅黑"/>
                <w:b w:val="0"/>
                <w:i w:val="0"/>
                <w:color w:val="1A1A1A"/>
                <w:sz w:val="20"/>
              </w:rPr>
              <w:t>最大回撤触发再平衡</w:t>
            </w:r>
          </w:p>
        </w:tc>
      </w:tr>
      <w:tr>
        <w:tc>
          <w:tcPr>
            <w:tcW w:type="dxa" w:w="2353"/>
            <w:shd w:fill="FFFFFF" w:val="clear"/>
          </w:tcPr>
          <w:p>
            <w:pPr>
              <w:spacing w:before="40" w:after="40" w:line="259" w:lineRule="auto"/>
            </w:pPr>
            <w:r/>
            <w:r>
              <w:rPr>
                <w:rFonts w:ascii="Calibri" w:hAnsi="Calibri" w:eastAsia="微软雅黑"/>
                <w:b w:val="0"/>
                <w:i w:val="0"/>
                <w:color w:val="1A1A1A"/>
                <w:sz w:val="20"/>
              </w:rPr>
              <w:t>流动性</w:t>
            </w:r>
          </w:p>
        </w:tc>
        <w:tc>
          <w:tcPr>
            <w:tcW w:type="dxa" w:w="2353"/>
            <w:shd w:fill="FFFFFF" w:val="clear"/>
          </w:tcPr>
          <w:p>
            <w:pPr>
              <w:spacing w:before="40" w:after="40" w:line="259" w:lineRule="auto"/>
            </w:pPr>
            <w:r/>
            <w:r>
              <w:rPr>
                <w:rFonts w:ascii="Calibri" w:hAnsi="Calibri" w:eastAsia="微软雅黑"/>
                <w:b w:val="0"/>
                <w:i w:val="0"/>
                <w:color w:val="1A1A1A"/>
                <w:sz w:val="20"/>
              </w:rPr>
              <w:t>回购依赖、信用债成交</w:t>
            </w:r>
          </w:p>
        </w:tc>
        <w:tc>
          <w:tcPr>
            <w:tcW w:type="dxa" w:w="2353"/>
            <w:shd w:fill="FFFFFF" w:val="clear"/>
          </w:tcPr>
          <w:p>
            <w:pPr>
              <w:spacing w:before="40" w:after="40" w:line="259" w:lineRule="auto"/>
            </w:pPr>
            <w:r/>
            <w:r>
              <w:rPr>
                <w:rFonts w:ascii="Calibri" w:hAnsi="Calibri" w:eastAsia="微软雅黑"/>
                <w:b w:val="0"/>
                <w:i w:val="0"/>
                <w:color w:val="1A1A1A"/>
                <w:sz w:val="20"/>
              </w:rPr>
              <w:t>停牌、冲击成本</w:t>
            </w:r>
          </w:p>
        </w:tc>
        <w:tc>
          <w:tcPr>
            <w:tcW w:type="dxa" w:w="2353"/>
            <w:shd w:fill="FFFFFF" w:val="clear"/>
          </w:tcPr>
          <w:p>
            <w:pPr>
              <w:spacing w:before="40" w:after="40" w:line="259" w:lineRule="auto"/>
            </w:pPr>
            <w:r/>
            <w:r>
              <w:rPr>
                <w:rFonts w:ascii="Calibri" w:hAnsi="Calibri" w:eastAsia="微软雅黑"/>
                <w:b w:val="0"/>
                <w:i w:val="0"/>
                <w:color w:val="1A1A1A"/>
                <w:sz w:val="20"/>
              </w:rPr>
              <w:t>赎回覆盖天数</w:t>
            </w:r>
          </w:p>
        </w:tc>
      </w:tr>
      <w:tr>
        <w:tc>
          <w:tcPr>
            <w:tcW w:type="dxa" w:w="2353"/>
            <w:shd w:fill="F4F1EC" w:val="clear"/>
          </w:tcPr>
          <w:p>
            <w:pPr>
              <w:spacing w:before="40" w:after="40" w:line="259" w:lineRule="auto"/>
            </w:pPr>
            <w:r/>
            <w:r>
              <w:rPr>
                <w:rFonts w:ascii="Calibri" w:hAnsi="Calibri" w:eastAsia="微软雅黑"/>
                <w:b w:val="0"/>
                <w:i w:val="0"/>
                <w:color w:val="1A1A1A"/>
                <w:sz w:val="20"/>
              </w:rPr>
              <w:t>相关</w:t>
            </w:r>
          </w:p>
        </w:tc>
        <w:tc>
          <w:tcPr>
            <w:tcW w:type="dxa" w:w="2353"/>
            <w:shd w:fill="F4F1EC" w:val="clear"/>
          </w:tcPr>
          <w:p>
            <w:pPr>
              <w:spacing w:before="40" w:after="40" w:line="259" w:lineRule="auto"/>
            </w:pPr>
            <w:r/>
            <w:r>
              <w:rPr>
                <w:rFonts w:ascii="Calibri" w:hAnsi="Calibri" w:eastAsia="微软雅黑"/>
                <w:b w:val="0"/>
                <w:i w:val="0"/>
                <w:color w:val="1A1A1A"/>
                <w:sz w:val="20"/>
              </w:rPr>
              <w:t>股债60日相关、与商品相关</w:t>
            </w:r>
          </w:p>
        </w:tc>
        <w:tc>
          <w:tcPr>
            <w:tcW w:type="dxa" w:w="2353"/>
            <w:shd w:fill="F4F1EC" w:val="clear"/>
          </w:tcPr>
          <w:p>
            <w:pPr>
              <w:spacing w:before="40" w:after="40" w:line="259" w:lineRule="auto"/>
            </w:pPr>
            <w:r/>
            <w:r>
              <w:rPr>
                <w:rFonts w:ascii="Calibri" w:hAnsi="Calibri" w:eastAsia="微软雅黑"/>
                <w:b w:val="0"/>
                <w:i w:val="0"/>
                <w:color w:val="1A1A1A"/>
                <w:sz w:val="20"/>
              </w:rPr>
              <w:t>同上</w:t>
            </w:r>
          </w:p>
        </w:tc>
        <w:tc>
          <w:tcPr>
            <w:tcW w:type="dxa" w:w="2353"/>
            <w:shd w:fill="F4F1EC" w:val="clear"/>
          </w:tcPr>
          <w:p>
            <w:pPr>
              <w:spacing w:before="40" w:after="40" w:line="259" w:lineRule="auto"/>
            </w:pPr>
            <w:r/>
            <w:r>
              <w:rPr>
                <w:rFonts w:ascii="Calibri" w:hAnsi="Calibri" w:eastAsia="微软雅黑"/>
                <w:b w:val="0"/>
                <w:i w:val="0"/>
                <w:color w:val="1A1A1A"/>
                <w:sz w:val="20"/>
              </w:rPr>
              <w:t>相关转正时降低名义杠杆</w:t>
            </w:r>
          </w:p>
        </w:tc>
      </w:tr>
      <w:tr>
        <w:tc>
          <w:tcPr>
            <w:tcW w:type="dxa" w:w="2353"/>
            <w:shd w:fill="FFFFFF" w:val="clear"/>
          </w:tcPr>
          <w:p>
            <w:pPr>
              <w:spacing w:before="40" w:after="40" w:line="259" w:lineRule="auto"/>
            </w:pPr>
            <w:r/>
            <w:r>
              <w:rPr>
                <w:rFonts w:ascii="Calibri" w:hAnsi="Calibri" w:eastAsia="微软雅黑"/>
                <w:b w:val="0"/>
                <w:i w:val="0"/>
                <w:color w:val="1A1A1A"/>
                <w:sz w:val="20"/>
              </w:rPr>
              <w:t>操作</w:t>
            </w:r>
          </w:p>
        </w:tc>
        <w:tc>
          <w:tcPr>
            <w:tcW w:type="dxa" w:w="2353"/>
            <w:shd w:fill="FFFFFF" w:val="clear"/>
          </w:tcPr>
          <w:p>
            <w:pPr>
              <w:spacing w:before="40" w:after="40" w:line="259" w:lineRule="auto"/>
            </w:pPr>
            <w:r/>
            <w:r>
              <w:rPr>
                <w:rFonts w:ascii="Calibri" w:hAnsi="Calibri" w:eastAsia="微软雅黑"/>
                <w:b w:val="0"/>
                <w:i w:val="0"/>
                <w:color w:val="1A1A1A"/>
                <w:sz w:val="20"/>
              </w:rPr>
              <w:t>杠杆上限</w:t>
            </w:r>
          </w:p>
        </w:tc>
        <w:tc>
          <w:tcPr>
            <w:tcW w:type="dxa" w:w="2353"/>
            <w:shd w:fill="FFFFFF" w:val="clear"/>
          </w:tcPr>
          <w:p>
            <w:pPr>
              <w:spacing w:before="40" w:after="40" w:line="259" w:lineRule="auto"/>
            </w:pPr>
            <w:r/>
            <w:r>
              <w:rPr>
                <w:rFonts w:ascii="Calibri" w:hAnsi="Calibri" w:eastAsia="微软雅黑"/>
                <w:b w:val="0"/>
                <w:i w:val="0"/>
                <w:color w:val="1A1A1A"/>
                <w:sz w:val="20"/>
              </w:rPr>
              <w:t>集中度、停牌</w:t>
            </w:r>
          </w:p>
        </w:tc>
        <w:tc>
          <w:tcPr>
            <w:tcW w:type="dxa" w:w="2353"/>
            <w:shd w:fill="FFFFFF" w:val="clear"/>
          </w:tcPr>
          <w:p>
            <w:pPr>
              <w:spacing w:before="40" w:after="40" w:line="259" w:lineRule="auto"/>
            </w:pPr>
            <w:r/>
            <w:r>
              <w:rPr>
                <w:rFonts w:ascii="Calibri" w:hAnsi="Calibri" w:eastAsia="微软雅黑"/>
                <w:b w:val="0"/>
                <w:i w:val="0"/>
                <w:color w:val="1A1A1A"/>
                <w:sz w:val="20"/>
              </w:rPr>
              <w:t>合规与会计分类</w:t>
            </w:r>
          </w:p>
        </w:tc>
      </w:tr>
    </w:tbl>
    <w:p/>
    <w:p>
      <w:pPr>
        <w:spacing w:before="40" w:after="120" w:line="293" w:lineRule="auto"/>
        <w:ind w:firstLine="420"/>
      </w:pPr>
      <w:r>
        <w:rPr>
          <w:rFonts w:ascii="Calibri" w:hAnsi="Calibri" w:eastAsia="微软雅黑"/>
          <w:b w:val="0"/>
          <w:i w:val="0"/>
          <w:color w:val="1A1A1A"/>
          <w:sz w:val="22"/>
        </w:rPr>
        <w:t>一条经验法则：固收+产品先定</w:t>
      </w:r>
      <w:r>
        <w:rPr>
          <w:rFonts w:ascii="Calibri" w:hAnsi="Calibri" w:eastAsia="微软雅黑"/>
          <w:b/>
          <w:i w:val="0"/>
          <w:color w:val="1B365D"/>
          <w:sz w:val="22"/>
        </w:rPr>
        <w:t>回撤红线</w:t>
      </w:r>
      <w:r>
        <w:rPr>
          <w:rFonts w:ascii="Calibri" w:hAnsi="Calibri" w:eastAsia="微软雅黑"/>
          <w:b w:val="0"/>
          <w:i w:val="0"/>
          <w:color w:val="1A1A1A"/>
          <w:sz w:val="22"/>
        </w:rPr>
        <w:t>（例如−3%或−5%），再定股票上限。用股票仓位去“赌回来”，是这类产品最常见的毁灭路径。</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七、机构实践：约束不同，同样的宏观会变成相反的交易</w:t>
      </w:r>
    </w:p>
    <w:p>
      <w:pPr>
        <w:spacing w:before="160" w:after="80" w:line="276" w:lineRule="auto"/>
        <w:jc w:val="center"/>
      </w:pPr>
      <w:r>
        <w:drawing>
          <wp:inline xmlns:a="http://schemas.openxmlformats.org/drawingml/2006/main" xmlns:pic="http://schemas.openxmlformats.org/drawingml/2006/picture">
            <wp:extent cx="5616000" cy="3426244"/>
            <wp:docPr id="14" name="Picture 14"/>
            <wp:cNvGraphicFramePr>
              <a:graphicFrameLocks noChangeAspect="1"/>
            </wp:cNvGraphicFramePr>
            <a:graphic>
              <a:graphicData uri="http://schemas.openxmlformats.org/drawingml/2006/picture">
                <pic:pic>
                  <pic:nvPicPr>
                    <pic:cNvPr id="0" name="fig14_playbook.png"/>
                    <pic:cNvPicPr/>
                  </pic:nvPicPr>
                  <pic:blipFill>
                    <a:blip r:embed="rId23"/>
                    <a:stretch>
                      <a:fillRect/>
                    </a:stretch>
                  </pic:blipFill>
                  <pic:spPr>
                    <a:xfrm>
                      <a:off x="0" y="0"/>
                      <a:ext cx="5616000" cy="3426244"/>
                    </a:xfrm>
                    <a:prstGeom prst="rect"/>
                  </pic:spPr>
                </pic:pic>
              </a:graphicData>
            </a:graphic>
          </wp:inline>
        </w:drawing>
      </w:r>
    </w:p>
    <w:p>
      <w:pPr>
        <w:spacing w:before="0" w:after="200" w:line="276" w:lineRule="auto"/>
        <w:jc w:val="center"/>
      </w:pPr>
      <w:r>
        <w:rPr>
          <w:rFonts w:ascii="Calibri" w:hAnsi="Calibri" w:eastAsia="微软雅黑"/>
          <w:b w:val="0"/>
          <w:i/>
          <w:color w:val="5A677A"/>
          <w:sz w:val="18"/>
        </w:rPr>
        <w:t>图14 机构约束</w:t>
      </w:r>
    </w:p>
    <w:p>
      <w:pPr>
        <w:spacing w:before="240" w:after="120" w:line="276" w:lineRule="auto"/>
      </w:pPr>
      <w:r>
        <w:rPr>
          <w:rFonts w:ascii="Calibri" w:hAnsi="Calibri" w:eastAsia="微软雅黑"/>
          <w:b/>
          <w:i w:val="0"/>
          <w:color w:val="2A9D8F"/>
          <w:sz w:val="26"/>
        </w:rPr>
        <w:t>7.1 商业银行自营</w:t>
      </w:r>
    </w:p>
    <w:p>
      <w:pPr>
        <w:spacing w:before="40" w:after="120" w:line="293" w:lineRule="auto"/>
        <w:ind w:firstLine="420"/>
      </w:pPr>
      <w:r>
        <w:rPr>
          <w:rFonts w:ascii="Calibri" w:hAnsi="Calibri" w:eastAsia="微软雅黑"/>
          <w:b w:val="0"/>
          <w:i w:val="0"/>
          <w:color w:val="1A1A1A"/>
          <w:sz w:val="22"/>
        </w:rPr>
        <w:t>银行是利率债的定价者。LCR、NSFR、地方债政治任务、贷款不足时的“资产荒”，使银行在衰退和宽货币期成为国债和地方债的吸盘。对银行而言，股票主要在子公司和理财，不在自营主账户。研究银行行为，是债券战术配置的第一步。</w:t>
      </w:r>
    </w:p>
    <w:p>
      <w:pPr>
        <w:spacing w:before="240" w:after="120" w:line="276" w:lineRule="auto"/>
      </w:pPr>
      <w:r>
        <w:rPr>
          <w:rFonts w:ascii="Calibri" w:hAnsi="Calibri" w:eastAsia="微软雅黑"/>
          <w:b/>
          <w:i w:val="0"/>
          <w:color w:val="2A9D8F"/>
          <w:sz w:val="26"/>
        </w:rPr>
        <w:t>7.2 保险与养老金</w:t>
      </w:r>
    </w:p>
    <w:p>
      <w:pPr>
        <w:spacing w:before="40" w:after="120" w:line="293" w:lineRule="auto"/>
        <w:ind w:firstLine="420"/>
      </w:pPr>
      <w:r>
        <w:rPr>
          <w:rFonts w:ascii="Calibri" w:hAnsi="Calibri" w:eastAsia="微软雅黑"/>
          <w:b w:val="0"/>
          <w:i w:val="0"/>
          <w:color w:val="1A1A1A"/>
          <w:sz w:val="22"/>
        </w:rPr>
        <w:t>这是最接近Campbell–Viceira理论的资金：负债久、需要匹配。利率下行时，保险会“抢配”长久期利率债，进一步压低长端——这是中国超长期国债需求的微观基础。权益配置受偿付能力、会计波动和考核约束，往往在市场低位反而买不进。理解保险，才能理解为什么ERP已经很高，增量资金仍慢。</w:t>
      </w:r>
    </w:p>
    <w:p>
      <w:pPr>
        <w:spacing w:before="240" w:after="120" w:line="276" w:lineRule="auto"/>
      </w:pPr>
      <w:r>
        <w:rPr>
          <w:rFonts w:ascii="Calibri" w:hAnsi="Calibri" w:eastAsia="微软雅黑"/>
          <w:b/>
          <w:i w:val="0"/>
          <w:color w:val="2A9D8F"/>
          <w:sz w:val="26"/>
        </w:rPr>
        <w:t>7.3 公募基金</w:t>
      </w:r>
    </w:p>
    <w:p>
      <w:pPr>
        <w:pStyle w:val="ListBullet"/>
        <w:spacing w:before="20" w:after="60" w:line="276" w:lineRule="auto"/>
      </w:pPr>
      <w:r>
        <w:rPr>
          <w:rFonts w:ascii="Calibri" w:hAnsi="Calibri" w:eastAsia="微软雅黑"/>
          <w:b w:val="0"/>
          <w:i w:val="0"/>
          <w:color w:val="1A1A1A"/>
          <w:sz w:val="22"/>
        </w:rPr>
        <w:t>纯债：久期和杠杆是阿尔法，回撤来自信用和流动性。</w:t>
      </w:r>
    </w:p>
    <w:p>
      <w:pPr>
        <w:pStyle w:val="ListBullet"/>
        <w:spacing w:before="20" w:after="60" w:line="276" w:lineRule="auto"/>
      </w:pPr>
      <w:r>
        <w:rPr>
          <w:rFonts w:ascii="Calibri" w:hAnsi="Calibri" w:eastAsia="微软雅黑"/>
          <w:b w:val="0"/>
          <w:i w:val="0"/>
          <w:color w:val="1A1A1A"/>
          <w:sz w:val="22"/>
        </w:rPr>
        <w:t>固收+：权益风险预算产品。股债性价比、可转债、打新（历史）都是工具。</w:t>
      </w:r>
    </w:p>
    <w:p>
      <w:pPr>
        <w:pStyle w:val="ListBullet"/>
        <w:spacing w:before="20" w:after="60" w:line="276" w:lineRule="auto"/>
      </w:pPr>
      <w:r>
        <w:rPr>
          <w:rFonts w:ascii="Calibri" w:hAnsi="Calibri" w:eastAsia="微软雅黑"/>
          <w:b w:val="0"/>
          <w:i w:val="0"/>
          <w:color w:val="1A1A1A"/>
          <w:sz w:val="22"/>
        </w:rPr>
        <w:t>偏股：基准是股票指数，债券只是现金管理。</w:t>
      </w:r>
    </w:p>
    <w:p>
      <w:pPr>
        <w:pStyle w:val="ListBullet"/>
        <w:spacing w:before="20" w:after="60" w:line="276" w:lineRule="auto"/>
      </w:pPr>
      <w:r>
        <w:rPr>
          <w:rFonts w:ascii="Calibri" w:hAnsi="Calibri" w:eastAsia="微软雅黑"/>
          <w:b w:val="0"/>
          <w:i w:val="0"/>
          <w:color w:val="1A1A1A"/>
          <w:sz w:val="22"/>
        </w:rPr>
        <w:t>FOF/投顾：最需要本报告的三层工作台，避免“用一堆基金重复暴露同一个A股Beta”。</w:t>
      </w:r>
    </w:p>
    <w:p>
      <w:pPr>
        <w:spacing w:before="240" w:after="120" w:line="276" w:lineRule="auto"/>
      </w:pPr>
      <w:r>
        <w:rPr>
          <w:rFonts w:ascii="Calibri" w:hAnsi="Calibri" w:eastAsia="微软雅黑"/>
          <w:b/>
          <w:i w:val="0"/>
          <w:color w:val="2A9D8F"/>
          <w:sz w:val="26"/>
        </w:rPr>
        <w:t>7.4 外资与全球组合</w:t>
      </w:r>
    </w:p>
    <w:p>
      <w:pPr>
        <w:spacing w:before="40" w:after="120" w:line="293" w:lineRule="auto"/>
        <w:ind w:firstLine="420"/>
      </w:pPr>
      <w:r>
        <w:rPr>
          <w:rFonts w:ascii="Calibri" w:hAnsi="Calibri" w:eastAsia="微软雅黑"/>
          <w:b w:val="0"/>
          <w:i w:val="0"/>
          <w:color w:val="1A1A1A"/>
          <w:sz w:val="22"/>
        </w:rPr>
        <w:t>中国利率债与全球股债低相关、信用在部分外部冲击中表现韧性（BlackRock）。A股与全球股票十年相关约0.3（Allianz Global Investors）。对全球配置者，中国股债是分散化资产；对境内配置者，全球资产才是分散化。方向相反，逻辑相同。汇率、指数纳入（WGBI、彭博全球综合）和地缘溢价，是外资的额外因子。</w:t>
      </w:r>
    </w:p>
    <w:p>
      <w:pPr>
        <w:spacing w:before="240" w:after="120" w:line="276" w:lineRule="auto"/>
      </w:pPr>
      <w:r>
        <w:rPr>
          <w:rFonts w:ascii="Calibri" w:hAnsi="Calibri" w:eastAsia="微软雅黑"/>
          <w:b/>
          <w:i w:val="0"/>
          <w:color w:val="2A9D8F"/>
          <w:sz w:val="26"/>
        </w:rPr>
        <w:t>7.5 个人投资者的主要误区</w:t>
      </w:r>
    </w:p>
    <w:p>
      <w:pPr>
        <w:pStyle w:val="ListNumber"/>
        <w:spacing w:before="20" w:after="60" w:line="276" w:lineRule="auto"/>
      </w:pPr>
      <w:r>
        <w:rPr>
          <w:rFonts w:ascii="Calibri" w:hAnsi="Calibri" w:eastAsia="微软雅黑"/>
          <w:b w:val="0"/>
          <w:i w:val="0"/>
          <w:color w:val="1A1A1A"/>
          <w:sz w:val="22"/>
        </w:rPr>
        <w:t>用单一年份判断资产优劣（2025年股完胜，2014年下半年债也很强）。</w:t>
      </w:r>
    </w:p>
    <w:p>
      <w:pPr>
        <w:pStyle w:val="ListNumber"/>
        <w:spacing w:before="20" w:after="60" w:line="276" w:lineRule="auto"/>
      </w:pPr>
      <w:r>
        <w:rPr>
          <w:rFonts w:ascii="Calibri" w:hAnsi="Calibri" w:eastAsia="微软雅黑"/>
          <w:b w:val="0"/>
          <w:i w:val="0"/>
          <w:color w:val="1A1A1A"/>
          <w:sz w:val="22"/>
        </w:rPr>
        <w:t>把债券当现金，在加息或供给冲击年意外亏损后永不再买。</w:t>
      </w:r>
    </w:p>
    <w:p>
      <w:pPr>
        <w:pStyle w:val="ListNumber"/>
        <w:spacing w:before="20" w:after="60" w:line="276" w:lineRule="auto"/>
      </w:pPr>
      <w:r>
        <w:rPr>
          <w:rFonts w:ascii="Calibri" w:hAnsi="Calibri" w:eastAsia="微软雅黑"/>
          <w:b w:val="0"/>
          <w:i w:val="0"/>
          <w:color w:val="1A1A1A"/>
          <w:sz w:val="22"/>
        </w:rPr>
        <w:t>在A股回撤40%时斩仓，等于主动放弃唯一能补偿高波动的风险溢价。</w:t>
      </w:r>
    </w:p>
    <w:p>
      <w:pPr>
        <w:pStyle w:val="ListNumber"/>
        <w:spacing w:before="20" w:after="60" w:line="276" w:lineRule="auto"/>
      </w:pPr>
      <w:r>
        <w:rPr>
          <w:rFonts w:ascii="Calibri" w:hAnsi="Calibri" w:eastAsia="微软雅黑"/>
          <w:b w:val="0"/>
          <w:i w:val="0"/>
          <w:color w:val="1A1A1A"/>
          <w:sz w:val="22"/>
        </w:rPr>
        <w:t>忽略费用和杠杆。高换手会把10%的Beta磨成负的净收益。</w:t>
      </w:r>
    </w:p>
    <w:p>
      <w:pPr>
        <w:pStyle w:val="ListNumber"/>
        <w:spacing w:before="20" w:after="60" w:line="276" w:lineRule="auto"/>
      </w:pPr>
      <w:r>
        <w:rPr>
          <w:rFonts w:ascii="Calibri" w:hAnsi="Calibri" w:eastAsia="微软雅黑"/>
          <w:b w:val="0"/>
          <w:i w:val="0"/>
          <w:color w:val="1A1A1A"/>
          <w:sz w:val="22"/>
        </w:rPr>
        <w:t>没有再平衡。牛市把组合变成100%股票，下一次回撤就变成命运。</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八、当前环境（2025—2026）的配置含义</w:t>
      </w:r>
    </w:p>
    <w:p>
      <w:pPr>
        <w:spacing w:before="40" w:after="120" w:line="293" w:lineRule="auto"/>
        <w:ind w:firstLine="420"/>
      </w:pPr>
      <w:r>
        <w:rPr>
          <w:rFonts w:ascii="Calibri" w:hAnsi="Calibri" w:eastAsia="微软雅黑"/>
          <w:b w:val="0"/>
          <w:i w:val="0"/>
          <w:color w:val="1A1A1A"/>
          <w:sz w:val="22"/>
        </w:rPr>
        <w:t>把前面的范式应用到当下，而不是给出交易指令。</w:t>
      </w:r>
    </w:p>
    <w:p>
      <w:pPr>
        <w:spacing w:before="40" w:after="120" w:line="293" w:lineRule="auto"/>
        <w:ind w:firstLine="420"/>
      </w:pPr>
      <w:r>
        <w:rPr>
          <w:rFonts w:ascii="Calibri" w:hAnsi="Calibri" w:eastAsia="微软雅黑"/>
          <w:b/>
          <w:i w:val="0"/>
          <w:color w:val="1B365D"/>
          <w:sz w:val="22"/>
        </w:rPr>
        <w:t>利率：中枢下移，票息变薄。</w:t>
      </w:r>
      <w:r>
        <w:rPr>
          <w:rFonts w:ascii="Calibri" w:hAnsi="Calibri" w:eastAsia="微软雅黑"/>
          <w:b w:val="0"/>
          <w:i w:val="0"/>
          <w:color w:val="1A1A1A"/>
          <w:sz w:val="22"/>
        </w:rPr>
        <w:t xml:space="preserve"> 2025年末十年国债1.85%，2026年8月约1.7%。债券的战略价值从“吃票息”转向“做对冲和匹配负债”。长端资本利得空间受制于供给和“低利率下的震荡市”。</w:t>
      </w:r>
    </w:p>
    <w:p>
      <w:pPr>
        <w:spacing w:before="40" w:after="120" w:line="293" w:lineRule="auto"/>
        <w:ind w:firstLine="420"/>
      </w:pPr>
      <w:r>
        <w:rPr>
          <w:rFonts w:ascii="Calibri" w:hAnsi="Calibri" w:eastAsia="微软雅黑"/>
          <w:b/>
          <w:i w:val="0"/>
          <w:color w:val="1B365D"/>
          <w:sz w:val="22"/>
        </w:rPr>
        <w:t>通胀：暂时缺席。</w:t>
      </w:r>
      <w:r>
        <w:rPr>
          <w:rFonts w:ascii="Calibri" w:hAnsi="Calibri" w:eastAsia="微软雅黑"/>
          <w:b w:val="0"/>
          <w:i w:val="0"/>
          <w:color w:val="1A1A1A"/>
          <w:sz w:val="22"/>
        </w:rPr>
        <w:t xml:space="preserve"> 2025年CPI同比0%。对债券是支撑，对“商品/滞胀”时钟是关闭。一旦食品或能源供给冲击出现，股债相关可能转正，需要预留现金或黄金预算。</w:t>
      </w:r>
    </w:p>
    <w:p>
      <w:pPr>
        <w:spacing w:before="40" w:after="120" w:line="293" w:lineRule="auto"/>
        <w:ind w:firstLine="420"/>
      </w:pPr>
      <w:r>
        <w:rPr>
          <w:rFonts w:ascii="Calibri" w:hAnsi="Calibri" w:eastAsia="微软雅黑"/>
          <w:b/>
          <w:i w:val="0"/>
          <w:color w:val="1B365D"/>
          <w:sz w:val="22"/>
        </w:rPr>
        <w:t>权益：溢价仍在，但分位已升。</w:t>
      </w:r>
      <w:r>
        <w:rPr>
          <w:rFonts w:ascii="Calibri" w:hAnsi="Calibri" w:eastAsia="微软雅黑"/>
          <w:b w:val="0"/>
          <w:i w:val="0"/>
          <w:color w:val="1A1A1A"/>
          <w:sz w:val="22"/>
        </w:rPr>
        <w:t xml:space="preserve"> 盈利收益率相对国债仍有约5个百分点；股息率已高于国债。同时沪深300 PE的近五年分位不低。含义是：相对债券，股票仍值得在中枢之上超配；相对自身历史，不能按2022–2023的“极度便宜”来加杠杆。</w:t>
      </w:r>
    </w:p>
    <w:p>
      <w:pPr>
        <w:spacing w:before="40" w:after="120" w:line="293" w:lineRule="auto"/>
        <w:ind w:firstLine="420"/>
      </w:pPr>
      <w:r>
        <w:rPr>
          <w:rFonts w:ascii="Calibri" w:hAnsi="Calibri" w:eastAsia="微软雅黑"/>
          <w:b/>
          <w:i w:val="0"/>
          <w:color w:val="1B365D"/>
          <w:sz w:val="22"/>
        </w:rPr>
        <w:t>结构：K型。</w:t>
      </w:r>
      <w:r>
        <w:rPr>
          <w:rFonts w:ascii="Calibri" w:hAnsi="Calibri" w:eastAsia="微软雅黑"/>
          <w:b w:val="0"/>
          <w:i w:val="0"/>
          <w:color w:val="1A1A1A"/>
          <w:sz w:val="22"/>
        </w:rPr>
        <w:t xml:space="preserve"> 新经济与出口链、AI硬件可以很好，地产链和部分传统产能仍然差。债市定价总量偏弱，股市定价结构偏强，这是2025–2026“股债脱敏”的基本面解释。</w:t>
      </w:r>
    </w:p>
    <w:p>
      <w:pPr>
        <w:spacing w:before="40" w:after="120" w:line="293" w:lineRule="auto"/>
        <w:ind w:firstLine="420"/>
      </w:pPr>
      <w:r>
        <w:rPr>
          <w:rFonts w:ascii="Calibri" w:hAnsi="Calibri" w:eastAsia="微软雅黑"/>
          <w:b/>
          <w:i w:val="0"/>
          <w:color w:val="1B365D"/>
          <w:sz w:val="22"/>
        </w:rPr>
        <w:t>居民再配置。</w:t>
      </w:r>
      <w:r>
        <w:rPr>
          <w:rFonts w:ascii="Calibri" w:hAnsi="Calibri" w:eastAsia="微软雅黑"/>
          <w:b w:val="0"/>
          <w:i w:val="0"/>
          <w:color w:val="1A1A1A"/>
          <w:sz w:val="22"/>
        </w:rPr>
        <w:t xml:space="preserve"> 存款利率下行、地产吸引力下降，理论上利好股债两者。谁赢得资金，取决于风险偏好和产品供给（ETF、红利策略、债券ETF）。这是未来两三年最重要的增量故事，也是最容易过度叙事的故事。</w:t>
      </w:r>
    </w:p>
    <w:p>
      <w:pPr>
        <w:spacing w:before="40" w:after="120" w:line="293" w:lineRule="auto"/>
        <w:ind w:firstLine="420"/>
      </w:pPr>
      <w:r>
        <w:rPr>
          <w:rFonts w:ascii="Calibri" w:hAnsi="Calibri" w:eastAsia="微软雅黑"/>
          <w:b/>
          <w:i w:val="0"/>
          <w:color w:val="1B365D"/>
          <w:sz w:val="22"/>
        </w:rPr>
        <w:t>操作层面的稳健做法：</w:t>
      </w:r>
      <w:r>
        <w:rPr>
          <w:rFonts w:ascii="Calibri" w:hAnsi="Calibri" w:eastAsia="微软雅黑"/>
          <w:b w:val="0"/>
          <w:i w:val="0"/>
          <w:color w:val="1A1A1A"/>
          <w:sz w:val="22"/>
        </w:rPr>
        <w:t xml:space="preserve"> 维持可解释的股债中枢；用ERP分位和货币信用做有限偏离；债券侧降低对资本利得的依赖，重视曲线、杠杆和高等级票息；股票侧把风险预算花在盈利能见度高的红利质量和真正有自由现金流的成长，而不是把所有弹性都押在单一主题；相关转正或波动跳升时，先降杠杆，再辩论观点。</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九、从业者速查清单</w:t>
      </w:r>
    </w:p>
    <w:p>
      <w:pPr>
        <w:spacing w:before="40" w:after="120" w:line="293" w:lineRule="auto"/>
        <w:ind w:firstLine="420"/>
      </w:pPr>
      <w:r>
        <w:rPr>
          <w:rFonts w:ascii="Calibri" w:hAnsi="Calibri" w:eastAsia="微软雅黑"/>
          <w:b/>
          <w:i w:val="0"/>
          <w:color w:val="1B365D"/>
          <w:sz w:val="22"/>
        </w:rPr>
        <w:t>每天：</w:t>
      </w:r>
      <w:r>
        <w:rPr>
          <w:rFonts w:ascii="Calibri" w:hAnsi="Calibri" w:eastAsia="微软雅黑"/>
          <w:b w:val="0"/>
          <w:i w:val="0"/>
          <w:color w:val="1A1A1A"/>
          <w:sz w:val="22"/>
        </w:rPr>
        <w:t xml:space="preserve"> 资金面（DR007、存单）、十年国债、沪深300/中证1000、北向与成交、重要政策。</w:t>
      </w:r>
    </w:p>
    <w:p>
      <w:pPr>
        <w:spacing w:before="40" w:after="120" w:line="293" w:lineRule="auto"/>
        <w:ind w:firstLine="420"/>
      </w:pPr>
      <w:r>
        <w:rPr>
          <w:rFonts w:ascii="Calibri" w:hAnsi="Calibri" w:eastAsia="微软雅黑"/>
          <w:b/>
          <w:i w:val="0"/>
          <w:color w:val="1B365D"/>
          <w:sz w:val="22"/>
        </w:rPr>
        <w:t>每周：</w:t>
      </w:r>
      <w:r>
        <w:rPr>
          <w:rFonts w:ascii="Calibri" w:hAnsi="Calibri" w:eastAsia="微软雅黑"/>
          <w:b w:val="0"/>
          <w:i w:val="0"/>
          <w:color w:val="1A1A1A"/>
          <w:sz w:val="22"/>
        </w:rPr>
        <w:t xml:space="preserve"> 股债60日相关、ERP与股息率−国债、基金仓位和两融、信用利差、国债期货基差。</w:t>
      </w:r>
    </w:p>
    <w:p>
      <w:pPr>
        <w:spacing w:before="40" w:after="120" w:line="293" w:lineRule="auto"/>
        <w:ind w:firstLine="420"/>
      </w:pPr>
      <w:r>
        <w:rPr>
          <w:rFonts w:ascii="Calibri" w:hAnsi="Calibri" w:eastAsia="微软雅黑"/>
          <w:b/>
          <w:i w:val="0"/>
          <w:color w:val="1B365D"/>
          <w:sz w:val="22"/>
        </w:rPr>
        <w:t>每月：</w:t>
      </w:r>
      <w:r>
        <w:rPr>
          <w:rFonts w:ascii="Calibri" w:hAnsi="Calibri" w:eastAsia="微软雅黑"/>
          <w:b w:val="0"/>
          <w:i w:val="0"/>
          <w:color w:val="1A1A1A"/>
          <w:sz w:val="22"/>
        </w:rPr>
        <w:t xml:space="preserve"> 更新增长/通胀/信用脉冲；检查组合相对中枢的偏离；再平衡；压力测试（利率+30bp、权益−10%、相关=+0.5）。</w:t>
      </w:r>
    </w:p>
    <w:p>
      <w:pPr>
        <w:spacing w:before="40" w:after="120" w:line="293" w:lineRule="auto"/>
        <w:ind w:firstLine="420"/>
      </w:pPr>
      <w:r>
        <w:rPr>
          <w:rFonts w:ascii="Calibri" w:hAnsi="Calibri" w:eastAsia="微软雅黑"/>
          <w:b/>
          <w:i w:val="0"/>
          <w:color w:val="1B365D"/>
          <w:sz w:val="22"/>
        </w:rPr>
        <w:t>每季：</w:t>
      </w:r>
      <w:r>
        <w:rPr>
          <w:rFonts w:ascii="Calibri" w:hAnsi="Calibri" w:eastAsia="微软雅黑"/>
          <w:b w:val="0"/>
          <w:i w:val="0"/>
          <w:color w:val="1A1A1A"/>
          <w:sz w:val="22"/>
        </w:rPr>
        <w:t xml:space="preserve"> 重写预期收益：债券用起始YTM，股票用股息+盈利增长+估值回归；复核风格暴露和流动性。</w:t>
      </w:r>
    </w:p>
    <w:p>
      <w:pPr>
        <w:spacing w:before="40" w:after="120" w:line="293" w:lineRule="auto"/>
        <w:ind w:firstLine="420"/>
      </w:pPr>
      <w:r>
        <w:rPr>
          <w:rFonts w:ascii="Calibri" w:hAnsi="Calibri" w:eastAsia="微软雅黑"/>
          <w:b/>
          <w:i w:val="0"/>
          <w:color w:val="1B365D"/>
          <w:sz w:val="22"/>
        </w:rPr>
        <w:t>每年：</w:t>
      </w:r>
      <w:r>
        <w:rPr>
          <w:rFonts w:ascii="Calibri" w:hAnsi="Calibri" w:eastAsia="微软雅黑"/>
          <w:b w:val="0"/>
          <w:i w:val="0"/>
          <w:color w:val="1A1A1A"/>
          <w:sz w:val="22"/>
        </w:rPr>
        <w:t xml:space="preserve"> 只允许一次SAA讨论。把中枢、战术区间、回撤红线写进投资政策说明书（IPS）。没有IPS的“观点”，不是配置。</w:t>
      </w:r>
    </w:p>
    <w:p>
      <w:pPr>
        <w:spacing w:before="40" w:after="120" w:line="293" w:lineRule="auto"/>
        <w:ind w:firstLine="420"/>
      </w:pPr>
      <w:r>
        <w:rPr>
          <w:rFonts w:ascii="Calibri" w:hAnsi="Calibri" w:eastAsia="微软雅黑"/>
          <w:b/>
          <w:i w:val="0"/>
          <w:color w:val="1B365D"/>
          <w:sz w:val="22"/>
        </w:rPr>
        <w:t>五条口诀：</w:t>
      </w:r>
    </w:p>
    <w:p>
      <w:pPr>
        <w:pStyle w:val="ListNumber"/>
        <w:spacing w:before="20" w:after="60" w:line="276" w:lineRule="auto"/>
      </w:pPr>
      <w:r>
        <w:rPr>
          <w:rFonts w:ascii="Calibri" w:hAnsi="Calibri" w:eastAsia="微软雅黑"/>
          <w:b w:val="0"/>
          <w:i w:val="0"/>
          <w:color w:val="1A1A1A"/>
          <w:sz w:val="22"/>
        </w:rPr>
        <w:t>债券看约束，股票看预算。</w:t>
      </w:r>
    </w:p>
    <w:p>
      <w:pPr>
        <w:pStyle w:val="ListNumber"/>
        <w:spacing w:before="20" w:after="60" w:line="276" w:lineRule="auto"/>
      </w:pPr>
      <w:r>
        <w:rPr>
          <w:rFonts w:ascii="Calibri" w:hAnsi="Calibri" w:eastAsia="微软雅黑"/>
          <w:b w:val="0"/>
          <w:i w:val="0"/>
          <w:color w:val="1A1A1A"/>
          <w:sz w:val="22"/>
        </w:rPr>
        <w:t>票息是债券的Beta，估值波动是债券的噪音；盈利是股票的Beta，主题是股票的噪音。</w:t>
      </w:r>
    </w:p>
    <w:p>
      <w:pPr>
        <w:pStyle w:val="ListNumber"/>
        <w:spacing w:before="20" w:after="60" w:line="276" w:lineRule="auto"/>
      </w:pPr>
      <w:r>
        <w:rPr>
          <w:rFonts w:ascii="Calibri" w:hAnsi="Calibri" w:eastAsia="微软雅黑"/>
          <w:b w:val="0"/>
          <w:i w:val="0"/>
          <w:color w:val="1A1A1A"/>
          <w:sz w:val="22"/>
        </w:rPr>
        <w:t>相关是体制，对冲不是免费的。</w:t>
      </w:r>
    </w:p>
    <w:p>
      <w:pPr>
        <w:pStyle w:val="ListNumber"/>
        <w:spacing w:before="20" w:after="60" w:line="276" w:lineRule="auto"/>
      </w:pPr>
      <w:r>
        <w:rPr>
          <w:rFonts w:ascii="Calibri" w:hAnsi="Calibri" w:eastAsia="微软雅黑"/>
          <w:b w:val="0"/>
          <w:i w:val="0"/>
          <w:color w:val="1A1A1A"/>
          <w:sz w:val="22"/>
        </w:rPr>
        <w:t>性价比看分位，仓位要钝化。</w:t>
      </w:r>
    </w:p>
    <w:p>
      <w:pPr>
        <w:pStyle w:val="ListNumber"/>
        <w:spacing w:before="20" w:after="60" w:line="276" w:lineRule="auto"/>
      </w:pPr>
      <w:r>
        <w:rPr>
          <w:rFonts w:ascii="Calibri" w:hAnsi="Calibri" w:eastAsia="微软雅黑"/>
          <w:b w:val="0"/>
          <w:i w:val="0"/>
          <w:color w:val="1A1A1A"/>
          <w:sz w:val="22"/>
        </w:rPr>
        <w:t>先再平衡，再表达观点。</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十、结论</w:t>
      </w:r>
    </w:p>
    <w:p>
      <w:pPr>
        <w:spacing w:before="40" w:after="120" w:line="293" w:lineRule="auto"/>
        <w:ind w:firstLine="420"/>
      </w:pPr>
      <w:r>
        <w:rPr>
          <w:rFonts w:ascii="Calibri" w:hAnsi="Calibri" w:eastAsia="微软雅黑"/>
          <w:b w:val="0"/>
          <w:i w:val="0"/>
          <w:color w:val="1A1A1A"/>
          <w:sz w:val="22"/>
        </w:rPr>
        <w:t>中国债券和中国股票不是“稳健”与“进取”的形容词差异，而是两种法律权利、两套定价方程、两个投资者生态。理论要求我们用折现、因子和跨期对冲来理解它们；中国结构要求我们承认银行配置盘、零售交易盘和房地产第三极；二十年数据要求我们同时接受两个事实——</w:t>
      </w:r>
      <w:r>
        <w:rPr>
          <w:rFonts w:ascii="Calibri" w:hAnsi="Calibri" w:eastAsia="微软雅黑"/>
          <w:b/>
          <w:i w:val="0"/>
          <w:color w:val="1B365D"/>
          <w:sz w:val="22"/>
        </w:rPr>
        <w:t>股票长期显著战胜债券，以及股票的波动高到足以让大多数人拿不住。</w:t>
      </w:r>
    </w:p>
    <w:p>
      <w:pPr>
        <w:spacing w:before="40" w:after="120" w:line="293" w:lineRule="auto"/>
        <w:ind w:firstLine="420"/>
      </w:pPr>
      <w:r>
        <w:rPr>
          <w:rFonts w:ascii="Calibri" w:hAnsi="Calibri" w:eastAsia="微软雅黑"/>
          <w:b w:val="0"/>
          <w:i w:val="0"/>
          <w:color w:val="1A1A1A"/>
          <w:sz w:val="22"/>
        </w:rPr>
        <w:t>因此，合格的大类资产投研不是预测下一次牛熊，而是建立可重复的三层工作台：用负债和风险承受力写下中枢，用宏观体制和股债比价写下有限偏离，用久期、信用、风格和工具把观点变成可交易、可风控的组合。掌握这一范式之后，行业轮动、择时和个券研究才有位置；在此之前，它们只是没有坐标系的故事。</w:t>
      </w:r>
    </w:p>
    <w:p>
      <w:pPr>
        <w:spacing w:before="80" w:after="160" w:line="276" w:lineRule="auto"/>
        <w:pBdr>
          <w:bottom w:val="single" w:sz="12" w:space="1" w:color="1B365D"/>
        </w:pBdr>
      </w:pPr>
    </w:p>
    <w:p>
      <w:pPr>
        <w:spacing w:before="320" w:after="160" w:line="276" w:lineRule="auto"/>
        <w:pBdr>
          <w:bottom w:val="single" w:sz="12" w:space="1" w:color="1B365D"/>
        </w:pBdr>
      </w:pPr>
      <w:r>
        <w:rPr>
          <w:rFonts w:ascii="Calibri" w:hAnsi="Calibri" w:eastAsia="微软雅黑"/>
          <w:b/>
          <w:i w:val="0"/>
          <w:color w:val="1B365D"/>
          <w:sz w:val="32"/>
        </w:rPr>
        <w:t>附录A 关键数据一览（截至2025年末，除注明外）</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1B365D" w:val="clear"/>
          </w:tcPr>
          <w:p>
            <w:pPr>
              <w:spacing w:before="40" w:after="40" w:line="259" w:lineRule="auto"/>
            </w:pPr>
            <w:r/>
            <w:r>
              <w:rPr>
                <w:rFonts w:ascii="Calibri" w:hAnsi="Calibri" w:eastAsia="微软雅黑"/>
                <w:b/>
                <w:i w:val="0"/>
                <w:color w:val="FFFFFF"/>
                <w:sz w:val="20"/>
              </w:rPr>
              <w:t>项目</w:t>
            </w:r>
          </w:p>
        </w:tc>
        <w:tc>
          <w:tcPr>
            <w:tcW w:type="dxa" w:w="3137"/>
            <w:shd w:fill="1B365D" w:val="clear"/>
          </w:tcPr>
          <w:p>
            <w:pPr>
              <w:spacing w:before="40" w:after="40" w:line="259" w:lineRule="auto"/>
            </w:pPr>
            <w:r/>
            <w:r>
              <w:rPr>
                <w:rFonts w:ascii="Calibri" w:hAnsi="Calibri" w:eastAsia="微软雅黑"/>
                <w:b/>
                <w:i w:val="0"/>
                <w:color w:val="FFFFFF"/>
                <w:sz w:val="20"/>
              </w:rPr>
              <w:t>数值</w:t>
            </w:r>
          </w:p>
        </w:tc>
        <w:tc>
          <w:tcPr>
            <w:tcW w:type="dxa" w:w="3137"/>
            <w:shd w:fill="1B365D" w:val="clear"/>
          </w:tcPr>
          <w:p>
            <w:pPr>
              <w:spacing w:before="40" w:after="40" w:line="259" w:lineRule="auto"/>
            </w:pPr>
            <w:r/>
            <w:r>
              <w:rPr>
                <w:rFonts w:ascii="Calibri" w:hAnsi="Calibri" w:eastAsia="微软雅黑"/>
                <w:b/>
                <w:i w:val="0"/>
                <w:color w:val="FFFFFF"/>
                <w:sz w:val="20"/>
              </w:rPr>
              <w:t>出处</w:t>
            </w:r>
          </w:p>
        </w:tc>
      </w:tr>
      <w:tr>
        <w:tc>
          <w:tcPr>
            <w:tcW w:type="dxa" w:w="3137"/>
            <w:shd w:fill="FFFFFF" w:val="clear"/>
          </w:tcPr>
          <w:p>
            <w:pPr>
              <w:spacing w:before="40" w:after="40" w:line="259" w:lineRule="auto"/>
            </w:pPr>
            <w:r/>
            <w:r>
              <w:rPr>
                <w:rFonts w:ascii="Calibri" w:hAnsi="Calibri" w:eastAsia="微软雅黑"/>
                <w:b w:val="0"/>
                <w:i w:val="0"/>
                <w:color w:val="1A1A1A"/>
                <w:sz w:val="20"/>
              </w:rPr>
              <w:t>债券市场托管余额</w:t>
            </w:r>
          </w:p>
        </w:tc>
        <w:tc>
          <w:tcPr>
            <w:tcW w:type="dxa" w:w="3137"/>
            <w:shd w:fill="FFFFFF" w:val="clear"/>
          </w:tcPr>
          <w:p>
            <w:pPr>
              <w:spacing w:before="40" w:after="40" w:line="259" w:lineRule="auto"/>
            </w:pPr>
            <w:r/>
            <w:r>
              <w:rPr>
                <w:rFonts w:ascii="Calibri" w:hAnsi="Calibri" w:eastAsia="微软雅黑"/>
                <w:b w:val="0"/>
                <w:i w:val="0"/>
                <w:color w:val="1A1A1A"/>
                <w:sz w:val="20"/>
              </w:rPr>
              <w:t>196.7万亿元</w:t>
            </w:r>
          </w:p>
        </w:tc>
        <w:tc>
          <w:tcPr>
            <w:tcW w:type="dxa" w:w="3137"/>
            <w:shd w:fill="FFFFFF" w:val="clear"/>
          </w:tcPr>
          <w:p>
            <w:pPr>
              <w:spacing w:before="40" w:after="40" w:line="259" w:lineRule="auto"/>
            </w:pPr>
            <w:r/>
            <w:r>
              <w:rPr>
                <w:rFonts w:ascii="Calibri" w:hAnsi="Calibri" w:eastAsia="微软雅黑"/>
                <w:b w:val="0"/>
                <w:i w:val="0"/>
                <w:color w:val="1A1A1A"/>
                <w:sz w:val="20"/>
              </w:rPr>
              <w:t>人民银行</w:t>
            </w:r>
          </w:p>
        </w:tc>
      </w:tr>
      <w:tr>
        <w:tc>
          <w:tcPr>
            <w:tcW w:type="dxa" w:w="3137"/>
            <w:shd w:fill="F4F1EC" w:val="clear"/>
          </w:tcPr>
          <w:p>
            <w:pPr>
              <w:spacing w:before="40" w:after="40" w:line="259" w:lineRule="auto"/>
            </w:pPr>
            <w:r/>
            <w:r>
              <w:rPr>
                <w:rFonts w:ascii="Calibri" w:hAnsi="Calibri" w:eastAsia="微软雅黑"/>
                <w:b w:val="0"/>
                <w:i w:val="0"/>
                <w:color w:val="1A1A1A"/>
                <w:sz w:val="20"/>
              </w:rPr>
              <w:t>其中：境外机构托管</w:t>
            </w:r>
          </w:p>
        </w:tc>
        <w:tc>
          <w:tcPr>
            <w:tcW w:type="dxa" w:w="3137"/>
            <w:shd w:fill="F4F1EC" w:val="clear"/>
          </w:tcPr>
          <w:p>
            <w:pPr>
              <w:spacing w:before="40" w:after="40" w:line="259" w:lineRule="auto"/>
            </w:pPr>
            <w:r/>
            <w:r>
              <w:rPr>
                <w:rFonts w:ascii="Calibri" w:hAnsi="Calibri" w:eastAsia="微软雅黑"/>
                <w:b w:val="0"/>
                <w:i w:val="0"/>
                <w:color w:val="1A1A1A"/>
                <w:sz w:val="20"/>
              </w:rPr>
              <w:t>3.5万亿元（占1.8%）</w:t>
            </w:r>
          </w:p>
        </w:tc>
        <w:tc>
          <w:tcPr>
            <w:tcW w:type="dxa" w:w="3137"/>
            <w:shd w:fill="F4F1EC" w:val="clear"/>
          </w:tcPr>
          <w:p>
            <w:pPr>
              <w:spacing w:before="40" w:after="40" w:line="259" w:lineRule="auto"/>
            </w:pPr>
            <w:r/>
            <w:r>
              <w:rPr>
                <w:rFonts w:ascii="Calibri" w:hAnsi="Calibri" w:eastAsia="微软雅黑"/>
                <w:b w:val="0"/>
                <w:i w:val="0"/>
                <w:color w:val="1A1A1A"/>
                <w:sz w:val="20"/>
              </w:rPr>
              <w:t>人民银行</w:t>
            </w:r>
          </w:p>
        </w:tc>
      </w:tr>
      <w:tr>
        <w:tc>
          <w:tcPr>
            <w:tcW w:type="dxa" w:w="3137"/>
            <w:shd w:fill="FFFFFF" w:val="clear"/>
          </w:tcPr>
          <w:p>
            <w:pPr>
              <w:spacing w:before="40" w:after="40" w:line="259" w:lineRule="auto"/>
            </w:pPr>
            <w:r/>
            <w:r>
              <w:rPr>
                <w:rFonts w:ascii="Calibri" w:hAnsi="Calibri" w:eastAsia="微软雅黑"/>
                <w:b w:val="0"/>
                <w:i w:val="0"/>
                <w:color w:val="1A1A1A"/>
                <w:sz w:val="20"/>
              </w:rPr>
              <w:t>现券成交</w:t>
            </w:r>
          </w:p>
        </w:tc>
        <w:tc>
          <w:tcPr>
            <w:tcW w:type="dxa" w:w="3137"/>
            <w:shd w:fill="FFFFFF" w:val="clear"/>
          </w:tcPr>
          <w:p>
            <w:pPr>
              <w:spacing w:before="40" w:after="40" w:line="259" w:lineRule="auto"/>
            </w:pPr>
            <w:r/>
            <w:r>
              <w:rPr>
                <w:rFonts w:ascii="Calibri" w:hAnsi="Calibri" w:eastAsia="微软雅黑"/>
                <w:b w:val="0"/>
                <w:i w:val="0"/>
                <w:color w:val="1A1A1A"/>
                <w:sz w:val="20"/>
              </w:rPr>
              <w:t>425.3万亿元</w:t>
            </w:r>
          </w:p>
        </w:tc>
        <w:tc>
          <w:tcPr>
            <w:tcW w:type="dxa" w:w="3137"/>
            <w:shd w:fill="FFFFFF" w:val="clear"/>
          </w:tcPr>
          <w:p>
            <w:pPr>
              <w:spacing w:before="40" w:after="40" w:line="259" w:lineRule="auto"/>
            </w:pPr>
            <w:r/>
            <w:r>
              <w:rPr>
                <w:rFonts w:ascii="Calibri" w:hAnsi="Calibri" w:eastAsia="微软雅黑"/>
                <w:b w:val="0"/>
                <w:i w:val="0"/>
                <w:color w:val="1A1A1A"/>
                <w:sz w:val="20"/>
              </w:rPr>
              <w:t>人民银行</w:t>
            </w:r>
          </w:p>
        </w:tc>
      </w:tr>
      <w:tr>
        <w:tc>
          <w:tcPr>
            <w:tcW w:type="dxa" w:w="3137"/>
            <w:shd w:fill="F4F1EC" w:val="clear"/>
          </w:tcPr>
          <w:p>
            <w:pPr>
              <w:spacing w:before="40" w:after="40" w:line="259" w:lineRule="auto"/>
            </w:pPr>
            <w:r/>
            <w:r>
              <w:rPr>
                <w:rFonts w:ascii="Calibri" w:hAnsi="Calibri" w:eastAsia="微软雅黑"/>
                <w:b w:val="0"/>
                <w:i w:val="0"/>
                <w:color w:val="1A1A1A"/>
                <w:sz w:val="20"/>
              </w:rPr>
              <w:t>10年期国债收益率</w:t>
            </w:r>
          </w:p>
        </w:tc>
        <w:tc>
          <w:tcPr>
            <w:tcW w:type="dxa" w:w="3137"/>
            <w:shd w:fill="F4F1EC" w:val="clear"/>
          </w:tcPr>
          <w:p>
            <w:pPr>
              <w:spacing w:before="40" w:after="40" w:line="259" w:lineRule="auto"/>
            </w:pPr>
            <w:r/>
            <w:r>
              <w:rPr>
                <w:rFonts w:ascii="Calibri" w:hAnsi="Calibri" w:eastAsia="微软雅黑"/>
                <w:b w:val="0"/>
                <w:i w:val="0"/>
                <w:color w:val="1A1A1A"/>
                <w:sz w:val="20"/>
              </w:rPr>
              <w:t>1.85%（2025年末）；约1.7%（2026年8月）</w:t>
            </w:r>
          </w:p>
        </w:tc>
        <w:tc>
          <w:tcPr>
            <w:tcW w:type="dxa" w:w="3137"/>
            <w:shd w:fill="F4F1EC" w:val="clear"/>
          </w:tcPr>
          <w:p>
            <w:pPr>
              <w:spacing w:before="40" w:after="40" w:line="259" w:lineRule="auto"/>
            </w:pPr>
            <w:r/>
            <w:r>
              <w:rPr>
                <w:rFonts w:ascii="Calibri" w:hAnsi="Calibri" w:eastAsia="微软雅黑"/>
                <w:b w:val="0"/>
                <w:i w:val="0"/>
                <w:color w:val="1A1A1A"/>
                <w:sz w:val="20"/>
              </w:rPr>
              <w:t>人民银行；市场报价</w:t>
            </w:r>
          </w:p>
        </w:tc>
      </w:tr>
      <w:tr>
        <w:tc>
          <w:tcPr>
            <w:tcW w:type="dxa" w:w="3137"/>
            <w:shd w:fill="FFFFFF" w:val="clear"/>
          </w:tcPr>
          <w:p>
            <w:pPr>
              <w:spacing w:before="40" w:after="40" w:line="259" w:lineRule="auto"/>
            </w:pPr>
            <w:r/>
            <w:r>
              <w:rPr>
                <w:rFonts w:ascii="Calibri" w:hAnsi="Calibri" w:eastAsia="微软雅黑"/>
                <w:b w:val="0"/>
                <w:i w:val="0"/>
                <w:color w:val="1A1A1A"/>
                <w:sz w:val="20"/>
              </w:rPr>
              <w:t>10年−1年国债利差</w:t>
            </w:r>
          </w:p>
        </w:tc>
        <w:tc>
          <w:tcPr>
            <w:tcW w:type="dxa" w:w="3137"/>
            <w:shd w:fill="FFFFFF" w:val="clear"/>
          </w:tcPr>
          <w:p>
            <w:pPr>
              <w:spacing w:before="40" w:after="40" w:line="259" w:lineRule="auto"/>
            </w:pPr>
            <w:r/>
            <w:r>
              <w:rPr>
                <w:rFonts w:ascii="Calibri" w:hAnsi="Calibri" w:eastAsia="微软雅黑"/>
                <w:b w:val="0"/>
                <w:i w:val="0"/>
                <w:color w:val="1A1A1A"/>
                <w:sz w:val="20"/>
              </w:rPr>
              <w:t>51bp（2025年末）</w:t>
            </w:r>
          </w:p>
        </w:tc>
        <w:tc>
          <w:tcPr>
            <w:tcW w:type="dxa" w:w="3137"/>
            <w:shd w:fill="FFFFFF" w:val="clear"/>
          </w:tcPr>
          <w:p>
            <w:pPr>
              <w:spacing w:before="40" w:after="40" w:line="259" w:lineRule="auto"/>
            </w:pPr>
            <w:r/>
            <w:r>
              <w:rPr>
                <w:rFonts w:ascii="Calibri" w:hAnsi="Calibri" w:eastAsia="微软雅黑"/>
                <w:b w:val="0"/>
                <w:i w:val="0"/>
                <w:color w:val="1A1A1A"/>
                <w:sz w:val="20"/>
              </w:rPr>
              <w:t>人民银行</w:t>
            </w:r>
          </w:p>
        </w:tc>
      </w:tr>
      <w:tr>
        <w:tc>
          <w:tcPr>
            <w:tcW w:type="dxa" w:w="3137"/>
            <w:shd w:fill="F4F1EC" w:val="clear"/>
          </w:tcPr>
          <w:p>
            <w:pPr>
              <w:spacing w:before="40" w:after="40" w:line="259" w:lineRule="auto"/>
            </w:pPr>
            <w:r/>
            <w:r>
              <w:rPr>
                <w:rFonts w:ascii="Calibri" w:hAnsi="Calibri" w:eastAsia="微软雅黑"/>
                <w:b w:val="0"/>
                <w:i w:val="0"/>
                <w:color w:val="1A1A1A"/>
                <w:sz w:val="20"/>
              </w:rPr>
              <w:t>沪深A股总市值</w:t>
            </w:r>
          </w:p>
        </w:tc>
        <w:tc>
          <w:tcPr>
            <w:tcW w:type="dxa" w:w="3137"/>
            <w:shd w:fill="F4F1EC" w:val="clear"/>
          </w:tcPr>
          <w:p>
            <w:pPr>
              <w:spacing w:before="40" w:after="40" w:line="259" w:lineRule="auto"/>
            </w:pPr>
            <w:r/>
            <w:r>
              <w:rPr>
                <w:rFonts w:ascii="Calibri" w:hAnsi="Calibri" w:eastAsia="微软雅黑"/>
                <w:b w:val="0"/>
                <w:i w:val="0"/>
                <w:color w:val="1A1A1A"/>
                <w:sz w:val="20"/>
              </w:rPr>
              <w:t>107.84万亿元</w:t>
            </w:r>
          </w:p>
        </w:tc>
        <w:tc>
          <w:tcPr>
            <w:tcW w:type="dxa" w:w="3137"/>
            <w:shd w:fill="F4F1EC" w:val="clear"/>
          </w:tcPr>
          <w:p>
            <w:pPr>
              <w:spacing w:before="40" w:after="40" w:line="259" w:lineRule="auto"/>
            </w:pPr>
            <w:r/>
            <w:r>
              <w:rPr>
                <w:rFonts w:ascii="Calibri" w:hAnsi="Calibri" w:eastAsia="微软雅黑"/>
                <w:b w:val="0"/>
                <w:i w:val="0"/>
                <w:color w:val="1A1A1A"/>
                <w:sz w:val="20"/>
              </w:rPr>
              <w:t>中国结算</w:t>
            </w:r>
          </w:p>
        </w:tc>
      </w:tr>
      <w:tr>
        <w:tc>
          <w:tcPr>
            <w:tcW w:type="dxa" w:w="3137"/>
            <w:shd w:fill="FFFFFF" w:val="clear"/>
          </w:tcPr>
          <w:p>
            <w:pPr>
              <w:spacing w:before="40" w:after="40" w:line="259" w:lineRule="auto"/>
            </w:pPr>
            <w:r/>
            <w:r>
              <w:rPr>
                <w:rFonts w:ascii="Calibri" w:hAnsi="Calibri" w:eastAsia="微软雅黑"/>
                <w:b w:val="0"/>
                <w:i w:val="0"/>
                <w:color w:val="1A1A1A"/>
                <w:sz w:val="20"/>
              </w:rPr>
              <w:t>上证指数 / 深证成指</w:t>
            </w:r>
          </w:p>
        </w:tc>
        <w:tc>
          <w:tcPr>
            <w:tcW w:type="dxa" w:w="3137"/>
            <w:shd w:fill="FFFFFF" w:val="clear"/>
          </w:tcPr>
          <w:p>
            <w:pPr>
              <w:spacing w:before="40" w:after="40" w:line="259" w:lineRule="auto"/>
            </w:pPr>
            <w:r/>
            <w:r>
              <w:rPr>
                <w:rFonts w:ascii="Calibri" w:hAnsi="Calibri" w:eastAsia="微软雅黑"/>
                <w:b w:val="0"/>
                <w:i w:val="0"/>
                <w:color w:val="1A1A1A"/>
                <w:sz w:val="20"/>
              </w:rPr>
              <w:t>3968.8 / 13525.0，年涨18.4% / 29.9%</w:t>
            </w:r>
          </w:p>
        </w:tc>
        <w:tc>
          <w:tcPr>
            <w:tcW w:type="dxa" w:w="3137"/>
            <w:shd w:fill="FFFFFF" w:val="clear"/>
          </w:tcPr>
          <w:p>
            <w:pPr>
              <w:spacing w:before="40" w:after="40" w:line="259" w:lineRule="auto"/>
            </w:pPr>
            <w:r/>
            <w:r>
              <w:rPr>
                <w:rFonts w:ascii="Calibri" w:hAnsi="Calibri" w:eastAsia="微软雅黑"/>
                <w:b w:val="0"/>
                <w:i w:val="0"/>
                <w:color w:val="1A1A1A"/>
                <w:sz w:val="20"/>
              </w:rPr>
              <w:t>人民银行</w:t>
            </w:r>
          </w:p>
        </w:tc>
      </w:tr>
      <w:tr>
        <w:tc>
          <w:tcPr>
            <w:tcW w:type="dxa" w:w="3137"/>
            <w:shd w:fill="F4F1EC" w:val="clear"/>
          </w:tcPr>
          <w:p>
            <w:pPr>
              <w:spacing w:before="40" w:after="40" w:line="259" w:lineRule="auto"/>
            </w:pPr>
            <w:r/>
            <w:r>
              <w:rPr>
                <w:rFonts w:ascii="Calibri" w:hAnsi="Calibri" w:eastAsia="微软雅黑"/>
                <w:b w:val="0"/>
                <w:i w:val="0"/>
                <w:color w:val="1A1A1A"/>
                <w:sz w:val="20"/>
              </w:rPr>
              <w:t>沪深日均成交</w:t>
            </w:r>
          </w:p>
        </w:tc>
        <w:tc>
          <w:tcPr>
            <w:tcW w:type="dxa" w:w="3137"/>
            <w:shd w:fill="F4F1EC" w:val="clear"/>
          </w:tcPr>
          <w:p>
            <w:pPr>
              <w:spacing w:before="40" w:after="40" w:line="259" w:lineRule="auto"/>
            </w:pPr>
            <w:r/>
            <w:r>
              <w:rPr>
                <w:rFonts w:ascii="Calibri" w:hAnsi="Calibri" w:eastAsia="微软雅黑"/>
                <w:b w:val="0"/>
                <w:i w:val="0"/>
                <w:color w:val="1A1A1A"/>
                <w:sz w:val="20"/>
              </w:rPr>
              <w:t>17045.4亿元（+61.9%）</w:t>
            </w:r>
          </w:p>
        </w:tc>
        <w:tc>
          <w:tcPr>
            <w:tcW w:type="dxa" w:w="3137"/>
            <w:shd w:fill="F4F1EC" w:val="clear"/>
          </w:tcPr>
          <w:p>
            <w:pPr>
              <w:spacing w:before="40" w:after="40" w:line="259" w:lineRule="auto"/>
            </w:pPr>
            <w:r/>
            <w:r>
              <w:rPr>
                <w:rFonts w:ascii="Calibri" w:hAnsi="Calibri" w:eastAsia="微软雅黑"/>
                <w:b w:val="0"/>
                <w:i w:val="0"/>
                <w:color w:val="1A1A1A"/>
                <w:sz w:val="20"/>
              </w:rPr>
              <w:t>人民银行</w:t>
            </w:r>
          </w:p>
        </w:tc>
      </w:tr>
      <w:tr>
        <w:tc>
          <w:tcPr>
            <w:tcW w:type="dxa" w:w="3137"/>
            <w:shd w:fill="FFFFFF" w:val="clear"/>
          </w:tcPr>
          <w:p>
            <w:pPr>
              <w:spacing w:before="40" w:after="40" w:line="259" w:lineRule="auto"/>
            </w:pPr>
            <w:r/>
            <w:r>
              <w:rPr>
                <w:rFonts w:ascii="Calibri" w:hAnsi="Calibri" w:eastAsia="微软雅黑"/>
                <w:b w:val="0"/>
                <w:i w:val="0"/>
                <w:color w:val="1A1A1A"/>
                <w:sz w:val="20"/>
              </w:rPr>
              <w:t>社融存量</w:t>
            </w:r>
          </w:p>
        </w:tc>
        <w:tc>
          <w:tcPr>
            <w:tcW w:type="dxa" w:w="3137"/>
            <w:shd w:fill="FFFFFF" w:val="clear"/>
          </w:tcPr>
          <w:p>
            <w:pPr>
              <w:spacing w:before="40" w:after="40" w:line="259" w:lineRule="auto"/>
            </w:pPr>
            <w:r/>
            <w:r>
              <w:rPr>
                <w:rFonts w:ascii="Calibri" w:hAnsi="Calibri" w:eastAsia="微软雅黑"/>
                <w:b w:val="0"/>
                <w:i w:val="0"/>
                <w:color w:val="1A1A1A"/>
                <w:sz w:val="20"/>
              </w:rPr>
              <w:t>442.12万亿元</w:t>
            </w:r>
          </w:p>
        </w:tc>
        <w:tc>
          <w:tcPr>
            <w:tcW w:type="dxa" w:w="3137"/>
            <w:shd w:fill="FFFFFF" w:val="clear"/>
          </w:tcPr>
          <w:p>
            <w:pPr>
              <w:spacing w:before="40" w:after="40" w:line="259" w:lineRule="auto"/>
            </w:pPr>
            <w:r/>
            <w:r>
              <w:rPr>
                <w:rFonts w:ascii="Calibri" w:hAnsi="Calibri" w:eastAsia="微软雅黑"/>
                <w:b w:val="0"/>
                <w:i w:val="0"/>
                <w:color w:val="1A1A1A"/>
                <w:sz w:val="20"/>
              </w:rPr>
              <w:t>人民银行</w:t>
            </w:r>
          </w:p>
        </w:tc>
      </w:tr>
      <w:tr>
        <w:tc>
          <w:tcPr>
            <w:tcW w:type="dxa" w:w="3137"/>
            <w:shd w:fill="F4F1EC" w:val="clear"/>
          </w:tcPr>
          <w:p>
            <w:pPr>
              <w:spacing w:before="40" w:after="40" w:line="259" w:lineRule="auto"/>
            </w:pPr>
            <w:r/>
            <w:r>
              <w:rPr>
                <w:rFonts w:ascii="Calibri" w:hAnsi="Calibri" w:eastAsia="微软雅黑"/>
                <w:b w:val="0"/>
                <w:i w:val="0"/>
                <w:color w:val="1A1A1A"/>
                <w:sz w:val="20"/>
              </w:rPr>
              <w:t>人民币贷款 / 政府债券 / 企业债 / 股票占社融</w:t>
            </w:r>
          </w:p>
        </w:tc>
        <w:tc>
          <w:tcPr>
            <w:tcW w:type="dxa" w:w="3137"/>
            <w:shd w:fill="F4F1EC" w:val="clear"/>
          </w:tcPr>
          <w:p>
            <w:pPr>
              <w:spacing w:before="40" w:after="40" w:line="259" w:lineRule="auto"/>
            </w:pPr>
            <w:r/>
            <w:r>
              <w:rPr>
                <w:rFonts w:ascii="Calibri" w:hAnsi="Calibri" w:eastAsia="微软雅黑"/>
                <w:b w:val="0"/>
                <w:i w:val="0"/>
                <w:color w:val="1A1A1A"/>
                <w:sz w:val="20"/>
              </w:rPr>
              <w:t>60.7% / 21.5% / 7.7% / 2.8%</w:t>
            </w:r>
          </w:p>
        </w:tc>
        <w:tc>
          <w:tcPr>
            <w:tcW w:type="dxa" w:w="3137"/>
            <w:shd w:fill="F4F1EC" w:val="clear"/>
          </w:tcPr>
          <w:p>
            <w:pPr>
              <w:spacing w:before="40" w:after="40" w:line="259" w:lineRule="auto"/>
            </w:pPr>
            <w:r/>
            <w:r>
              <w:rPr>
                <w:rFonts w:ascii="Calibri" w:hAnsi="Calibri" w:eastAsia="微软雅黑"/>
                <w:b w:val="0"/>
                <w:i w:val="0"/>
                <w:color w:val="1A1A1A"/>
                <w:sz w:val="20"/>
              </w:rPr>
              <w:t>人民银行</w:t>
            </w:r>
          </w:p>
        </w:tc>
      </w:tr>
      <w:tr>
        <w:tc>
          <w:tcPr>
            <w:tcW w:type="dxa" w:w="3137"/>
            <w:shd w:fill="FFFFFF" w:val="clear"/>
          </w:tcPr>
          <w:p>
            <w:pPr>
              <w:spacing w:before="40" w:after="40" w:line="259" w:lineRule="auto"/>
            </w:pPr>
            <w:r/>
            <w:r>
              <w:rPr>
                <w:rFonts w:ascii="Calibri" w:hAnsi="Calibri" w:eastAsia="微软雅黑"/>
                <w:b w:val="0"/>
                <w:i w:val="0"/>
                <w:color w:val="1A1A1A"/>
                <w:sz w:val="20"/>
              </w:rPr>
              <w:t>GDP</w:t>
            </w:r>
          </w:p>
        </w:tc>
        <w:tc>
          <w:tcPr>
            <w:tcW w:type="dxa" w:w="3137"/>
            <w:shd w:fill="FFFFFF" w:val="clear"/>
          </w:tcPr>
          <w:p>
            <w:pPr>
              <w:spacing w:before="40" w:after="40" w:line="259" w:lineRule="auto"/>
            </w:pPr>
            <w:r/>
            <w:r>
              <w:rPr>
                <w:rFonts w:ascii="Calibri" w:hAnsi="Calibri" w:eastAsia="微软雅黑"/>
                <w:b w:val="0"/>
                <w:i w:val="0"/>
                <w:color w:val="1A1A1A"/>
                <w:sz w:val="20"/>
              </w:rPr>
              <w:t>140.19万亿元</w:t>
            </w:r>
          </w:p>
        </w:tc>
        <w:tc>
          <w:tcPr>
            <w:tcW w:type="dxa" w:w="3137"/>
            <w:shd w:fill="FFFFFF" w:val="clear"/>
          </w:tcPr>
          <w:p>
            <w:pPr>
              <w:spacing w:before="40" w:after="40" w:line="259" w:lineRule="auto"/>
            </w:pPr>
            <w:r/>
            <w:r>
              <w:rPr>
                <w:rFonts w:ascii="Calibri" w:hAnsi="Calibri" w:eastAsia="微软雅黑"/>
                <w:b w:val="0"/>
                <w:i w:val="0"/>
                <w:color w:val="1A1A1A"/>
                <w:sz w:val="20"/>
              </w:rPr>
              <w:t>国家统计局</w:t>
            </w:r>
          </w:p>
        </w:tc>
      </w:tr>
      <w:tr>
        <w:tc>
          <w:tcPr>
            <w:tcW w:type="dxa" w:w="3137"/>
            <w:shd w:fill="F4F1EC" w:val="clear"/>
          </w:tcPr>
          <w:p>
            <w:pPr>
              <w:spacing w:before="40" w:after="40" w:line="259" w:lineRule="auto"/>
            </w:pPr>
            <w:r/>
            <w:r>
              <w:rPr>
                <w:rFonts w:ascii="Calibri" w:hAnsi="Calibri" w:eastAsia="微软雅黑"/>
                <w:b w:val="0"/>
                <w:i w:val="0"/>
                <w:color w:val="1A1A1A"/>
                <w:sz w:val="20"/>
              </w:rPr>
              <w:t>A股21年年化收益 / 波动</w:t>
            </w:r>
          </w:p>
        </w:tc>
        <w:tc>
          <w:tcPr>
            <w:tcW w:type="dxa" w:w="3137"/>
            <w:shd w:fill="F4F1EC" w:val="clear"/>
          </w:tcPr>
          <w:p>
            <w:pPr>
              <w:spacing w:before="40" w:after="40" w:line="259" w:lineRule="auto"/>
            </w:pPr>
            <w:r/>
            <w:r>
              <w:rPr>
                <w:rFonts w:ascii="Calibri" w:hAnsi="Calibri" w:eastAsia="微软雅黑"/>
                <w:b w:val="0"/>
                <w:i w:val="0"/>
                <w:color w:val="1A1A1A"/>
                <w:sz w:val="20"/>
              </w:rPr>
              <w:t>10.40% / 54.10%</w:t>
            </w:r>
          </w:p>
        </w:tc>
        <w:tc>
          <w:tcPr>
            <w:tcW w:type="dxa" w:w="3137"/>
            <w:shd w:fill="F4F1EC" w:val="clear"/>
          </w:tcPr>
          <w:p>
            <w:pPr>
              <w:spacing w:before="40" w:after="40" w:line="259" w:lineRule="auto"/>
            </w:pPr>
            <w:r/>
            <w:r>
              <w:rPr>
                <w:rFonts w:ascii="Calibri" w:hAnsi="Calibri" w:eastAsia="微软雅黑"/>
                <w:b w:val="0"/>
                <w:i w:val="0"/>
                <w:color w:val="1A1A1A"/>
                <w:sz w:val="20"/>
              </w:rPr>
              <w:t>有知有行SBBI</w:t>
            </w:r>
          </w:p>
        </w:tc>
      </w:tr>
      <w:tr>
        <w:tc>
          <w:tcPr>
            <w:tcW w:type="dxa" w:w="3137"/>
            <w:shd w:fill="FFFFFF" w:val="clear"/>
          </w:tcPr>
          <w:p>
            <w:pPr>
              <w:spacing w:before="40" w:after="40" w:line="259" w:lineRule="auto"/>
            </w:pPr>
            <w:r/>
            <w:r>
              <w:rPr>
                <w:rFonts w:ascii="Calibri" w:hAnsi="Calibri" w:eastAsia="微软雅黑"/>
                <w:b w:val="0"/>
                <w:i w:val="0"/>
                <w:color w:val="1A1A1A"/>
                <w:sz w:val="20"/>
              </w:rPr>
              <w:t>长期国债21年年化收益 / 波动</w:t>
            </w:r>
          </w:p>
        </w:tc>
        <w:tc>
          <w:tcPr>
            <w:tcW w:type="dxa" w:w="3137"/>
            <w:shd w:fill="FFFFFF" w:val="clear"/>
          </w:tcPr>
          <w:p>
            <w:pPr>
              <w:spacing w:before="40" w:after="40" w:line="259" w:lineRule="auto"/>
            </w:pPr>
            <w:r/>
            <w:r>
              <w:rPr>
                <w:rFonts w:ascii="Calibri" w:hAnsi="Calibri" w:eastAsia="微软雅黑"/>
                <w:b w:val="0"/>
                <w:i w:val="0"/>
                <w:color w:val="1A1A1A"/>
                <w:sz w:val="20"/>
              </w:rPr>
              <w:t>4.36% / 6.16%</w:t>
            </w:r>
          </w:p>
        </w:tc>
        <w:tc>
          <w:tcPr>
            <w:tcW w:type="dxa" w:w="3137"/>
            <w:shd w:fill="FFFFFF" w:val="clear"/>
          </w:tcPr>
          <w:p>
            <w:pPr>
              <w:spacing w:before="40" w:after="40" w:line="259" w:lineRule="auto"/>
            </w:pPr>
            <w:r/>
            <w:r>
              <w:rPr>
                <w:rFonts w:ascii="Calibri" w:hAnsi="Calibri" w:eastAsia="微软雅黑"/>
                <w:b w:val="0"/>
                <w:i w:val="0"/>
                <w:color w:val="1A1A1A"/>
                <w:sz w:val="20"/>
              </w:rPr>
              <w:t>有知有行SBBI</w:t>
            </w:r>
          </w:p>
        </w:tc>
      </w:tr>
      <w:tr>
        <w:tc>
          <w:tcPr>
            <w:tcW w:type="dxa" w:w="3137"/>
            <w:shd w:fill="F4F1EC" w:val="clear"/>
          </w:tcPr>
          <w:p>
            <w:pPr>
              <w:spacing w:before="40" w:after="40" w:line="259" w:lineRule="auto"/>
            </w:pPr>
            <w:r/>
            <w:r>
              <w:rPr>
                <w:rFonts w:ascii="Calibri" w:hAnsi="Calibri" w:eastAsia="微软雅黑"/>
                <w:b w:val="0"/>
                <w:i w:val="0"/>
                <w:color w:val="1A1A1A"/>
                <w:sz w:val="20"/>
              </w:rPr>
              <w:t>沪深300 PE-TTM / 股息率</w:t>
            </w:r>
          </w:p>
        </w:tc>
        <w:tc>
          <w:tcPr>
            <w:tcW w:type="dxa" w:w="3137"/>
            <w:shd w:fill="F4F1EC" w:val="clear"/>
          </w:tcPr>
          <w:p>
            <w:pPr>
              <w:spacing w:before="40" w:after="40" w:line="259" w:lineRule="auto"/>
            </w:pPr>
            <w:r/>
            <w:r>
              <w:rPr>
                <w:rFonts w:ascii="Calibri" w:hAnsi="Calibri" w:eastAsia="微软雅黑"/>
                <w:b w:val="0"/>
                <w:i w:val="0"/>
                <w:color w:val="1A1A1A"/>
                <w:sz w:val="20"/>
              </w:rPr>
              <w:t>约14.3倍 / 约2.6%（2026年8月中）</w:t>
            </w:r>
          </w:p>
        </w:tc>
        <w:tc>
          <w:tcPr>
            <w:tcW w:type="dxa" w:w="3137"/>
            <w:shd w:fill="F4F1EC" w:val="clear"/>
          </w:tcPr>
          <w:p>
            <w:pPr>
              <w:spacing w:before="40" w:after="40" w:line="259" w:lineRule="auto"/>
            </w:pPr>
            <w:r/>
            <w:r>
              <w:rPr>
                <w:rFonts w:ascii="Calibri" w:hAnsi="Calibri" w:eastAsia="微软雅黑"/>
                <w:b w:val="0"/>
                <w:i w:val="0"/>
                <w:color w:val="1A1A1A"/>
                <w:sz w:val="20"/>
              </w:rPr>
              <w:t>第三方估值，须核验</w:t>
            </w:r>
          </w:p>
        </w:tc>
      </w:tr>
    </w:tbl>
    <w:p/>
    <w:p>
      <w:pPr>
        <w:spacing w:before="320" w:after="160" w:line="276" w:lineRule="auto"/>
        <w:pBdr>
          <w:bottom w:val="single" w:sz="12" w:space="1" w:color="1B365D"/>
        </w:pBdr>
      </w:pPr>
      <w:r>
        <w:rPr>
          <w:rFonts w:ascii="Calibri" w:hAnsi="Calibri" w:eastAsia="微软雅黑"/>
          <w:b/>
          <w:i w:val="0"/>
          <w:color w:val="1B365D"/>
          <w:sz w:val="32"/>
        </w:rPr>
        <w:t>附录B 术语表</w:t>
      </w:r>
    </w:p>
    <w:tbl>
      <w:tblPr>
        <w:tblStyle w:val="TableGrid"/>
        <w:tblW w:type="auto" w:w="0"/>
        <w:tblLayout w:type="autofit"/>
        <w:tblLook w:firstColumn="1" w:firstRow="1" w:lastColumn="0" w:lastRow="0" w:noHBand="0" w:noVBand="1" w:val="04A0"/>
      </w:tblPr>
      <w:tblGrid>
        <w:gridCol w:w="4706"/>
        <w:gridCol w:w="4706"/>
      </w:tblGrid>
      <w:tr>
        <w:tc>
          <w:tcPr>
            <w:tcW w:type="dxa" w:w="4706"/>
            <w:shd w:fill="1B365D" w:val="clear"/>
          </w:tcPr>
          <w:p>
            <w:pPr>
              <w:spacing w:before="40" w:after="40" w:line="259" w:lineRule="auto"/>
            </w:pPr>
            <w:r/>
            <w:r>
              <w:rPr>
                <w:rFonts w:ascii="Calibri" w:hAnsi="Calibri" w:eastAsia="微软雅黑"/>
                <w:b/>
                <w:i w:val="0"/>
                <w:color w:val="FFFFFF"/>
                <w:sz w:val="20"/>
              </w:rPr>
              <w:t>术语</w:t>
            </w:r>
          </w:p>
        </w:tc>
        <w:tc>
          <w:tcPr>
            <w:tcW w:type="dxa" w:w="4706"/>
            <w:shd w:fill="1B365D" w:val="clear"/>
          </w:tcPr>
          <w:p>
            <w:pPr>
              <w:spacing w:before="40" w:after="40" w:line="259" w:lineRule="auto"/>
            </w:pPr>
            <w:r/>
            <w:r>
              <w:rPr>
                <w:rFonts w:ascii="Calibri" w:hAnsi="Calibri" w:eastAsia="微软雅黑"/>
                <w:b/>
                <w:i w:val="0"/>
                <w:color w:val="FFFFFF"/>
                <w:sz w:val="20"/>
              </w:rPr>
              <w:t>含义</w:t>
            </w:r>
          </w:p>
        </w:tc>
      </w:tr>
      <w:tr>
        <w:tc>
          <w:tcPr>
            <w:tcW w:type="dxa" w:w="4706"/>
            <w:shd w:fill="FFFFFF" w:val="clear"/>
          </w:tcPr>
          <w:p>
            <w:pPr>
              <w:spacing w:before="40" w:after="40" w:line="259" w:lineRule="auto"/>
            </w:pPr>
            <w:r/>
            <w:r>
              <w:rPr>
                <w:rFonts w:ascii="Calibri" w:hAnsi="Calibri" w:eastAsia="微软雅黑"/>
                <w:b w:val="0"/>
                <w:i w:val="0"/>
                <w:color w:val="1A1A1A"/>
                <w:sz w:val="20"/>
              </w:rPr>
              <w:t>全收益 / 财富指数</w:t>
            </w:r>
          </w:p>
        </w:tc>
        <w:tc>
          <w:tcPr>
            <w:tcW w:type="dxa" w:w="4706"/>
            <w:shd w:fill="FFFFFF" w:val="clear"/>
          </w:tcPr>
          <w:p>
            <w:pPr>
              <w:spacing w:before="40" w:after="40" w:line="259" w:lineRule="auto"/>
            </w:pPr>
            <w:r/>
            <w:r>
              <w:rPr>
                <w:rFonts w:ascii="Calibri" w:hAnsi="Calibri" w:eastAsia="微软雅黑"/>
                <w:b w:val="0"/>
                <w:i w:val="0"/>
                <w:color w:val="1A1A1A"/>
                <w:sz w:val="20"/>
              </w:rPr>
              <w:t>把票息或分红再投资后的指数，比较资产必须用它</w:t>
            </w:r>
          </w:p>
        </w:tc>
      </w:tr>
      <w:tr>
        <w:tc>
          <w:tcPr>
            <w:tcW w:type="dxa" w:w="4706"/>
            <w:shd w:fill="F4F1EC" w:val="clear"/>
          </w:tcPr>
          <w:p>
            <w:pPr>
              <w:spacing w:before="40" w:after="40" w:line="259" w:lineRule="auto"/>
            </w:pPr>
            <w:r/>
            <w:r>
              <w:rPr>
                <w:rFonts w:ascii="Calibri" w:hAnsi="Calibri" w:eastAsia="微软雅黑"/>
                <w:b w:val="0"/>
                <w:i w:val="0"/>
                <w:color w:val="1A1A1A"/>
                <w:sz w:val="20"/>
              </w:rPr>
              <w:t>久期</w:t>
            </w:r>
          </w:p>
        </w:tc>
        <w:tc>
          <w:tcPr>
            <w:tcW w:type="dxa" w:w="4706"/>
            <w:shd w:fill="F4F1EC" w:val="clear"/>
          </w:tcPr>
          <w:p>
            <w:pPr>
              <w:spacing w:before="40" w:after="40" w:line="259" w:lineRule="auto"/>
            </w:pPr>
            <w:r/>
            <w:r>
              <w:rPr>
                <w:rFonts w:ascii="Calibri" w:hAnsi="Calibri" w:eastAsia="微软雅黑"/>
                <w:b w:val="0"/>
                <w:i w:val="0"/>
                <w:color w:val="1A1A1A"/>
                <w:sz w:val="20"/>
              </w:rPr>
              <w:t>债券价格对收益率的敏感度</w:t>
            </w:r>
          </w:p>
        </w:tc>
      </w:tr>
      <w:tr>
        <w:tc>
          <w:tcPr>
            <w:tcW w:type="dxa" w:w="4706"/>
            <w:shd w:fill="FFFFFF" w:val="clear"/>
          </w:tcPr>
          <w:p>
            <w:pPr>
              <w:spacing w:before="40" w:after="40" w:line="259" w:lineRule="auto"/>
            </w:pPr>
            <w:r/>
            <w:r>
              <w:rPr>
                <w:rFonts w:ascii="Calibri" w:hAnsi="Calibri" w:eastAsia="微软雅黑"/>
                <w:b w:val="0"/>
                <w:i w:val="0"/>
                <w:color w:val="1A1A1A"/>
                <w:sz w:val="20"/>
              </w:rPr>
              <w:t>ERP / 股债利差</w:t>
            </w:r>
          </w:p>
        </w:tc>
        <w:tc>
          <w:tcPr>
            <w:tcW w:type="dxa" w:w="4706"/>
            <w:shd w:fill="FFFFFF" w:val="clear"/>
          </w:tcPr>
          <w:p>
            <w:pPr>
              <w:spacing w:before="40" w:after="40" w:line="259" w:lineRule="auto"/>
            </w:pPr>
            <w:r/>
            <w:r>
              <w:rPr>
                <w:rFonts w:ascii="Calibri" w:hAnsi="Calibri" w:eastAsia="微软雅黑"/>
                <w:b w:val="0"/>
                <w:i w:val="0"/>
                <w:color w:val="1A1A1A"/>
                <w:sz w:val="20"/>
              </w:rPr>
              <w:t>股票预期收益或盈利收益率相对国债的超额</w:t>
            </w:r>
          </w:p>
        </w:tc>
      </w:tr>
      <w:tr>
        <w:tc>
          <w:tcPr>
            <w:tcW w:type="dxa" w:w="4706"/>
            <w:shd w:fill="F4F1EC" w:val="clear"/>
          </w:tcPr>
          <w:p>
            <w:pPr>
              <w:spacing w:before="40" w:after="40" w:line="259" w:lineRule="auto"/>
            </w:pPr>
            <w:r/>
            <w:r>
              <w:rPr>
                <w:rFonts w:ascii="Calibri" w:hAnsi="Calibri" w:eastAsia="微软雅黑"/>
                <w:b w:val="0"/>
                <w:i w:val="0"/>
                <w:color w:val="1A1A1A"/>
                <w:sz w:val="20"/>
              </w:rPr>
              <w:t>SAA / TAA</w:t>
            </w:r>
          </w:p>
        </w:tc>
        <w:tc>
          <w:tcPr>
            <w:tcW w:type="dxa" w:w="4706"/>
            <w:shd w:fill="F4F1EC" w:val="clear"/>
          </w:tcPr>
          <w:p>
            <w:pPr>
              <w:spacing w:before="40" w:after="40" w:line="259" w:lineRule="auto"/>
            </w:pPr>
            <w:r/>
            <w:r>
              <w:rPr>
                <w:rFonts w:ascii="Calibri" w:hAnsi="Calibri" w:eastAsia="微软雅黑"/>
                <w:b w:val="0"/>
                <w:i w:val="0"/>
                <w:color w:val="1A1A1A"/>
                <w:sz w:val="20"/>
              </w:rPr>
              <w:t>战略 / 战术资产配置</w:t>
            </w:r>
          </w:p>
        </w:tc>
      </w:tr>
      <w:tr>
        <w:tc>
          <w:tcPr>
            <w:tcW w:type="dxa" w:w="4706"/>
            <w:shd w:fill="FFFFFF" w:val="clear"/>
          </w:tcPr>
          <w:p>
            <w:pPr>
              <w:spacing w:before="40" w:after="40" w:line="259" w:lineRule="auto"/>
            </w:pPr>
            <w:r/>
            <w:r>
              <w:rPr>
                <w:rFonts w:ascii="Calibri" w:hAnsi="Calibri" w:eastAsia="微软雅黑"/>
                <w:b w:val="0"/>
                <w:i w:val="0"/>
                <w:color w:val="1A1A1A"/>
                <w:sz w:val="20"/>
              </w:rPr>
              <w:t>风险平价</w:t>
            </w:r>
          </w:p>
        </w:tc>
        <w:tc>
          <w:tcPr>
            <w:tcW w:type="dxa" w:w="4706"/>
            <w:shd w:fill="FFFFFF" w:val="clear"/>
          </w:tcPr>
          <w:p>
            <w:pPr>
              <w:spacing w:before="40" w:after="40" w:line="259" w:lineRule="auto"/>
            </w:pPr>
            <w:r/>
            <w:r>
              <w:rPr>
                <w:rFonts w:ascii="Calibri" w:hAnsi="Calibri" w:eastAsia="微软雅黑"/>
                <w:b w:val="0"/>
                <w:i w:val="0"/>
                <w:color w:val="1A1A1A"/>
                <w:sz w:val="20"/>
              </w:rPr>
              <w:t>按风险贡献而不是资本权重配置</w:t>
            </w:r>
          </w:p>
        </w:tc>
      </w:tr>
      <w:tr>
        <w:tc>
          <w:tcPr>
            <w:tcW w:type="dxa" w:w="4706"/>
            <w:shd w:fill="F4F1EC" w:val="clear"/>
          </w:tcPr>
          <w:p>
            <w:pPr>
              <w:spacing w:before="40" w:after="40" w:line="259" w:lineRule="auto"/>
            </w:pPr>
            <w:r/>
            <w:r>
              <w:rPr>
                <w:rFonts w:ascii="Calibri" w:hAnsi="Calibri" w:eastAsia="微软雅黑"/>
                <w:b w:val="0"/>
                <w:i w:val="0"/>
                <w:color w:val="1A1A1A"/>
                <w:sz w:val="20"/>
              </w:rPr>
              <w:t>LDI</w:t>
            </w:r>
          </w:p>
        </w:tc>
        <w:tc>
          <w:tcPr>
            <w:tcW w:type="dxa" w:w="4706"/>
            <w:shd w:fill="F4F1EC" w:val="clear"/>
          </w:tcPr>
          <w:p>
            <w:pPr>
              <w:spacing w:before="40" w:after="40" w:line="259" w:lineRule="auto"/>
            </w:pPr>
            <w:r/>
            <w:r>
              <w:rPr>
                <w:rFonts w:ascii="Calibri" w:hAnsi="Calibri" w:eastAsia="微软雅黑"/>
                <w:b w:val="0"/>
                <w:i w:val="0"/>
                <w:color w:val="1A1A1A"/>
                <w:sz w:val="20"/>
              </w:rPr>
              <w:t>负债驱动投资</w:t>
            </w:r>
          </w:p>
        </w:tc>
      </w:tr>
      <w:tr>
        <w:tc>
          <w:tcPr>
            <w:tcW w:type="dxa" w:w="4706"/>
            <w:shd w:fill="FFFFFF" w:val="clear"/>
          </w:tcPr>
          <w:p>
            <w:pPr>
              <w:spacing w:before="40" w:after="40" w:line="259" w:lineRule="auto"/>
            </w:pPr>
            <w:r/>
            <w:r>
              <w:rPr>
                <w:rFonts w:ascii="Calibri" w:hAnsi="Calibri" w:eastAsia="微软雅黑"/>
                <w:b w:val="0"/>
                <w:i w:val="0"/>
                <w:color w:val="1A1A1A"/>
                <w:sz w:val="20"/>
              </w:rPr>
              <w:t>信用利差</w:t>
            </w:r>
          </w:p>
        </w:tc>
        <w:tc>
          <w:tcPr>
            <w:tcW w:type="dxa" w:w="4706"/>
            <w:shd w:fill="FFFFFF" w:val="clear"/>
          </w:tcPr>
          <w:p>
            <w:pPr>
              <w:spacing w:before="40" w:after="40" w:line="259" w:lineRule="auto"/>
            </w:pPr>
            <w:r/>
            <w:r>
              <w:rPr>
                <w:rFonts w:ascii="Calibri" w:hAnsi="Calibri" w:eastAsia="微软雅黑"/>
                <w:b w:val="0"/>
                <w:i w:val="0"/>
                <w:color w:val="1A1A1A"/>
                <w:sz w:val="20"/>
              </w:rPr>
              <w:t>信用债收益率减同期限利率债</w:t>
            </w:r>
          </w:p>
        </w:tc>
      </w:tr>
      <w:tr>
        <w:tc>
          <w:tcPr>
            <w:tcW w:type="dxa" w:w="4706"/>
            <w:shd w:fill="F4F1EC" w:val="clear"/>
          </w:tcPr>
          <w:p>
            <w:pPr>
              <w:spacing w:before="40" w:after="40" w:line="259" w:lineRule="auto"/>
            </w:pPr>
            <w:r/>
            <w:r>
              <w:rPr>
                <w:rFonts w:ascii="Calibri" w:hAnsi="Calibri" w:eastAsia="微软雅黑"/>
                <w:b w:val="0"/>
                <w:i w:val="0"/>
                <w:color w:val="1A1A1A"/>
                <w:sz w:val="20"/>
              </w:rPr>
              <w:t>刚兑预期</w:t>
            </w:r>
          </w:p>
        </w:tc>
        <w:tc>
          <w:tcPr>
            <w:tcW w:type="dxa" w:w="4706"/>
            <w:shd w:fill="F4F1EC" w:val="clear"/>
          </w:tcPr>
          <w:p>
            <w:pPr>
              <w:spacing w:before="40" w:after="40" w:line="259" w:lineRule="auto"/>
            </w:pPr>
            <w:r/>
            <w:r>
              <w:rPr>
                <w:rFonts w:ascii="Calibri" w:hAnsi="Calibri" w:eastAsia="微软雅黑"/>
                <w:b w:val="0"/>
                <w:i w:val="0"/>
                <w:color w:val="1A1A1A"/>
                <w:sz w:val="20"/>
              </w:rPr>
              <w:t>投资者认为某些债券（如部分城投）会获隐性支持，从而压缩利差</w:t>
            </w:r>
          </w:p>
        </w:tc>
      </w:tr>
      <w:tr>
        <w:tc>
          <w:tcPr>
            <w:tcW w:type="dxa" w:w="4706"/>
            <w:shd w:fill="FFFFFF" w:val="clear"/>
          </w:tcPr>
          <w:p>
            <w:pPr>
              <w:spacing w:before="40" w:after="40" w:line="259" w:lineRule="auto"/>
            </w:pPr>
            <w:r/>
            <w:r>
              <w:rPr>
                <w:rFonts w:ascii="Calibri" w:hAnsi="Calibri" w:eastAsia="微软雅黑"/>
                <w:b w:val="0"/>
                <w:i w:val="0"/>
                <w:color w:val="1A1A1A"/>
                <w:sz w:val="20"/>
              </w:rPr>
              <w:t>资产荒</w:t>
            </w:r>
          </w:p>
        </w:tc>
        <w:tc>
          <w:tcPr>
            <w:tcW w:type="dxa" w:w="4706"/>
            <w:shd w:fill="FFFFFF" w:val="clear"/>
          </w:tcPr>
          <w:p>
            <w:pPr>
              <w:spacing w:before="40" w:after="40" w:line="259" w:lineRule="auto"/>
            </w:pPr>
            <w:r/>
            <w:r>
              <w:rPr>
                <w:rFonts w:ascii="Calibri" w:hAnsi="Calibri" w:eastAsia="微软雅黑"/>
                <w:b w:val="0"/>
                <w:i w:val="0"/>
                <w:color w:val="1A1A1A"/>
                <w:sz w:val="20"/>
              </w:rPr>
              <w:t>合意资产供给不足，配置盘追逐利率债</w:t>
            </w:r>
          </w:p>
        </w:tc>
      </w:tr>
    </w:tbl>
    <w:p/>
    <w:p>
      <w:pPr>
        <w:spacing w:before="320" w:after="160" w:line="276" w:lineRule="auto"/>
        <w:pBdr>
          <w:bottom w:val="single" w:sz="12" w:space="1" w:color="1B365D"/>
        </w:pBdr>
      </w:pPr>
      <w:r>
        <w:rPr>
          <w:rFonts w:ascii="Calibri" w:hAnsi="Calibri" w:eastAsia="微软雅黑"/>
          <w:b/>
          <w:i w:val="0"/>
          <w:color w:val="1B365D"/>
          <w:sz w:val="32"/>
        </w:rPr>
        <w:t>附录C 主要参考文献</w:t>
      </w:r>
    </w:p>
    <w:p>
      <w:pPr>
        <w:spacing w:before="40" w:after="120" w:line="293" w:lineRule="auto"/>
        <w:ind w:firstLine="420"/>
      </w:pPr>
      <w:r>
        <w:rPr>
          <w:rFonts w:ascii="Calibri" w:hAnsi="Calibri" w:eastAsia="微软雅黑"/>
          <w:b/>
          <w:i w:val="0"/>
          <w:color w:val="1B365D"/>
          <w:sz w:val="22"/>
        </w:rPr>
        <w:t>经典理论</w:t>
      </w:r>
    </w:p>
    <w:p>
      <w:pPr>
        <w:pStyle w:val="ListNumber"/>
        <w:spacing w:before="20" w:after="60" w:line="276" w:lineRule="auto"/>
      </w:pPr>
      <w:r>
        <w:rPr>
          <w:rFonts w:ascii="Calibri" w:hAnsi="Calibri" w:eastAsia="微软雅黑"/>
          <w:b w:val="0"/>
          <w:i w:val="0"/>
          <w:color w:val="1A1A1A"/>
          <w:sz w:val="22"/>
        </w:rPr>
        <w:t>Markowitz, H. (1952). Portfolio Selection. *Journal of Finance*.</w:t>
      </w:r>
    </w:p>
    <w:p>
      <w:pPr>
        <w:pStyle w:val="ListNumber"/>
        <w:spacing w:before="20" w:after="60" w:line="276" w:lineRule="auto"/>
      </w:pPr>
      <w:r>
        <w:rPr>
          <w:rFonts w:ascii="Calibri" w:hAnsi="Calibri" w:eastAsia="微软雅黑"/>
          <w:b w:val="0"/>
          <w:i w:val="0"/>
          <w:color w:val="1A1A1A"/>
          <w:sz w:val="22"/>
        </w:rPr>
        <w:t>Sharpe, W. (1964). Capital Asset Prices. *Journal of Finance*.</w:t>
      </w:r>
    </w:p>
    <w:p>
      <w:pPr>
        <w:pStyle w:val="ListNumber"/>
        <w:spacing w:before="20" w:after="60" w:line="276" w:lineRule="auto"/>
      </w:pPr>
      <w:r>
        <w:rPr>
          <w:rFonts w:ascii="Calibri" w:hAnsi="Calibri" w:eastAsia="微软雅黑"/>
          <w:b w:val="0"/>
          <w:i w:val="0"/>
          <w:color w:val="1A1A1A"/>
          <w:sz w:val="22"/>
        </w:rPr>
        <w:t>Merton, R. (1974). On the Pricing of Corporate Debt. *Journal of Finance*.</w:t>
      </w:r>
    </w:p>
    <w:p>
      <w:pPr>
        <w:pStyle w:val="ListNumber"/>
        <w:spacing w:before="20" w:after="60" w:line="276" w:lineRule="auto"/>
      </w:pPr>
      <w:r>
        <w:rPr>
          <w:rFonts w:ascii="Calibri" w:hAnsi="Calibri" w:eastAsia="微软雅黑"/>
          <w:b w:val="0"/>
          <w:i w:val="0"/>
          <w:color w:val="1A1A1A"/>
          <w:sz w:val="22"/>
        </w:rPr>
        <w:t>Campbell, J. &amp; Shiller, R. (1988). The Dividend-Price Ratio and Expectations of Future Dividends and Discount Factors. *Review of Financial Studies*.</w:t>
      </w:r>
    </w:p>
    <w:p>
      <w:pPr>
        <w:pStyle w:val="ListNumber"/>
        <w:spacing w:before="20" w:after="60" w:line="276" w:lineRule="auto"/>
      </w:pPr>
      <w:r>
        <w:rPr>
          <w:rFonts w:ascii="Calibri" w:hAnsi="Calibri" w:eastAsia="微软雅黑"/>
          <w:b w:val="0"/>
          <w:i w:val="0"/>
          <w:color w:val="1A1A1A"/>
          <w:sz w:val="22"/>
        </w:rPr>
        <w:t>Campbell, J. &amp; Ammer, J. (1993). What Moves the Stock and Bond Markets? *Journal of Finance*.</w:t>
      </w:r>
    </w:p>
    <w:p>
      <w:pPr>
        <w:pStyle w:val="ListNumber"/>
        <w:spacing w:before="20" w:after="60" w:line="276" w:lineRule="auto"/>
      </w:pPr>
      <w:r>
        <w:rPr>
          <w:rFonts w:ascii="Calibri" w:hAnsi="Calibri" w:eastAsia="微软雅黑"/>
          <w:b w:val="0"/>
          <w:i w:val="0"/>
          <w:color w:val="1A1A1A"/>
          <w:sz w:val="22"/>
        </w:rPr>
        <w:t>Campbell, J. &amp; Viceira, L. (1999, 2001, 2002). 跨期消费—组合选择与战略配置系列（QJE, AER, JFE）。</w:t>
      </w:r>
    </w:p>
    <w:p>
      <w:pPr>
        <w:pStyle w:val="ListNumber"/>
        <w:spacing w:before="20" w:after="60" w:line="276" w:lineRule="auto"/>
      </w:pPr>
      <w:r>
        <w:rPr>
          <w:rFonts w:ascii="Calibri" w:hAnsi="Calibri" w:eastAsia="微软雅黑"/>
          <w:b w:val="0"/>
          <w:i w:val="0"/>
          <w:color w:val="1A1A1A"/>
          <w:sz w:val="22"/>
        </w:rPr>
        <w:t>Brinson, G., Hood, L. &amp; Beebower, G. (1986). Determinants of Portfolio Performance. *Financial Analysts Journal*.</w:t>
      </w:r>
    </w:p>
    <w:p>
      <w:pPr>
        <w:pStyle w:val="ListNumber"/>
        <w:spacing w:before="20" w:after="60" w:line="276" w:lineRule="auto"/>
      </w:pPr>
      <w:r>
        <w:rPr>
          <w:rFonts w:ascii="Calibri" w:hAnsi="Calibri" w:eastAsia="微软雅黑"/>
          <w:b w:val="0"/>
          <w:i w:val="0"/>
          <w:color w:val="1A1A1A"/>
          <w:sz w:val="22"/>
        </w:rPr>
        <w:t>Ilmanen, A. (2011/2012). *Expected Returns*；CFA Institute Research Foundation, *Expected Returns on Major Asset Classes*.</w:t>
      </w:r>
    </w:p>
    <w:p>
      <w:pPr>
        <w:pStyle w:val="ListNumber"/>
        <w:spacing w:before="20" w:after="60" w:line="276" w:lineRule="auto"/>
      </w:pPr>
      <w:r>
        <w:rPr>
          <w:rFonts w:ascii="Calibri" w:hAnsi="Calibri" w:eastAsia="微软雅黑"/>
          <w:b w:val="0"/>
          <w:i w:val="0"/>
          <w:color w:val="1A1A1A"/>
          <w:sz w:val="22"/>
        </w:rPr>
        <w:t>Ibbotson, R. &amp; Sinquefield, R. (1976起). Stocks, Bonds, Bills, and Inflation.</w:t>
      </w:r>
    </w:p>
    <w:p>
      <w:pPr>
        <w:pStyle w:val="ListNumber"/>
        <w:spacing w:before="20" w:after="60" w:line="276" w:lineRule="auto"/>
      </w:pPr>
      <w:r>
        <w:rPr>
          <w:rFonts w:ascii="Calibri" w:hAnsi="Calibri" w:eastAsia="微软雅黑"/>
          <w:b w:val="0"/>
          <w:i w:val="0"/>
          <w:color w:val="1A1A1A"/>
          <w:sz w:val="22"/>
        </w:rPr>
        <w:t>Damodaran, A. 历年股权风险溢价更新。</w:t>
      </w:r>
    </w:p>
    <w:p>
      <w:pPr>
        <w:pStyle w:val="ListNumber"/>
        <w:spacing w:before="20" w:after="60" w:line="276" w:lineRule="auto"/>
      </w:pPr>
      <w:r>
        <w:rPr>
          <w:rFonts w:ascii="Calibri" w:hAnsi="Calibri" w:eastAsia="微软雅黑"/>
          <w:b w:val="0"/>
          <w:i w:val="0"/>
          <w:color w:val="1A1A1A"/>
          <w:sz w:val="22"/>
        </w:rPr>
        <w:t>Merrill Lynch (2004). *The Investment Clock: Making Money from Macro*.</w:t>
      </w:r>
    </w:p>
    <w:p>
      <w:pPr>
        <w:pStyle w:val="ListNumber"/>
        <w:spacing w:before="20" w:after="60" w:line="276" w:lineRule="auto"/>
      </w:pPr>
      <w:r>
        <w:rPr>
          <w:rFonts w:ascii="Calibri" w:hAnsi="Calibri" w:eastAsia="微软雅黑"/>
          <w:b w:val="0"/>
          <w:i w:val="0"/>
          <w:color w:val="1A1A1A"/>
          <w:sz w:val="22"/>
        </w:rPr>
        <w:t>Maillard, S., Roncalli, T. &amp; Teiletche, J. (2010). The Properties of Equally Weighted Risk Contribution Portfolios.</w:t>
      </w:r>
    </w:p>
    <w:p>
      <w:pPr>
        <w:spacing w:before="40" w:after="120" w:line="293" w:lineRule="auto"/>
        <w:ind w:firstLine="420"/>
      </w:pPr>
      <w:r>
        <w:rPr>
          <w:rFonts w:ascii="Calibri" w:hAnsi="Calibri" w:eastAsia="微软雅黑"/>
          <w:b/>
          <w:i w:val="0"/>
          <w:color w:val="1B365D"/>
          <w:sz w:val="22"/>
        </w:rPr>
        <w:t>中国市场与数据</w:t>
      </w:r>
    </w:p>
    <w:p>
      <w:pPr>
        <w:pStyle w:val="ListNumber"/>
        <w:spacing w:before="20" w:after="60" w:line="276" w:lineRule="auto"/>
      </w:pPr>
      <w:r>
        <w:rPr>
          <w:rFonts w:ascii="Calibri" w:hAnsi="Calibri" w:eastAsia="微软雅黑"/>
          <w:b w:val="0"/>
          <w:i w:val="0"/>
          <w:color w:val="1A1A1A"/>
          <w:sz w:val="22"/>
        </w:rPr>
        <w:t>中国人民银行，《2025年金融市场运行情况》《2025年金融统计数据报告》《2024年金融市场运行情况》。</w:t>
      </w:r>
    </w:p>
    <w:p>
      <w:pPr>
        <w:pStyle w:val="ListNumber"/>
        <w:spacing w:before="20" w:after="60" w:line="276" w:lineRule="auto"/>
      </w:pPr>
      <w:r>
        <w:rPr>
          <w:rFonts w:ascii="Calibri" w:hAnsi="Calibri" w:eastAsia="微软雅黑"/>
          <w:b w:val="0"/>
          <w:i w:val="0"/>
          <w:color w:val="1A1A1A"/>
          <w:sz w:val="22"/>
        </w:rPr>
        <w:t>中国证券登记结算有限责任公司，《中国证券登记结算统计年鉴2025》。</w:t>
      </w:r>
    </w:p>
    <w:p>
      <w:pPr>
        <w:pStyle w:val="ListNumber"/>
        <w:spacing w:before="20" w:after="60" w:line="276" w:lineRule="auto"/>
      </w:pPr>
      <w:r>
        <w:rPr>
          <w:rFonts w:ascii="Calibri" w:hAnsi="Calibri" w:eastAsia="微软雅黑"/>
          <w:b w:val="0"/>
          <w:i w:val="0"/>
          <w:color w:val="1A1A1A"/>
          <w:sz w:val="22"/>
        </w:rPr>
        <w:t>国家统计局，国内生产总值初步核算与最终核实。</w:t>
      </w:r>
    </w:p>
    <w:p>
      <w:pPr>
        <w:pStyle w:val="ListNumber"/>
        <w:spacing w:before="20" w:after="60" w:line="276" w:lineRule="auto"/>
      </w:pPr>
      <w:r>
        <w:rPr>
          <w:rFonts w:ascii="Calibri" w:hAnsi="Calibri" w:eastAsia="微软雅黑"/>
          <w:b w:val="0"/>
          <w:i w:val="0"/>
          <w:color w:val="1A1A1A"/>
          <w:sz w:val="22"/>
        </w:rPr>
        <w:t>中国证券投资基金业协会，《中国证券投资基金业年报2025》。</w:t>
      </w:r>
    </w:p>
    <w:p>
      <w:pPr>
        <w:pStyle w:val="ListNumber"/>
        <w:spacing w:before="20" w:after="60" w:line="276" w:lineRule="auto"/>
      </w:pPr>
      <w:r>
        <w:rPr>
          <w:rFonts w:ascii="Calibri" w:hAnsi="Calibri" w:eastAsia="微软雅黑"/>
          <w:b w:val="0"/>
          <w:i w:val="0"/>
          <w:color w:val="1A1A1A"/>
          <w:sz w:val="22"/>
        </w:rPr>
        <w:t>中央国债登记结算有限责任公司，债券托管与持有人统计。</w:t>
      </w:r>
    </w:p>
    <w:p>
      <w:pPr>
        <w:pStyle w:val="ListNumber"/>
        <w:spacing w:before="20" w:after="60" w:line="276" w:lineRule="auto"/>
      </w:pPr>
      <w:r>
        <w:rPr>
          <w:rFonts w:ascii="Calibri" w:hAnsi="Calibri" w:eastAsia="微软雅黑"/>
          <w:b w:val="0"/>
          <w:i w:val="0"/>
          <w:color w:val="1A1A1A"/>
          <w:sz w:val="22"/>
        </w:rPr>
        <w:t>陈鹏、有知有行，《中国大类资产投资2025年报》（SBBI框架）。</w:t>
      </w:r>
    </w:p>
    <w:p>
      <w:pPr>
        <w:pStyle w:val="ListNumber"/>
        <w:spacing w:before="20" w:after="60" w:line="276" w:lineRule="auto"/>
      </w:pPr>
      <w:r>
        <w:rPr>
          <w:rFonts w:ascii="Calibri" w:hAnsi="Calibri" w:eastAsia="微软雅黑"/>
          <w:b w:val="0"/>
          <w:i w:val="0"/>
          <w:color w:val="1A1A1A"/>
          <w:sz w:val="22"/>
        </w:rPr>
        <w:t>世界银行 WDI：私人部门信贷/GDP、股票市值/GDP。</w:t>
      </w:r>
    </w:p>
    <w:p>
      <w:pPr>
        <w:pStyle w:val="ListNumber"/>
        <w:spacing w:before="20" w:after="60" w:line="276" w:lineRule="auto"/>
      </w:pPr>
      <w:r>
        <w:rPr>
          <w:rFonts w:ascii="Calibri" w:hAnsi="Calibri" w:eastAsia="微软雅黑"/>
          <w:b w:val="0"/>
          <w:i w:val="0"/>
          <w:color w:val="1A1A1A"/>
          <w:sz w:val="22"/>
        </w:rPr>
        <w:t>Demirgüç-Kunt, A. &amp; Levine, R. 银行主导与市场主导金融结构的系列研究。</w:t>
      </w:r>
    </w:p>
    <w:p>
      <w:pPr>
        <w:spacing w:before="40" w:after="120" w:line="293" w:lineRule="auto"/>
        <w:ind w:firstLine="420"/>
      </w:pPr>
      <w:r>
        <w:rPr>
          <w:rFonts w:ascii="Calibri" w:hAnsi="Calibri" w:eastAsia="微软雅黑"/>
          <w:b/>
          <w:i w:val="0"/>
          <w:color w:val="1B365D"/>
          <w:sz w:val="22"/>
        </w:rPr>
        <w:t>卖方、外资与学术补充</w:t>
      </w:r>
    </w:p>
    <w:p>
      <w:pPr>
        <w:pStyle w:val="ListNumber"/>
        <w:spacing w:before="20" w:after="60" w:line="276" w:lineRule="auto"/>
      </w:pPr>
      <w:r>
        <w:rPr>
          <w:rFonts w:ascii="Calibri" w:hAnsi="Calibri" w:eastAsia="微软雅黑"/>
          <w:b w:val="0"/>
          <w:i w:val="0"/>
          <w:color w:val="1A1A1A"/>
          <w:sz w:val="22"/>
        </w:rPr>
        <w:t>申万宏源，《中国特色债券市场系列：由政府信用和银行资金搭建的中国债券市场》。</w:t>
      </w:r>
    </w:p>
    <w:p>
      <w:pPr>
        <w:pStyle w:val="ListNumber"/>
        <w:spacing w:before="20" w:after="60" w:line="276" w:lineRule="auto"/>
      </w:pPr>
      <w:r>
        <w:rPr>
          <w:rFonts w:ascii="Calibri" w:hAnsi="Calibri" w:eastAsia="微软雅黑"/>
          <w:b w:val="0"/>
          <w:i w:val="0"/>
          <w:color w:val="1A1A1A"/>
          <w:sz w:val="22"/>
        </w:rPr>
        <w:t>财信证券，《如何看待股债相关性的变化》。</w:t>
      </w:r>
    </w:p>
    <w:p>
      <w:pPr>
        <w:pStyle w:val="ListNumber"/>
        <w:spacing w:before="20" w:after="60" w:line="276" w:lineRule="auto"/>
      </w:pPr>
      <w:r>
        <w:rPr>
          <w:rFonts w:ascii="Calibri" w:hAnsi="Calibri" w:eastAsia="微软雅黑"/>
          <w:b w:val="0"/>
          <w:i w:val="0"/>
          <w:color w:val="1A1A1A"/>
          <w:sz w:val="22"/>
        </w:rPr>
        <w:t>国金证券，《基于宏观因子风险预算的资产配置策略》。</w:t>
      </w:r>
    </w:p>
    <w:p>
      <w:pPr>
        <w:pStyle w:val="ListNumber"/>
        <w:spacing w:before="20" w:after="60" w:line="276" w:lineRule="auto"/>
      </w:pPr>
      <w:r>
        <w:rPr>
          <w:rFonts w:ascii="Calibri" w:hAnsi="Calibri" w:eastAsia="微软雅黑"/>
          <w:b w:val="0"/>
          <w:i w:val="0"/>
          <w:color w:val="1A1A1A"/>
          <w:sz w:val="22"/>
        </w:rPr>
        <w:t>Chen, Q. 等 (2025). What drives the synchrony and asynchrony between China’s stock and bond markets? *International Review of Economics &amp; Finance*.</w:t>
      </w:r>
    </w:p>
    <w:p>
      <w:pPr>
        <w:pStyle w:val="ListNumber"/>
        <w:spacing w:before="20" w:after="60" w:line="276" w:lineRule="auto"/>
      </w:pPr>
      <w:r>
        <w:rPr>
          <w:rFonts w:ascii="Calibri" w:hAnsi="Calibri" w:eastAsia="微软雅黑"/>
          <w:b w:val="0"/>
          <w:i w:val="0"/>
          <w:color w:val="1A1A1A"/>
          <w:sz w:val="22"/>
        </w:rPr>
        <w:t>Eurizon SLJ Capital (2025). *China: RMB Bonds and Equities: 2025 Outlook*.</w:t>
      </w:r>
    </w:p>
    <w:p>
      <w:pPr>
        <w:pStyle w:val="ListNumber"/>
        <w:spacing w:before="20" w:after="60" w:line="276" w:lineRule="auto"/>
      </w:pPr>
      <w:r>
        <w:rPr>
          <w:rFonts w:ascii="Calibri" w:hAnsi="Calibri" w:eastAsia="微软雅黑"/>
          <w:b w:val="0"/>
          <w:i w:val="0"/>
          <w:color w:val="1A1A1A"/>
          <w:sz w:val="22"/>
        </w:rPr>
        <w:t>Allianz Global Investors, *Ten Reasons to Reconsider China Equities*.</w:t>
      </w:r>
    </w:p>
    <w:p>
      <w:pPr>
        <w:pStyle w:val="ListNumber"/>
        <w:spacing w:before="20" w:after="60" w:line="276" w:lineRule="auto"/>
      </w:pPr>
      <w:r>
        <w:rPr>
          <w:rFonts w:ascii="Calibri" w:hAnsi="Calibri" w:eastAsia="微软雅黑"/>
          <w:b w:val="0"/>
          <w:i w:val="0"/>
          <w:color w:val="1A1A1A"/>
          <w:sz w:val="22"/>
        </w:rPr>
        <w:t>BlackRock, *Unleash the potential of China bonds*.</w:t>
      </w:r>
    </w:p>
    <w:p>
      <w:pPr>
        <w:pStyle w:val="ListNumber"/>
        <w:spacing w:before="20" w:after="60" w:line="276" w:lineRule="auto"/>
      </w:pPr>
      <w:r>
        <w:rPr>
          <w:rFonts w:ascii="Calibri" w:hAnsi="Calibri" w:eastAsia="微软雅黑"/>
          <w:b w:val="0"/>
          <w:i w:val="0"/>
          <w:color w:val="1A1A1A"/>
          <w:sz w:val="22"/>
        </w:rPr>
        <w:t>Vanguard, *Understanding the dynamics of stock/bond correlations*.</w:t>
      </w:r>
    </w:p>
    <w:p>
      <w:pPr>
        <w:spacing w:before="80" w:after="160" w:line="276" w:lineRule="auto"/>
        <w:pBdr>
          <w:bottom w:val="single" w:sz="12" w:space="1" w:color="1B365D"/>
        </w:pBdr>
      </w:pPr>
    </w:p>
    <w:p>
      <w:pPr>
        <w:spacing w:before="200" w:after="80" w:line="276" w:lineRule="auto"/>
        <w:jc w:val="center"/>
      </w:pPr>
      <w:r>
        <w:rPr>
          <w:rFonts w:ascii="Calibri" w:hAnsi="Calibri" w:eastAsia="微软雅黑"/>
          <w:b w:val="0"/>
          <w:i/>
          <w:color w:val="5A677A"/>
          <w:sz w:val="18"/>
        </w:rPr>
        <w:t>本报告供投研训练与框架学习使用，不构成任何证券、基金或衍生品的投资建议。数据口径若与最新官方修订不一致，以原发布机构为准。</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5A677A"/>
        <w:sz w:val="16"/>
      </w:rPr>
      <w:t>中国债券与股票资产比较研究  ·  大类资产配置投研范式  ·  2026年8月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