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Calibri" w:hAnsi="Calibri" w:eastAsia="黑体" w:cs="Calibri"/>
          <w:b/>
          <w:color w:val="1F4E79"/>
          <w:sz w:val="44"/>
        </w:rPr>
        <w:t xml:space="preserve">中国银行业发展阶段研究报告</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9" w:name="中国银行业发展阶段研究报告"/>
    <w:p>
      <w:pPr>
        <w:pStyle w:val="Subtitle"/>
        <w:jc w:val="center"/>
      </w:pPr>
      <w:r>
        <w:rPr>
          <w:bCs/>
          <w:rFonts w:ascii="Calibri" w:hAnsi="Calibri" w:eastAsia="楷体" w:cs="Calibri"/>
          <w:b w:val="0"/>
          <w:color w:val="5B5B5B"/>
          <w:sz w:val="28"/>
        </w:rPr>
        <w:t>历史演进、主要特征及与主要经济体的比较分析</w:t>
      </w:r>
    </w:p>
    <w:p>
      <w:pPr>
        <w:numPr>
          <w:ilvl w:val="0"/>
          <w:numId w:val="1001"/>
        </w:numPr>
        <w:pStyle w:val="Compact"/>
        <w:spacing w:line="312" w:lineRule="auto" w:after="40"/>
      </w:pPr>
      <w:r>
        <w:rPr>
          <w:rFonts w:ascii="Calibri" w:hAnsi="Calibri" w:eastAsia="宋体" w:cs="Calibri"/>
          <w:color w:val="666666"/>
          <w:sz w:val="21"/>
        </w:rPr>
        <w:t xml:space="preserve">报告日期：2026年8月</w:t>
      </w:r>
    </w:p>
    <w:p>
      <w:pPr>
        <w:numPr>
          <w:ilvl w:val="0"/>
          <w:numId w:val="1001"/>
        </w:numPr>
        <w:pStyle w:val="Compact"/>
        <w:spacing w:line="312" w:lineRule="auto" w:after="40"/>
      </w:pPr>
      <w:r>
        <w:rPr>
          <w:rFonts w:ascii="Calibri" w:hAnsi="Calibri" w:eastAsia="宋体" w:cs="Calibri"/>
          <w:color w:val="666666"/>
          <w:sz w:val="21"/>
        </w:rPr>
        <w:t xml:space="preserve">数据截止：原则上截至2025年末；个别国际比较指标采用世界银行、国际清算银行（BIS）可获得的最新年份</w:t>
      </w:r>
    </w:p>
    <w:p>
      <w:pPr>
        <w:numPr>
          <w:ilvl w:val="0"/>
          <w:numId w:val="1001"/>
        </w:numPr>
        <w:pStyle w:val="Compact"/>
        <w:spacing w:line="312" w:lineRule="auto" w:after="40"/>
      </w:pPr>
      <w:r>
        <w:rPr>
          <w:rFonts w:ascii="Calibri" w:hAnsi="Calibri" w:eastAsia="宋体" w:cs="Calibri"/>
          <w:color w:val="666666"/>
          <w:sz w:val="21"/>
        </w:rPr>
        <w:t xml:space="preserve">分析口径说明：文中同时使用“银行业金融机构总资产”</w:t>
      </w:r>
      <w:r>
        <w:rPr>
          <w:rFonts w:ascii="Calibri" w:hAnsi="Calibri" w:eastAsia="宋体" w:cs="Calibri"/>
          <w:color w:val="666666"/>
          <w:sz w:val="21"/>
        </w:rPr>
        <w:t xml:space="preserve">“</w:t>
      </w:r>
      <w:r>
        <w:rPr>
          <w:rFonts w:ascii="Calibri" w:hAnsi="Calibri" w:eastAsia="宋体" w:cs="Calibri"/>
          <w:color w:val="666666"/>
          <w:sz w:val="21"/>
        </w:rPr>
        <w:t xml:space="preserve">商业银行监管指标</w:t>
      </w:r>
      <w:r>
        <w:rPr>
          <w:rFonts w:ascii="Calibri" w:hAnsi="Calibri" w:eastAsia="宋体" w:cs="Calibri"/>
          <w:color w:val="666666"/>
          <w:sz w:val="21"/>
        </w:rPr>
        <w:t xml:space="preserve">”</w:t>
      </w:r>
      <w:r>
        <w:rPr>
          <w:rFonts w:ascii="Calibri" w:hAnsi="Calibri" w:eastAsia="宋体" w:cs="Calibri"/>
          <w:color w:val="666666"/>
          <w:sz w:val="21"/>
        </w:rPr>
        <w:t xml:space="preserve">“</w:t>
      </w:r>
      <w:r>
        <w:rPr>
          <w:rFonts w:ascii="Calibri" w:hAnsi="Calibri" w:eastAsia="宋体" w:cs="Calibri"/>
          <w:color w:val="666666"/>
          <w:sz w:val="21"/>
        </w:rPr>
        <w:t xml:space="preserve">社会融资规模</w:t>
      </w:r>
      <w:r>
        <w:rPr>
          <w:rFonts w:ascii="Calibri" w:hAnsi="Calibri" w:eastAsia="宋体" w:cs="Calibri"/>
          <w:color w:val="666666"/>
          <w:sz w:val="21"/>
        </w:rPr>
        <w:t xml:space="preserve">”</w:t>
      </w:r>
      <w:r>
        <w:rPr>
          <w:rFonts w:ascii="Calibri" w:hAnsi="Calibri" w:eastAsia="宋体" w:cs="Calibri"/>
          <w:color w:val="666666"/>
          <w:sz w:val="21"/>
        </w:rPr>
        <w:t xml:space="preserve">“</w:t>
      </w:r>
      <w:r>
        <w:rPr>
          <w:rFonts w:ascii="Calibri" w:hAnsi="Calibri" w:eastAsia="宋体" w:cs="Calibri"/>
          <w:color w:val="666666"/>
          <w:sz w:val="21"/>
        </w:rPr>
        <w:t xml:space="preserve">国内私人部门信贷/GDP</w:t>
      </w:r>
      <w:r>
        <w:rPr>
          <w:rFonts w:ascii="Calibri" w:hAnsi="Calibri" w:eastAsia="宋体" w:cs="Calibri"/>
          <w:color w:val="666666"/>
          <w:sz w:val="21"/>
        </w:rPr>
        <w:t xml:space="preserve">”</w:t>
      </w:r>
      <w:r>
        <w:rPr>
          <w:rFonts w:ascii="Calibri" w:hAnsi="Calibri" w:eastAsia="宋体" w:cs="Calibri"/>
          <w:color w:val="666666"/>
          <w:sz w:val="21"/>
        </w:rPr>
        <w:t xml:space="preserve">等不同口径，比较时均标明定义，避免混用</w:t>
      </w:r>
    </w:p>
    <w:p>
      <w:pPr>
        <w:spacing w:line="360" w:lineRule="auto" w:after="160"/>
      </w:pPr>
      <w:r>
        <w:rPr>
          <w:rFonts w:ascii="Calibri" w:hAnsi="Calibri" w:eastAsia="宋体" w:cs="Calibri"/>
          <w:sz w:val="24"/>
        </w:rPr>
        <w:pict>
          <v:rect style="width:0;height:1.5pt" o:hralign="center" o:hrstd="t" o:hr="t"/>
        </w:pict>
      </w:r>
    </w:p>
    <w:bookmarkStart w:id="20" w:name="摘要"/>
    <w:p>
      <w:pPr>
        <w:pStyle w:val="Heading2"/>
        <w:spacing w:before="240" w:after="160" w:line="312" w:lineRule="auto"/>
      </w:pPr>
      <w:r>
        <w:rPr>
          <w:rFonts w:ascii="Calibri" w:hAnsi="Calibri" w:eastAsia="黑体" w:cs="Calibri"/>
          <w:b/>
          <w:color w:val="2E75B6"/>
          <w:sz w:val="28"/>
        </w:rPr>
        <w:t xml:space="preserve">摘要</w:t>
      </w:r>
    </w:p>
    <w:p>
      <w:pPr>
        <w:pStyle w:val="FirstParagraph"/>
        <w:spacing w:line="360" w:lineRule="auto" w:after="160"/>
      </w:pPr>
      <w:r>
        <w:rPr>
          <w:rFonts w:ascii="Calibri" w:hAnsi="Calibri" w:eastAsia="宋体" w:cs="Calibri"/>
          <w:sz w:val="24"/>
        </w:rPr>
        <w:t xml:space="preserve">中国银行业的演变，不是单纯的机构扩张史，而是国家发展战略、经济体制转型与金融制度建设相互嵌套的过程。若以制度形态划分，可概括为五个阶段：</w:t>
      </w:r>
    </w:p>
    <w:p>
      <w:pPr>
        <w:numPr>
          <w:ilvl w:val="0"/>
          <w:numId w:val="1002"/>
        </w:numPr>
        <w:pStyle w:val="Compact"/>
        <w:spacing w:line="360" w:lineRule="auto" w:after="160"/>
      </w:pPr>
      <w:r>
        <w:rPr>
          <w:bCs/>
          <w:rFonts w:ascii="Calibri" w:hAnsi="Calibri" w:eastAsia="宋体" w:cs="Calibri"/>
          <w:b/>
          <w:sz w:val="24"/>
        </w:rPr>
        <w:t xml:space="preserve">计划经济“大一统”阶段（1949—1978）</w:t>
      </w:r>
      <w:r>
        <w:rPr>
          <w:rFonts w:ascii="Calibri" w:hAnsi="Calibri" w:eastAsia="宋体" w:cs="Calibri"/>
          <w:sz w:val="24"/>
        </w:rPr>
        <w:t xml:space="preserve">：中国人民银行集中央银行、商业银行与政策性金融于一身，信贷服从财政与物资计划。</w:t>
      </w:r>
    </w:p>
    <w:p>
      <w:pPr>
        <w:numPr>
          <w:ilvl w:val="0"/>
          <w:numId w:val="1002"/>
        </w:numPr>
        <w:pStyle w:val="Compact"/>
        <w:spacing w:line="360" w:lineRule="auto" w:after="160"/>
      </w:pPr>
      <w:r>
        <w:rPr>
          <w:bCs/>
          <w:rFonts w:ascii="Calibri" w:hAnsi="Calibri" w:eastAsia="宋体" w:cs="Calibri"/>
          <w:b/>
          <w:sz w:val="24"/>
        </w:rPr>
        <w:t xml:space="preserve">双层银行体系重建阶段（1979—1993）</w:t>
      </w:r>
      <w:r>
        <w:rPr>
          <w:rFonts w:ascii="Calibri" w:hAnsi="Calibri" w:eastAsia="宋体" w:cs="Calibri"/>
          <w:sz w:val="24"/>
        </w:rPr>
        <w:t xml:space="preserve">：恢复专业银行，人民银行专门行使央行职能，股份制银行和地方金融机构出现。</w:t>
      </w:r>
    </w:p>
    <w:p>
      <w:pPr>
        <w:numPr>
          <w:ilvl w:val="0"/>
          <w:numId w:val="1002"/>
        </w:numPr>
        <w:pStyle w:val="Compact"/>
        <w:spacing w:line="360" w:lineRule="auto" w:after="160"/>
      </w:pPr>
      <w:r>
        <w:rPr>
          <w:bCs/>
          <w:rFonts w:ascii="Calibri" w:hAnsi="Calibri" w:eastAsia="宋体" w:cs="Calibri"/>
          <w:b/>
          <w:sz w:val="24"/>
        </w:rPr>
        <w:t xml:space="preserve">商业化与法制化阶段（1994—2002）</w:t>
      </w:r>
      <w:r>
        <w:rPr>
          <w:rFonts w:ascii="Calibri" w:hAnsi="Calibri" w:eastAsia="宋体" w:cs="Calibri"/>
          <w:sz w:val="24"/>
        </w:rPr>
        <w:t xml:space="preserve">：政策性银行分设，《中国人民银行法》《商业银行法》出台，不良资产开始显性化并启动第一次剥离。</w:t>
      </w:r>
    </w:p>
    <w:p>
      <w:pPr>
        <w:numPr>
          <w:ilvl w:val="0"/>
          <w:numId w:val="1002"/>
        </w:numPr>
        <w:pStyle w:val="Compact"/>
        <w:spacing w:line="360" w:lineRule="auto" w:after="160"/>
      </w:pPr>
      <w:r>
        <w:rPr>
          <w:bCs/>
          <w:rFonts w:ascii="Calibri" w:hAnsi="Calibri" w:eastAsia="宋体" w:cs="Calibri"/>
          <w:b/>
          <w:sz w:val="24"/>
        </w:rPr>
        <w:t xml:space="preserve">股份制改造与国际规则接轨阶段（2003—2012）</w:t>
      </w:r>
      <w:r>
        <w:rPr>
          <w:rFonts w:ascii="Calibri" w:hAnsi="Calibri" w:eastAsia="宋体" w:cs="Calibri"/>
          <w:sz w:val="24"/>
        </w:rPr>
        <w:t xml:space="preserve">：汇金注资、股改上市、银监会分设、巴塞尔资本监管引入，大型银行由“技术性破产边缘”转为全球系统重要性机构。</w:t>
      </w:r>
    </w:p>
    <w:p>
      <w:pPr>
        <w:numPr>
          <w:ilvl w:val="0"/>
          <w:numId w:val="1002"/>
        </w:numPr>
        <w:pStyle w:val="Compact"/>
        <w:spacing w:line="360" w:lineRule="auto" w:after="160"/>
      </w:pPr>
      <w:r>
        <w:rPr>
          <w:bCs/>
          <w:rFonts w:ascii="Calibri" w:hAnsi="Calibri" w:eastAsia="宋体" w:cs="Calibri"/>
          <w:b/>
          <w:sz w:val="24"/>
        </w:rPr>
        <w:t xml:space="preserve">高质量发展与监管重构阶段（2013年至今）</w:t>
      </w:r>
      <w:r>
        <w:rPr>
          <w:rFonts w:ascii="Calibri" w:hAnsi="Calibri" w:eastAsia="宋体" w:cs="Calibri"/>
          <w:sz w:val="24"/>
        </w:rPr>
        <w:t xml:space="preserve">：利率市场化基本完成，影子银行治理、中小银行化险、监管架构由分业走向统筹，银行业由规模扩张转向结构优化。</w:t>
      </w:r>
    </w:p>
    <w:p>
      <w:pPr>
        <w:pStyle w:val="FirstParagraph"/>
        <w:spacing w:line="360" w:lineRule="auto" w:after="160"/>
      </w:pPr>
      <w:r>
        <w:rPr>
          <w:rFonts w:ascii="Calibri" w:hAnsi="Calibri" w:eastAsia="宋体" w:cs="Calibri"/>
          <w:sz w:val="24"/>
        </w:rPr>
        <w:t xml:space="preserve">当前中国银行业的核心特征可以概括为：</w:t>
      </w:r>
      <w:r>
        <w:rPr>
          <w:bCs/>
          <w:rFonts w:ascii="Calibri" w:hAnsi="Calibri" w:eastAsia="宋体" w:cs="Calibri"/>
          <w:b/>
          <w:sz w:val="24"/>
        </w:rPr>
        <w:t xml:space="preserve">银行主导的融资结构、国家控股的大型银行压舱石、高储蓄支撑的高信贷密度、渐进可控的市场化改革、外资份额极低、以及净息差与资产回报率明显低于美欧同业。</w:t>
      </w:r>
    </w:p>
    <w:p>
      <w:pPr>
        <w:pStyle w:val="BodyText"/>
        <w:spacing w:line="360" w:lineRule="auto" w:after="160"/>
      </w:pPr>
      <w:r>
        <w:rPr>
          <w:rFonts w:ascii="Calibri" w:hAnsi="Calibri" w:eastAsia="宋体" w:cs="Calibri"/>
          <w:sz w:val="24"/>
        </w:rPr>
        <w:t xml:space="preserve">截至2025年末，银行业金融机构本外币资产总额达</w:t>
      </w:r>
      <w:r>
        <w:rPr>
          <w:rFonts w:ascii="Calibri" w:hAnsi="Calibri" w:eastAsia="宋体" w:cs="Calibri"/>
          <w:sz w:val="24"/>
        </w:rPr>
        <w:t xml:space="preserve"> </w:t>
      </w:r>
      <w:r>
        <w:rPr>
          <w:bCs/>
          <w:rFonts w:ascii="Calibri" w:hAnsi="Calibri" w:eastAsia="宋体" w:cs="Calibri"/>
          <w:b/>
          <w:sz w:val="24"/>
        </w:rPr>
        <w:t xml:space="preserve">480万亿元</w:t>
      </w:r>
      <w:r>
        <w:rPr>
          <w:rFonts w:ascii="Calibri" w:hAnsi="Calibri" w:eastAsia="宋体" w:cs="Calibri"/>
          <w:sz w:val="24"/>
        </w:rPr>
        <w:t xml:space="preserve">，约为当年国内生产总值（GDP，140.19万亿元）的</w:t>
      </w:r>
      <w:r>
        <w:rPr>
          <w:rFonts w:ascii="Calibri" w:hAnsi="Calibri" w:eastAsia="宋体" w:cs="Calibri"/>
          <w:sz w:val="24"/>
        </w:rPr>
        <w:t xml:space="preserve"> </w:t>
      </w:r>
      <w:r>
        <w:rPr>
          <w:bCs/>
          <w:rFonts w:ascii="Calibri" w:hAnsi="Calibri" w:eastAsia="宋体" w:cs="Calibri"/>
          <w:b/>
          <w:sz w:val="24"/>
        </w:rPr>
        <w:t xml:space="preserve">3.42倍</w:t>
      </w:r>
      <w:r>
        <w:rPr>
          <w:rFonts w:ascii="Calibri" w:hAnsi="Calibri" w:eastAsia="宋体" w:cs="Calibri"/>
          <w:sz w:val="24"/>
        </w:rPr>
        <w:t xml:space="preserve">；人民币贷款占社会融资规模存量的</w:t>
      </w:r>
      <w:r>
        <w:rPr>
          <w:rFonts w:ascii="Calibri" w:hAnsi="Calibri" w:eastAsia="宋体" w:cs="Calibri"/>
          <w:sz w:val="24"/>
        </w:rPr>
        <w:t xml:space="preserve"> </w:t>
      </w:r>
      <w:r>
        <w:rPr>
          <w:bCs/>
          <w:rFonts w:ascii="Calibri" w:hAnsi="Calibri" w:eastAsia="宋体" w:cs="Calibri"/>
          <w:b/>
          <w:sz w:val="24"/>
        </w:rPr>
        <w:t xml:space="preserve">60.7%</w:t>
      </w:r>
      <w:r>
        <w:rPr>
          <w:rFonts w:ascii="Calibri" w:hAnsi="Calibri" w:eastAsia="宋体" w:cs="Calibri"/>
          <w:sz w:val="24"/>
        </w:rPr>
        <w:t xml:space="preserve">；商业银行不良贷款率</w:t>
      </w:r>
      <w:r>
        <w:rPr>
          <w:rFonts w:ascii="Calibri" w:hAnsi="Calibri" w:eastAsia="宋体" w:cs="Calibri"/>
          <w:sz w:val="24"/>
        </w:rPr>
        <w:t xml:space="preserve"> </w:t>
      </w:r>
      <w:r>
        <w:rPr>
          <w:bCs/>
          <w:rFonts w:ascii="Calibri" w:hAnsi="Calibri" w:eastAsia="宋体" w:cs="Calibri"/>
          <w:b/>
          <w:sz w:val="24"/>
        </w:rPr>
        <w:t xml:space="preserve">1.50%</w:t>
      </w:r>
      <w:r>
        <w:rPr>
          <w:rFonts w:ascii="Calibri" w:hAnsi="Calibri" w:eastAsia="宋体" w:cs="Calibri"/>
          <w:sz w:val="24"/>
        </w:rPr>
        <w:t xml:space="preserve">，资本充足率</w:t>
      </w:r>
      <w:r>
        <w:rPr>
          <w:rFonts w:ascii="Calibri" w:hAnsi="Calibri" w:eastAsia="宋体" w:cs="Calibri"/>
          <w:sz w:val="24"/>
        </w:rPr>
        <w:t xml:space="preserve"> </w:t>
      </w:r>
      <w:r>
        <w:rPr>
          <w:bCs/>
          <w:rFonts w:ascii="Calibri" w:hAnsi="Calibri" w:eastAsia="宋体" w:cs="Calibri"/>
          <w:b/>
          <w:sz w:val="24"/>
        </w:rPr>
        <w:t xml:space="preserve">15.46%</w:t>
      </w:r>
      <w:r>
        <w:rPr>
          <w:rFonts w:ascii="Calibri" w:hAnsi="Calibri" w:eastAsia="宋体" w:cs="Calibri"/>
          <w:sz w:val="24"/>
        </w:rPr>
        <w:t xml:space="preserve">，净息差</w:t>
      </w:r>
      <w:r>
        <w:rPr>
          <w:rFonts w:ascii="Calibri" w:hAnsi="Calibri" w:eastAsia="宋体" w:cs="Calibri"/>
          <w:sz w:val="24"/>
        </w:rPr>
        <w:t xml:space="preserve"> </w:t>
      </w:r>
      <w:r>
        <w:rPr>
          <w:bCs/>
          <w:rFonts w:ascii="Calibri" w:hAnsi="Calibri" w:eastAsia="宋体" w:cs="Calibri"/>
          <w:b/>
          <w:sz w:val="24"/>
        </w:rPr>
        <w:t xml:space="preserve">1.42%</w:t>
      </w:r>
      <w:r>
        <w:rPr>
          <w:rFonts w:ascii="Calibri" w:hAnsi="Calibri" w:eastAsia="宋体" w:cs="Calibri"/>
          <w:sz w:val="24"/>
        </w:rPr>
        <w:t xml:space="preserve">。这组数据表明：中国已建成全球规模最大的银行体系，但盈利模式仍高度依赖利差，直接融资尤其是股权融资占比偏低。</w:t>
      </w:r>
    </w:p>
    <w:p>
      <w:pPr>
        <w:pStyle w:val="BodyText"/>
        <w:spacing w:line="360" w:lineRule="auto" w:after="160"/>
      </w:pPr>
      <w:r>
        <w:rPr>
          <w:rFonts w:ascii="Calibri" w:hAnsi="Calibri" w:eastAsia="宋体" w:cs="Calibri"/>
          <w:sz w:val="24"/>
        </w:rPr>
        <w:t xml:space="preserve">国际比较显示：中国现状在“银行主导、关系型信贷、服务工业化赶超”方面，更接近德国19世纪末至20世纪的全能银行—储蓄银行体系和日本1950—1970年代主银行制高速增长期，而不是当代美国以资本市场为中心的金融结构。中国1998—2008年不良资产处置，制度上借鉴了美国重组信托公司（RTC）和韩国资产管理公社（KAMCO），但操作上以账面价值剥离、外汇储备注资和继续保持国家控股为特征，与日本1990年代拖延处置、韩国危机后折价市场化出清形成鲜明对照。与美国1933年《格拉斯—斯蒂格尔法》之后的分业体制相比，中国1995年后的分业经营有相似的风险隔离逻辑，但所有权结构、信贷政策目标和对外开放程度完全不同。</w:t>
      </w:r>
    </w:p>
    <w:p>
      <w:pPr>
        <w:spacing w:line="360" w:lineRule="auto" w:after="160"/>
      </w:pPr>
      <w:r>
        <w:rPr>
          <w:rFonts w:ascii="Calibri" w:hAnsi="Calibri" w:eastAsia="宋体" w:cs="Calibri"/>
          <w:sz w:val="24"/>
        </w:rPr>
        <w:pict>
          <v:rect style="width:0;height:1.5pt" o:hralign="center" o:hrstd="t" o:hr="t"/>
        </w:pict>
      </w:r>
    </w:p>
    <w:bookmarkEnd w:id="20"/>
    <w:bookmarkStart w:id="24" w:name="一研究框架指标口径与资料来源"/>
    <w:p>
      <w:pPr>
        <w:pStyle w:val="Heading2"/>
        <w:spacing w:before="240" w:after="160" w:line="312" w:lineRule="auto"/>
      </w:pPr>
      <w:r>
        <w:rPr>
          <w:rFonts w:ascii="Calibri" w:hAnsi="Calibri" w:eastAsia="黑体" w:cs="Calibri"/>
          <w:b/>
          <w:color w:val="2E75B6"/>
          <w:sz w:val="28"/>
        </w:rPr>
        <w:t xml:space="preserve">一、研究框架、指标口径与资料来源</w:t>
      </w:r>
    </w:p>
    <w:bookmarkStart w:id="21" w:name="比较的理论坐标"/>
    <w:p>
      <w:pPr>
        <w:pStyle w:val="Heading3"/>
        <w:spacing w:before="240" w:after="160" w:line="312" w:lineRule="auto"/>
      </w:pPr>
      <w:r>
        <w:rPr>
          <w:rFonts w:ascii="Calibri" w:hAnsi="Calibri" w:eastAsia="黑体" w:cs="Calibri"/>
          <w:b/>
          <w:color w:val="2E75B6"/>
          <w:sz w:val="25"/>
        </w:rPr>
        <w:t xml:space="preserve">1.1 比较的理论坐标</w:t>
      </w:r>
    </w:p>
    <w:p>
      <w:pPr>
        <w:pStyle w:val="FirstParagraph"/>
        <w:spacing w:line="360" w:lineRule="auto" w:after="160"/>
      </w:pPr>
      <w:r>
        <w:rPr>
          <w:rFonts w:ascii="Calibri" w:hAnsi="Calibri" w:eastAsia="宋体" w:cs="Calibri"/>
          <w:sz w:val="24"/>
        </w:rPr>
        <w:t xml:space="preserve">金融史学与比较金融学通常用两组对立范畴理解各国银行体系：</w:t>
      </w:r>
    </w:p>
    <w:p>
      <w:pPr>
        <w:numPr>
          <w:ilvl w:val="0"/>
          <w:numId w:val="1003"/>
        </w:numPr>
        <w:pStyle w:val="Compact"/>
        <w:spacing w:line="360" w:lineRule="auto" w:after="160"/>
      </w:pPr>
      <w:r>
        <w:rPr>
          <w:bCs/>
          <w:rFonts w:ascii="Calibri" w:hAnsi="Calibri" w:eastAsia="宋体" w:cs="Calibri"/>
          <w:b/>
          <w:sz w:val="24"/>
        </w:rPr>
        <w:t xml:space="preserve">银行主导 vs 市场主导</w:t>
      </w:r>
      <w:r>
        <w:rPr>
          <w:rFonts w:ascii="Calibri" w:hAnsi="Calibri" w:eastAsia="宋体" w:cs="Calibri"/>
          <w:sz w:val="24"/>
        </w:rPr>
        <w:t xml:space="preserve">（bank-based vs market-based）。德国、日本历史上企业外部融资以银行贷款为主，银行深度介入公司治理；美国、英国企业更多依赖股票与债券市场。Demirgüç-Kunt 与 Levine 等将这一分野操作化为“银行信贷/GDP”与“股票市值/GDP”的相对水平。</w:t>
      </w:r>
    </w:p>
    <w:p>
      <w:pPr>
        <w:numPr>
          <w:ilvl w:val="0"/>
          <w:numId w:val="1003"/>
        </w:numPr>
        <w:pStyle w:val="Compact"/>
        <w:spacing w:line="360" w:lineRule="auto" w:after="160"/>
      </w:pPr>
      <w:r>
        <w:rPr>
          <w:bCs/>
          <w:rFonts w:ascii="Calibri" w:hAnsi="Calibri" w:eastAsia="宋体" w:cs="Calibri"/>
          <w:b/>
          <w:sz w:val="24"/>
        </w:rPr>
        <w:t xml:space="preserve">后发工业化的金融安排</w:t>
      </w:r>
      <w:r>
        <w:rPr>
          <w:rFonts w:ascii="Calibri" w:hAnsi="Calibri" w:eastAsia="宋体" w:cs="Calibri"/>
          <w:sz w:val="24"/>
        </w:rPr>
        <w:t xml:space="preserve">。Gerschenkron 指出，后发工业化国家因资本稀缺、资本市场发育不足，往往依靠大型银行甚至国家力量动员长期资金。德国19世纪的全能银行、日本明治以后的特殊银行与战后主银行，是这一逻辑的典型。中国改革开放后以国有银行为主渠道动员高储蓄、支持投资驱动增长，可放在同一分析谱系中观察，但不能简单等同。</w:t>
      </w:r>
    </w:p>
    <w:p>
      <w:pPr>
        <w:pStyle w:val="FirstParagraph"/>
        <w:spacing w:line="360" w:lineRule="auto" w:after="160"/>
      </w:pPr>
      <w:r>
        <w:rPr>
          <w:rFonts w:ascii="Calibri" w:hAnsi="Calibri" w:eastAsia="宋体" w:cs="Calibri"/>
          <w:sz w:val="24"/>
        </w:rPr>
        <w:t xml:space="preserve">本报告据此提出三条比较轴：</w:t>
      </w:r>
    </w:p>
    <w:tbl>
      <w:tblPr>
        <w:tblStyle w:val="Table"/>
        <w:tblW w:type="pct" w:w="5000"/>
        <w:tblLook w:firstRow="1" w:lastRow="0" w:firstColumn="0" w:lastColumn="0" w:noHBand="0" w:noVBand="0" w:val="0020"/>
        <w:jc w:val="center"/>
        <w:tblLayout w:type="autofit"/>
      </w:tblPr>
      <w:tblGrid>
        <w:gridCol w:w="2640"/>
        <w:gridCol w:w="2640"/>
        <w:gridCol w:w="264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比较轴</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核心问题</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主要对照对象</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融资结构</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银行信贷相对资本市场的重要性</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美国、英国（市场主导）；德国、日本（银行主导）</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赶超与发展型金融</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银行是否承担产业政策与长期投资动员功能</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日本高速增长期、韩国1970—1990年代、德国工业化时期</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危机处置与制度重建</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不良资产如何确认、剥离、注资与监管重构</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美国储贷危机/RTC、日本“失去的十年”、韩国1997年危机</w:t>
            </w:r>
          </w:p>
        </w:tc>
      </w:tr>
    </w:tbl>
    <w:bookmarkEnd w:id="21"/>
    <w:bookmarkStart w:id="22" w:name="必须区分的统计口径"/>
    <w:p>
      <w:pPr>
        <w:pStyle w:val="Heading3"/>
        <w:spacing w:before="240" w:after="160" w:line="312" w:lineRule="auto"/>
      </w:pPr>
      <w:r>
        <w:rPr>
          <w:rFonts w:ascii="Calibri" w:hAnsi="Calibri" w:eastAsia="黑体" w:cs="Calibri"/>
          <w:b/>
          <w:color w:val="2E75B6"/>
          <w:sz w:val="25"/>
        </w:rPr>
        <w:t xml:space="preserve">1.2 必须区分的统计口径</w:t>
      </w:r>
    </w:p>
    <w:p>
      <w:pPr>
        <w:pStyle w:val="FirstParagraph"/>
        <w:spacing w:line="360" w:lineRule="auto" w:after="160"/>
      </w:pPr>
      <w:r>
        <w:rPr>
          <w:rFonts w:ascii="Calibri" w:hAnsi="Calibri" w:eastAsia="宋体" w:cs="Calibri"/>
          <w:sz w:val="24"/>
        </w:rPr>
        <w:t xml:space="preserve">后文数字来自不同机构，口径不可直接相加或横向“对标”而不加说明：</w:t>
      </w:r>
    </w:p>
    <w:tbl>
      <w:tblPr>
        <w:tblStyle w:val="Table"/>
        <w:tblW w:type="pct" w:w="5000"/>
        <w:tblLook w:firstRow="1" w:lastRow="0" w:firstColumn="0" w:lastColumn="0" w:noHBand="0" w:noVBand="0" w:val="0020"/>
        <w:jc w:val="center"/>
        <w:tblLayout w:type="autofit"/>
      </w:tblPr>
      <w:tblGrid>
        <w:gridCol w:w="2640"/>
        <w:gridCol w:w="2640"/>
        <w:gridCol w:w="264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指标</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口径要点</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主要来源</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银行业金融机构本外币资产</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含商业银行、政策性银行、农村金融机构等，是中国监管口径的“全行业资产负债表”</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国家金融监督管理总局</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商业银行不良率、资本充足率、净息差</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法人口径商业银行；资本充足率自2024年起按《商业银行资本管理办法》计算，与历史数据不完全可比</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金融监管总局</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社会融资规模</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实体经济从金融体系获得的资金，含贷款、债券、股票、政府债券、信托等</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中国人民银行</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国内私人部门信贷/GDP</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世界银行 WDI 指标</w:t>
            </w:r>
            <w:r>
              <w:rPr>
                <w:rFonts w:ascii="Calibri" w:hAnsi="Calibri" w:eastAsia="宋体" w:cs="Calibri"/>
                <w:b w:val="0"/>
                <w:color w:val="333333"/>
                <w:sz w:val="18"/>
              </w:rPr>
              <w:t xml:space="preserve"> </w:t>
            </w:r>
            <w:r>
              <w:rPr>
                <w:rStyle w:val="VerbatimChar"/>
                <w:rFonts w:ascii="Calibri" w:hAnsi="Calibri" w:eastAsia="宋体" w:cs="Calibri"/>
                <w:b w:val="0"/>
                <w:color w:val="333333"/>
                <w:sz w:val="18"/>
              </w:rPr>
              <w:t xml:space="preserve">FS.AST.PRVT.GD.ZS</w:t>
            </w:r>
            <w:r>
              <w:rPr>
                <w:rFonts w:ascii="Calibri" w:hAnsi="Calibri" w:eastAsia="宋体" w:cs="Calibri"/>
                <w:b w:val="0"/>
                <w:color w:val="333333"/>
                <w:sz w:val="18"/>
              </w:rPr>
              <w:t xml:space="preserve">，含银行及其他金融公司对私人部门的债权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世界银行</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银行存款货币银行资产/GDP</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IMF/世界银行全球金融发展数据库，仅含对国内非金融部门的债权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IMF、TheGlobalEconomy 转引</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非金融部门总信贷/GDP</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BIS 口径，含对政府、企业和住户的贷款与债券</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国际清算银行</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上市银行一级资本、总资产（美元）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《银行家》杂志 Top 1000，按一级资本排序</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The Banker</w:t>
            </w:r>
          </w:p>
        </w:tc>
      </w:tr>
    </w:tbl>
    <w:bookmarkEnd w:id="22"/>
    <w:bookmarkStart w:id="23" w:name="资料来源原则"/>
    <w:p>
      <w:pPr>
        <w:pStyle w:val="Heading3"/>
        <w:spacing w:before="240" w:after="160" w:line="312" w:lineRule="auto"/>
      </w:pPr>
      <w:r>
        <w:rPr>
          <w:rFonts w:ascii="Calibri" w:hAnsi="Calibri" w:eastAsia="黑体" w:cs="Calibri"/>
          <w:b/>
          <w:color w:val="2E75B6"/>
          <w:sz w:val="25"/>
        </w:rPr>
        <w:t xml:space="preserve">1.3 资料来源原则</w:t>
      </w:r>
    </w:p>
    <w:p>
      <w:pPr>
        <w:pStyle w:val="FirstParagraph"/>
        <w:spacing w:line="360" w:lineRule="auto" w:after="160"/>
      </w:pPr>
      <w:r>
        <w:rPr>
          <w:rFonts w:ascii="Calibri" w:hAnsi="Calibri" w:eastAsia="宋体" w:cs="Calibri"/>
          <w:sz w:val="24"/>
        </w:rPr>
        <w:t xml:space="preserve">本报告优先采用：中国官方统计（金融监管总局、人民银行、国家统计局、中央汇金公司）、国际组织（BIS、FSB、世界银行、IMF）、以及可核验的学术与监管文献。二手媒体数据仅在官方原文难以直接抓取、且能与官方口径交叉核验时使用，并在脚注中标明。</w:t>
      </w:r>
    </w:p>
    <w:p>
      <w:pPr>
        <w:spacing w:line="360" w:lineRule="auto" w:after="160"/>
      </w:pPr>
      <w:r>
        <w:rPr>
          <w:rFonts w:ascii="Calibri" w:hAnsi="Calibri" w:eastAsia="宋体" w:cs="Calibri"/>
          <w:sz w:val="24"/>
        </w:rPr>
        <w:pict>
          <v:rect style="width:0;height:1.5pt" o:hralign="center" o:hrstd="t" o:hr="t"/>
        </w:pict>
      </w:r>
    </w:p>
    <w:bookmarkEnd w:id="23"/>
    <w:bookmarkEnd w:id="24"/>
    <w:bookmarkStart w:id="30" w:name="二中国银行业发展的历史阶段与主要变化"/>
    <w:p>
      <w:pPr>
        <w:pStyle w:val="Heading2"/>
        <w:spacing w:before="240" w:after="160" w:line="312" w:lineRule="auto"/>
      </w:pPr>
      <w:r>
        <w:rPr>
          <w:rFonts w:ascii="Calibri" w:hAnsi="Calibri" w:eastAsia="黑体" w:cs="Calibri"/>
          <w:b/>
          <w:color w:val="2E75B6"/>
          <w:sz w:val="28"/>
        </w:rPr>
        <w:t xml:space="preserve">二、中国银行业发展的历史阶段与主要变化</w:t>
      </w:r>
    </w:p>
    <w:bookmarkStart w:id="25" w:name="第一阶段计划经济大一统19491978"/>
    <w:p>
      <w:pPr>
        <w:pStyle w:val="Heading3"/>
        <w:spacing w:before="240" w:after="160" w:line="312" w:lineRule="auto"/>
      </w:pPr>
      <w:r>
        <w:rPr>
          <w:rFonts w:ascii="Calibri" w:hAnsi="Calibri" w:eastAsia="黑体" w:cs="Calibri"/>
          <w:b/>
          <w:color w:val="2E75B6"/>
          <w:sz w:val="25"/>
        </w:rPr>
        <w:t xml:space="preserve">2.1 第一阶段：计划经济“大一统”（1949—1978）</w:t>
      </w:r>
    </w:p>
    <w:p>
      <w:pPr>
        <w:pStyle w:val="FirstParagraph"/>
        <w:spacing w:line="360" w:lineRule="auto" w:after="160"/>
      </w:pPr>
      <w:r>
        <w:rPr>
          <w:rFonts w:ascii="Calibri" w:hAnsi="Calibri" w:eastAsia="宋体" w:cs="Calibri"/>
          <w:sz w:val="24"/>
        </w:rPr>
        <w:t xml:space="preserve">1949年前，中国已出现通商银行（1897）、户部/大清银行、交通银行及民国时期“北四行”</w:t>
      </w:r>
      <w:r>
        <w:rPr>
          <w:rFonts w:ascii="Calibri" w:hAnsi="Calibri" w:eastAsia="宋体" w:cs="Calibri"/>
          <w:sz w:val="24"/>
        </w:rPr>
        <w:t xml:space="preserve">“</w:t>
      </w:r>
      <w:r>
        <w:rPr>
          <w:rFonts w:ascii="Calibri" w:hAnsi="Calibri" w:eastAsia="宋体" w:cs="Calibri"/>
          <w:sz w:val="24"/>
        </w:rPr>
        <w:t xml:space="preserve">南三行</w:t>
      </w:r>
      <w:r>
        <w:rPr>
          <w:rFonts w:ascii="Calibri" w:hAnsi="Calibri" w:eastAsia="宋体" w:cs="Calibri"/>
          <w:sz w:val="24"/>
        </w:rPr>
        <w:t xml:space="preserve">”</w:t>
      </w:r>
      <w:r>
        <w:rPr>
          <w:rFonts w:ascii="Calibri" w:hAnsi="Calibri" w:eastAsia="宋体" w:cs="Calibri"/>
          <w:sz w:val="24"/>
        </w:rPr>
        <w:t xml:space="preserve">等近代银行，但长期缺乏统一稳定的货币与监管环境。1948年12月，华北银行、北海银行、西北农民银行合并组成中国人民银行并发行人民币，为新中国金融统一奠定基础。</w:t>
      </w:r>
    </w:p>
    <w:p>
      <w:pPr>
        <w:pStyle w:val="BodyText"/>
        <w:spacing w:line="360" w:lineRule="auto" w:after="160"/>
      </w:pPr>
      <w:r>
        <w:rPr>
          <w:rFonts w:ascii="Calibri" w:hAnsi="Calibri" w:eastAsia="宋体" w:cs="Calibri"/>
          <w:sz w:val="24"/>
        </w:rPr>
        <w:t xml:space="preserve">计划经济时期的制度特征是：</w:t>
      </w:r>
    </w:p>
    <w:p>
      <w:pPr>
        <w:numPr>
          <w:ilvl w:val="0"/>
          <w:numId w:val="1004"/>
        </w:numPr>
        <w:pStyle w:val="Compact"/>
        <w:spacing w:line="360" w:lineRule="auto" w:after="160"/>
      </w:pPr>
      <w:r>
        <w:rPr>
          <w:bCs/>
          <w:rFonts w:ascii="Calibri" w:hAnsi="Calibri" w:eastAsia="宋体" w:cs="Calibri"/>
          <w:b/>
          <w:sz w:val="24"/>
        </w:rPr>
        <w:t xml:space="preserve">职能合一</w:t>
      </w:r>
      <w:r>
        <w:rPr>
          <w:rFonts w:ascii="Calibri" w:hAnsi="Calibri" w:eastAsia="宋体" w:cs="Calibri"/>
          <w:sz w:val="24"/>
        </w:rPr>
        <w:t xml:space="preserve">：人民银行同时承担货币发行、信贷分配、结算和部分财政出纳功能。</w:t>
      </w:r>
    </w:p>
    <w:p>
      <w:pPr>
        <w:numPr>
          <w:ilvl w:val="0"/>
          <w:numId w:val="1004"/>
        </w:numPr>
        <w:pStyle w:val="Compact"/>
        <w:spacing w:line="360" w:lineRule="auto" w:after="160"/>
      </w:pPr>
      <w:r>
        <w:rPr>
          <w:bCs/>
          <w:rFonts w:ascii="Calibri" w:hAnsi="Calibri" w:eastAsia="宋体" w:cs="Calibri"/>
          <w:b/>
          <w:sz w:val="24"/>
        </w:rPr>
        <w:t xml:space="preserve">资金计划化</w:t>
      </w:r>
      <w:r>
        <w:rPr>
          <w:rFonts w:ascii="Calibri" w:hAnsi="Calibri" w:eastAsia="宋体" w:cs="Calibri"/>
          <w:sz w:val="24"/>
        </w:rPr>
        <w:t xml:space="preserve">：实行“统存统贷”，信贷规模服从物资与投资计划，银行是财政的出纳而非独立的信用中介。</w:t>
      </w:r>
    </w:p>
    <w:p>
      <w:pPr>
        <w:numPr>
          <w:ilvl w:val="0"/>
          <w:numId w:val="1004"/>
        </w:numPr>
        <w:pStyle w:val="Compact"/>
        <w:spacing w:line="360" w:lineRule="auto" w:after="160"/>
      </w:pPr>
      <w:r>
        <w:rPr>
          <w:bCs/>
          <w:rFonts w:ascii="Calibri" w:hAnsi="Calibri" w:eastAsia="宋体" w:cs="Calibri"/>
          <w:b/>
          <w:sz w:val="24"/>
        </w:rPr>
        <w:t xml:space="preserve">所有制改造完成</w:t>
      </w:r>
      <w:r>
        <w:rPr>
          <w:rFonts w:ascii="Calibri" w:hAnsi="Calibri" w:eastAsia="宋体" w:cs="Calibri"/>
          <w:sz w:val="24"/>
        </w:rPr>
        <w:t xml:space="preserve">：官僚资本银行被接管，私营行庄被改造，垂直领导的国家银行网络覆盖全国。</w:t>
      </w:r>
    </w:p>
    <w:p>
      <w:pPr>
        <w:pStyle w:val="FirstParagraph"/>
        <w:spacing w:line="360" w:lineRule="auto" w:after="160"/>
      </w:pPr>
      <w:r>
        <w:rPr>
          <w:rFonts w:ascii="Calibri" w:hAnsi="Calibri" w:eastAsia="宋体" w:cs="Calibri"/>
          <w:sz w:val="24"/>
        </w:rPr>
        <w:t xml:space="preserve">这一体制在“一五”时期有利于集中稀缺资金支持重工业，但银行缺乏独立核算、风险定价和竞争，无法适应改革开放后多元化的投融资需求。陈雨露在十四届全国人大常委会专题讲座中将这一阶段概括为“国家银行体制和计划金融体制的结合”。</w:t>
      </w:r>
    </w:p>
    <w:p>
      <w:pPr>
        <w:pStyle w:val="BodyText"/>
        <w:spacing w:line="360" w:lineRule="auto" w:after="160"/>
      </w:pPr>
      <w:r>
        <w:rPr>
          <w:bCs/>
          <w:rFonts w:ascii="Calibri" w:hAnsi="Calibri" w:eastAsia="宋体" w:cs="Calibri"/>
          <w:b/>
          <w:sz w:val="24"/>
        </w:rPr>
        <w:t xml:space="preserve">阶段特征提炼</w:t>
      </w:r>
      <w:r>
        <w:rPr>
          <w:rFonts w:ascii="Calibri" w:hAnsi="Calibri" w:eastAsia="宋体" w:cs="Calibri"/>
          <w:sz w:val="24"/>
        </w:rPr>
        <w:t xml:space="preserve">：金融从属于计划；银行不是企业；货币是记账工具多于调控工具。</w:t>
      </w:r>
    </w:p>
    <w:bookmarkEnd w:id="25"/>
    <w:bookmarkStart w:id="26" w:name="第二阶段打破大一统重建双层银行体系19791993"/>
    <w:p>
      <w:pPr>
        <w:pStyle w:val="Heading3"/>
        <w:spacing w:before="240" w:after="160" w:line="312" w:lineRule="auto"/>
      </w:pPr>
      <w:r>
        <w:rPr>
          <w:rFonts w:ascii="Calibri" w:hAnsi="Calibri" w:eastAsia="黑体" w:cs="Calibri"/>
          <w:b/>
          <w:color w:val="2E75B6"/>
          <w:sz w:val="25"/>
        </w:rPr>
        <w:t xml:space="preserve">2.2 第二阶段：打破“大一统”，重建双层银行体系（1979—1993）</w:t>
      </w:r>
    </w:p>
    <w:p>
      <w:pPr>
        <w:pStyle w:val="FirstParagraph"/>
        <w:spacing w:line="360" w:lineRule="auto" w:after="160"/>
      </w:pPr>
      <w:r>
        <w:rPr>
          <w:rFonts w:ascii="Calibri" w:hAnsi="Calibri" w:eastAsia="宋体" w:cs="Calibri"/>
          <w:sz w:val="24"/>
        </w:rPr>
        <w:t xml:space="preserve">改革的第一条主线是</w:t>
      </w:r>
      <w:r>
        <w:rPr>
          <w:bCs/>
          <w:rFonts w:ascii="Calibri" w:hAnsi="Calibri" w:eastAsia="宋体" w:cs="Calibri"/>
          <w:b/>
          <w:sz w:val="24"/>
        </w:rPr>
        <w:t xml:space="preserve">机构分设</w:t>
      </w:r>
      <w:r>
        <w:rPr>
          <w:rFonts w:ascii="Calibri" w:hAnsi="Calibri" w:eastAsia="宋体" w:cs="Calibri"/>
          <w:sz w:val="24"/>
        </w:rPr>
        <w:t xml:space="preserve">。1979年起，中国农业银行、中国银行、中国人民建设银行相继恢复或独立；1984年1月1日，中国工商银行成立，承接原人民银行办理的工商信贷和储蓄业务，人民银行开始专门行使中央银行职能。至此形成“央行 + 四大专业银行”的基本框架。</w:t>
      </w:r>
    </w:p>
    <w:p>
      <w:pPr>
        <w:pStyle w:val="BodyText"/>
        <w:spacing w:line="360" w:lineRule="auto" w:after="160"/>
      </w:pPr>
      <w:r>
        <w:rPr>
          <w:rFonts w:ascii="Calibri" w:hAnsi="Calibri" w:eastAsia="宋体" w:cs="Calibri"/>
          <w:sz w:val="24"/>
        </w:rPr>
        <w:t xml:space="preserve">第二条主线是</w:t>
      </w:r>
      <w:r>
        <w:rPr>
          <w:bCs/>
          <w:rFonts w:ascii="Calibri" w:hAnsi="Calibri" w:eastAsia="宋体" w:cs="Calibri"/>
          <w:b/>
          <w:sz w:val="24"/>
        </w:rPr>
        <w:t xml:space="preserve">所有制与机构形态的初步多元化</w:t>
      </w:r>
      <w:r>
        <w:rPr>
          <w:rFonts w:ascii="Calibri" w:hAnsi="Calibri" w:eastAsia="宋体" w:cs="Calibri"/>
          <w:sz w:val="24"/>
        </w:rPr>
        <w:t xml:space="preserve">。1987年重新组建的交通银行对外营业，成为新中国第一家全国性股份制商业银行；此后招商银行、中信实业银行、深圳发展银行等设立，城市信用社、农村信用社、信托投资公司在地方经济中扩张。1985年深圳、珠海、汕头、厦门试点允许外资银行设立分支机构。</w:t>
      </w:r>
    </w:p>
    <w:p>
      <w:pPr>
        <w:pStyle w:val="BodyText"/>
        <w:spacing w:line="360" w:lineRule="auto" w:after="160"/>
      </w:pPr>
      <w:r>
        <w:rPr>
          <w:rFonts w:ascii="Calibri" w:hAnsi="Calibri" w:eastAsia="宋体" w:cs="Calibri"/>
          <w:sz w:val="24"/>
        </w:rPr>
        <w:t xml:space="preserve">资金管理体制由“统存统贷”转向“实贷实存”，专业银行被要求企业化经营、利润核算，利率管理出现有限弹性。与此同时，1988年通货膨胀率显著上升，政府重新动用贷款规模等直接调控工具，显示出市场化改革与行政调控并存的“双轨”特征。</w:t>
      </w:r>
    </w:p>
    <w:p>
      <w:pPr>
        <w:pStyle w:val="BodyText"/>
        <w:spacing w:line="360" w:lineRule="auto" w:after="160"/>
      </w:pPr>
      <w:r>
        <w:rPr>
          <w:bCs/>
          <w:rFonts w:ascii="Calibri" w:hAnsi="Calibri" w:eastAsia="宋体" w:cs="Calibri"/>
          <w:b/>
          <w:sz w:val="24"/>
        </w:rPr>
        <w:t xml:space="preserve">阶段特征提炼</w:t>
      </w:r>
      <w:r>
        <w:rPr>
          <w:rFonts w:ascii="Calibri" w:hAnsi="Calibri" w:eastAsia="宋体" w:cs="Calibri"/>
          <w:sz w:val="24"/>
        </w:rPr>
        <w:t xml:space="preserve">：组织体系重建快于市场机制建设；专业银行仍承担大量政策性任务；竞争开始出现，但预算软约束尚未打破。</w:t>
      </w:r>
    </w:p>
    <w:bookmarkEnd w:id="26"/>
    <w:bookmarkStart w:id="27" w:name="第三阶段政策性与商业性分离法制框架成型19942002"/>
    <w:p>
      <w:pPr>
        <w:pStyle w:val="Heading3"/>
        <w:spacing w:before="240" w:after="160" w:line="312" w:lineRule="auto"/>
      </w:pPr>
      <w:r>
        <w:rPr>
          <w:rFonts w:ascii="Calibri" w:hAnsi="Calibri" w:eastAsia="黑体" w:cs="Calibri"/>
          <w:b/>
          <w:color w:val="2E75B6"/>
          <w:sz w:val="25"/>
        </w:rPr>
        <w:t xml:space="preserve">2.3 第三阶段：政策性与商业性分离，法制框架成型（1994—2002）</w:t>
      </w:r>
    </w:p>
    <w:p>
      <w:pPr>
        <w:pStyle w:val="FirstParagraph"/>
        <w:spacing w:line="360" w:lineRule="auto" w:after="160"/>
      </w:pPr>
      <w:r>
        <w:rPr>
          <w:rFonts w:ascii="Calibri" w:hAnsi="Calibri" w:eastAsia="宋体" w:cs="Calibri"/>
          <w:sz w:val="24"/>
        </w:rPr>
        <w:t xml:space="preserve">1992年党的十四大确立社会主义市场经济目标。1993年十四届三中全会提出：发展以银行融资为主的金融市场；人民银行独立执行货币政策；设立政策性银行，实行政策性业务与商业性业务分离。1994年，国家开发银行、中国进出口银行、中国农业发展银行成立。1995年，《中国人民银行法》《商业银行法》颁布，从法律上确认央行地位和商业银行企业法人地位。</w:t>
      </w:r>
    </w:p>
    <w:p>
      <w:pPr>
        <w:pStyle w:val="BodyText"/>
        <w:spacing w:line="360" w:lineRule="auto" w:after="160"/>
      </w:pPr>
      <w:r>
        <w:rPr>
          <w:rFonts w:ascii="Calibri" w:hAnsi="Calibri" w:eastAsia="宋体" w:cs="Calibri"/>
          <w:sz w:val="24"/>
        </w:rPr>
        <w:t xml:space="preserve">这一阶段的另一条主线是</w:t>
      </w:r>
      <w:r>
        <w:rPr>
          <w:bCs/>
          <w:rFonts w:ascii="Calibri" w:hAnsi="Calibri" w:eastAsia="宋体" w:cs="Calibri"/>
          <w:b/>
          <w:sz w:val="24"/>
        </w:rPr>
        <w:t xml:space="preserve">风险显性化</w:t>
      </w:r>
      <w:r>
        <w:rPr>
          <w:rFonts w:ascii="Calibri" w:hAnsi="Calibri" w:eastAsia="宋体" w:cs="Calibri"/>
          <w:sz w:val="24"/>
        </w:rPr>
        <w:t xml:space="preserve">。1990年代国企改革、重复建设和亚洲金融危机外部冲击，使专业银行积累了巨额不良贷款。公开资料与当时监管披露显示：</w:t>
      </w:r>
    </w:p>
    <w:p>
      <w:pPr>
        <w:numPr>
          <w:ilvl w:val="0"/>
          <w:numId w:val="1005"/>
        </w:numPr>
        <w:pStyle w:val="Compact"/>
        <w:spacing w:line="360" w:lineRule="auto" w:after="160"/>
      </w:pPr>
      <w:r>
        <w:rPr>
          <w:rFonts w:ascii="Calibri" w:hAnsi="Calibri" w:eastAsia="宋体" w:cs="Calibri"/>
          <w:sz w:val="24"/>
        </w:rPr>
        <w:t xml:space="preserve">按较宽口径，1998年末四大国有银行不良资产约2.1万亿元，不良资产比率约22.3%，其中不良贷款比率有研究估至约35%。</w:t>
      </w:r>
    </w:p>
    <w:p>
      <w:pPr>
        <w:numPr>
          <w:ilvl w:val="0"/>
          <w:numId w:val="1005"/>
        </w:numPr>
        <w:pStyle w:val="Compact"/>
        <w:spacing w:line="360" w:lineRule="auto" w:after="160"/>
      </w:pPr>
      <w:r>
        <w:rPr>
          <w:rFonts w:ascii="Calibri" w:hAnsi="Calibri" w:eastAsia="宋体" w:cs="Calibri"/>
          <w:sz w:val="24"/>
        </w:rPr>
        <w:t xml:space="preserve">美林当时估计四大行平均坏账比率约29%，摩根大通估计约36%；国内保守估计亦多在30%上下。</w:t>
      </w:r>
    </w:p>
    <w:p>
      <w:pPr>
        <w:numPr>
          <w:ilvl w:val="0"/>
          <w:numId w:val="1005"/>
        </w:numPr>
        <w:pStyle w:val="Compact"/>
        <w:spacing w:line="360" w:lineRule="auto" w:after="160"/>
      </w:pPr>
      <w:r>
        <w:rPr>
          <w:rFonts w:ascii="Calibri" w:hAnsi="Calibri" w:eastAsia="宋体" w:cs="Calibri"/>
          <w:sz w:val="24"/>
        </w:rPr>
        <w:t xml:space="preserve">1999年成立信达、华融、长城、东方四家金融资产管理公司，按账面价值承接约1.4万亿元不良资产。资金来源包括央行再贷款约6041亿元和向银行及国家开发银行发行金融债券约8110亿元。</w:t>
      </w:r>
    </w:p>
    <w:p>
      <w:pPr>
        <w:numPr>
          <w:ilvl w:val="0"/>
          <w:numId w:val="1005"/>
        </w:numPr>
        <w:pStyle w:val="Compact"/>
        <w:spacing w:line="360" w:lineRule="auto" w:after="160"/>
      </w:pPr>
      <w:r>
        <w:rPr>
          <w:rFonts w:ascii="Calibri" w:hAnsi="Calibri" w:eastAsia="宋体" w:cs="Calibri"/>
          <w:sz w:val="24"/>
        </w:rPr>
        <w:t xml:space="preserve">剥离并未终结问题。国务院新闻办公布：2003年9月末四大国有商业银行不良贷款余额约1.999万亿元，不良贷款率21.38%。按五级分类，2003年末四家国有独资商业银行不良贷款率仍为20.36%。</w:t>
      </w:r>
    </w:p>
    <w:p>
      <w:pPr>
        <w:pStyle w:val="FirstParagraph"/>
        <w:spacing w:line="360" w:lineRule="auto" w:after="160"/>
      </w:pPr>
      <w:r>
        <w:rPr>
          <w:rFonts w:ascii="Calibri" w:hAnsi="Calibri" w:eastAsia="宋体" w:cs="Calibri"/>
          <w:sz w:val="24"/>
        </w:rPr>
        <w:t xml:space="preserve">1997年全国金融工作会议确立“防风险、强监管”主线；1998年前后信贷规模管理逐步让位于资产负债比例管理。2001年中国加入世界贸易组织，承诺逐步开放银行业，倒逼改革提速。</w:t>
      </w:r>
    </w:p>
    <w:p>
      <w:pPr>
        <w:pStyle w:val="BodyText"/>
        <w:spacing w:line="360" w:lineRule="auto" w:after="160"/>
      </w:pPr>
      <w:r>
        <w:rPr>
          <w:bCs/>
          <w:rFonts w:ascii="Calibri" w:hAnsi="Calibri" w:eastAsia="宋体" w:cs="Calibri"/>
          <w:b/>
          <w:sz w:val="24"/>
        </w:rPr>
        <w:t xml:space="preserve">阶段特征提炼</w:t>
      </w:r>
      <w:r>
        <w:rPr>
          <w:rFonts w:ascii="Calibri" w:hAnsi="Calibri" w:eastAsia="宋体" w:cs="Calibri"/>
          <w:sz w:val="24"/>
        </w:rPr>
        <w:t xml:space="preserve">：法律上的商业银行已经出现，财务上的健康银行尚未出现；政策银行分设完成，但国有银行资本金不足、治理未改。</w:t>
      </w:r>
    </w:p>
    <w:bookmarkEnd w:id="27"/>
    <w:bookmarkStart w:id="28" w:name="第四阶段注资股改上市与专业化监管20032012"/>
    <w:p>
      <w:pPr>
        <w:pStyle w:val="Heading3"/>
        <w:spacing w:before="240" w:after="160" w:line="312" w:lineRule="auto"/>
      </w:pPr>
      <w:r>
        <w:rPr>
          <w:rFonts w:ascii="Calibri" w:hAnsi="Calibri" w:eastAsia="黑体" w:cs="Calibri"/>
          <w:b/>
          <w:color w:val="2E75B6"/>
          <w:sz w:val="25"/>
        </w:rPr>
        <w:t xml:space="preserve">2.4 第四阶段：注资、股改、上市与专业化监管（2003—2012）</w:t>
      </w:r>
    </w:p>
    <w:p>
      <w:pPr>
        <w:pStyle w:val="FirstParagraph"/>
        <w:spacing w:line="360" w:lineRule="auto" w:after="160"/>
      </w:pPr>
      <w:r>
        <w:rPr>
          <w:rFonts w:ascii="Calibri" w:hAnsi="Calibri" w:eastAsia="宋体" w:cs="Calibri"/>
          <w:sz w:val="24"/>
        </w:rPr>
        <w:t xml:space="preserve">2003年是制度分水岭。中国银行业监督管理委员会挂牌，银行监管从央行分离。同年12月16日中央汇金公司成立，注册资本450亿美元，代表国家行使出资人权利。</w:t>
      </w:r>
    </w:p>
    <w:p>
      <w:pPr>
        <w:pStyle w:val="BodyText"/>
        <w:spacing w:line="360" w:lineRule="auto" w:after="160"/>
      </w:pPr>
      <w:r>
        <w:rPr>
          <w:bCs/>
          <w:rFonts w:ascii="Calibri" w:hAnsi="Calibri" w:eastAsia="宋体" w:cs="Calibri"/>
          <w:b/>
          <w:sz w:val="24"/>
        </w:rPr>
        <w:t xml:space="preserve">财务重组的关键动作（汇金公司公开大事记）：</w:t>
      </w:r>
    </w:p>
    <w:p>
      <w:pPr>
        <w:numPr>
          <w:ilvl w:val="0"/>
          <w:numId w:val="1006"/>
        </w:numPr>
        <w:pStyle w:val="Compact"/>
        <w:spacing w:line="360" w:lineRule="auto" w:after="160"/>
      </w:pPr>
      <w:r>
        <w:rPr>
          <w:rFonts w:ascii="Calibri" w:hAnsi="Calibri" w:eastAsia="宋体" w:cs="Calibri"/>
          <w:sz w:val="24"/>
        </w:rPr>
        <w:t xml:space="preserve">2003年12月，向中国银行、建设银行各注资225亿美元；</w:t>
      </w:r>
    </w:p>
    <w:p>
      <w:pPr>
        <w:numPr>
          <w:ilvl w:val="0"/>
          <w:numId w:val="1006"/>
        </w:numPr>
        <w:pStyle w:val="Compact"/>
        <w:spacing w:line="360" w:lineRule="auto" w:after="160"/>
      </w:pPr>
      <w:r>
        <w:rPr>
          <w:rFonts w:ascii="Calibri" w:hAnsi="Calibri" w:eastAsia="宋体" w:cs="Calibri"/>
          <w:sz w:val="24"/>
        </w:rPr>
        <w:t xml:space="preserve">2005年4月，向工商银行注资150亿美元；</w:t>
      </w:r>
    </w:p>
    <w:p>
      <w:pPr>
        <w:numPr>
          <w:ilvl w:val="0"/>
          <w:numId w:val="1006"/>
        </w:numPr>
        <w:pStyle w:val="Compact"/>
        <w:spacing w:line="360" w:lineRule="auto" w:after="160"/>
      </w:pPr>
      <w:r>
        <w:rPr>
          <w:rFonts w:ascii="Calibri" w:hAnsi="Calibri" w:eastAsia="宋体" w:cs="Calibri"/>
          <w:sz w:val="24"/>
        </w:rPr>
        <w:t xml:space="preserve">2008年10月，向农业银行注资1300亿元人民币等值美元。</w:t>
      </w:r>
    </w:p>
    <w:p>
      <w:pPr>
        <w:pStyle w:val="FirstParagraph"/>
        <w:spacing w:line="360" w:lineRule="auto" w:after="160"/>
      </w:pPr>
      <w:r>
        <w:rPr>
          <w:rFonts w:ascii="Calibri" w:hAnsi="Calibri" w:eastAsia="宋体" w:cs="Calibri"/>
          <w:sz w:val="24"/>
        </w:rPr>
        <w:t xml:space="preserve">改革路径是“财务重组—公司治理—引进战略投资者—公开发行上市”。建设银行2005年10月在香港上市，中国银行2006年6月、7月完成H股与A股上市，工商银行2006年10月A+H同步上市。银保监会后来披露的长序列显示：银行业金融机构总资产由2003年末的</w:t>
      </w:r>
      <w:r>
        <w:rPr>
          <w:rFonts w:ascii="Calibri" w:hAnsi="Calibri" w:eastAsia="宋体" w:cs="Calibri"/>
          <w:sz w:val="24"/>
        </w:rPr>
        <w:t xml:space="preserve"> </w:t>
      </w:r>
      <w:r>
        <w:rPr>
          <w:bCs/>
          <w:rFonts w:ascii="Calibri" w:hAnsi="Calibri" w:eastAsia="宋体" w:cs="Calibri"/>
          <w:b/>
          <w:sz w:val="24"/>
        </w:rPr>
        <w:t xml:space="preserve">27.64万亿元</w:t>
      </w:r>
      <w:r>
        <w:rPr>
          <w:rFonts w:ascii="Calibri" w:hAnsi="Calibri" w:eastAsia="宋体" w:cs="Calibri"/>
          <w:sz w:val="24"/>
        </w:rPr>
        <w:t xml:space="preserve"> </w:t>
      </w:r>
      <w:r>
        <w:rPr>
          <w:rFonts w:ascii="Calibri" w:hAnsi="Calibri" w:eastAsia="宋体" w:cs="Calibri"/>
          <w:sz w:val="24"/>
        </w:rPr>
        <w:t xml:space="preserve">增至2012年末约</w:t>
      </w:r>
      <w:r>
        <w:rPr>
          <w:rFonts w:ascii="Calibri" w:hAnsi="Calibri" w:eastAsia="宋体" w:cs="Calibri"/>
          <w:sz w:val="24"/>
        </w:rPr>
        <w:t xml:space="preserve"> </w:t>
      </w:r>
      <w:r>
        <w:rPr>
          <w:bCs/>
          <w:rFonts w:ascii="Calibri" w:hAnsi="Calibri" w:eastAsia="宋体" w:cs="Calibri"/>
          <w:b/>
          <w:sz w:val="24"/>
        </w:rPr>
        <w:t xml:space="preserve">133.6万亿元</w:t>
      </w:r>
      <w:r>
        <w:rPr>
          <w:rFonts w:ascii="Calibri" w:hAnsi="Calibri" w:eastAsia="宋体" w:cs="Calibri"/>
          <w:sz w:val="24"/>
        </w:rPr>
        <w:t xml:space="preserve">；不良贷款率由2002年末的</w:t>
      </w:r>
      <w:r>
        <w:rPr>
          <w:rFonts w:ascii="Calibri" w:hAnsi="Calibri" w:eastAsia="宋体" w:cs="Calibri"/>
          <w:sz w:val="24"/>
        </w:rPr>
        <w:t xml:space="preserve"> </w:t>
      </w:r>
      <w:r>
        <w:rPr>
          <w:bCs/>
          <w:rFonts w:ascii="Calibri" w:hAnsi="Calibri" w:eastAsia="宋体" w:cs="Calibri"/>
          <w:b/>
          <w:sz w:val="24"/>
        </w:rPr>
        <w:t xml:space="preserve">23.6%</w:t>
      </w:r>
      <w:r>
        <w:rPr>
          <w:rFonts w:ascii="Calibri" w:hAnsi="Calibri" w:eastAsia="宋体" w:cs="Calibri"/>
          <w:sz w:val="24"/>
        </w:rPr>
        <w:t xml:space="preserve"> </w:t>
      </w:r>
      <w:r>
        <w:rPr>
          <w:rFonts w:ascii="Calibri" w:hAnsi="Calibri" w:eastAsia="宋体" w:cs="Calibri"/>
          <w:sz w:val="24"/>
        </w:rPr>
        <w:t xml:space="preserve">大幅下降。</w:t>
      </w:r>
    </w:p>
    <w:p>
      <w:pPr>
        <w:pStyle w:val="BodyText"/>
        <w:spacing w:line="360" w:lineRule="auto" w:after="160"/>
      </w:pPr>
      <w:r>
        <w:rPr>
          <w:rFonts w:ascii="Calibri" w:hAnsi="Calibri" w:eastAsia="宋体" w:cs="Calibri"/>
          <w:sz w:val="24"/>
        </w:rPr>
        <w:t xml:space="preserve">2008年国际金融危机期间，中国银行业未出现美欧式的批发融资枯竭和大规模救助，反而成为“四万亿”刺激的主要执行通道。此后平台贷款、房地产贷款和影子银行扩张，为下一阶段的风险治理埋下伏笔。到2012年前后，多层次银行体系基本成型：大型商业银行、股份制银行、城商行、农村金融机构、政策性银行和外资银行并存。</w:t>
      </w:r>
    </w:p>
    <w:p>
      <w:pPr>
        <w:pStyle w:val="BodyText"/>
        <w:spacing w:line="360" w:lineRule="auto" w:after="160"/>
      </w:pPr>
      <w:r>
        <w:rPr>
          <w:bCs/>
          <w:rFonts w:ascii="Calibri" w:hAnsi="Calibri" w:eastAsia="宋体" w:cs="Calibri"/>
          <w:b/>
          <w:sz w:val="24"/>
        </w:rPr>
        <w:t xml:space="preserve">阶段特征提炼</w:t>
      </w:r>
      <w:r>
        <w:rPr>
          <w:rFonts w:ascii="Calibri" w:hAnsi="Calibri" w:eastAsia="宋体" w:cs="Calibri"/>
          <w:sz w:val="24"/>
        </w:rPr>
        <w:t xml:space="preserve">：用国家资本金置换历史坏账，用上市约束硬化预算，用专业化监管替代“央行既当运动员又当裁判”；规模高速扩张与风险后移并存。</w:t>
      </w:r>
    </w:p>
    <w:bookmarkEnd w:id="28"/>
    <w:bookmarkStart w:id="29" w:name="第五阶段从做大到做稳做优2013年至今"/>
    <w:p>
      <w:pPr>
        <w:pStyle w:val="Heading3"/>
        <w:spacing w:before="240" w:after="160" w:line="312" w:lineRule="auto"/>
      </w:pPr>
      <w:r>
        <w:rPr>
          <w:rFonts w:ascii="Calibri" w:hAnsi="Calibri" w:eastAsia="黑体" w:cs="Calibri"/>
          <w:b/>
          <w:color w:val="2E75B6"/>
          <w:sz w:val="25"/>
        </w:rPr>
        <w:t xml:space="preserve">2.5 第五阶段：从“做大”到“做稳做优”（2013年至今）</w:t>
      </w:r>
    </w:p>
    <w:p>
      <w:pPr>
        <w:pStyle w:val="FirstParagraph"/>
        <w:spacing w:line="360" w:lineRule="auto" w:after="160"/>
      </w:pPr>
      <w:r>
        <w:rPr>
          <w:rFonts w:ascii="Calibri" w:hAnsi="Calibri" w:eastAsia="宋体" w:cs="Calibri"/>
          <w:sz w:val="24"/>
        </w:rPr>
        <w:t xml:space="preserve">党的十八大以来，金融工作被明确为服务实体经济、防控风险、深化改革。利率市场化、存款保险（2015年）、人民币加入SDR（2016年）、资管新规（2018年）相继落地。监管架构经历两轮重组：2018年组建银保监会，2023年组建国家金融监督管理总局，统一负责证券业以外的金融业监管；同时设立中央金融委员会、中央金融工作委员会，强化党中央对金融工作的集中统一领导。</w:t>
      </w:r>
    </w:p>
    <w:p>
      <w:pPr>
        <w:pStyle w:val="BodyText"/>
        <w:spacing w:line="360" w:lineRule="auto" w:after="160"/>
      </w:pPr>
      <w:r>
        <w:rPr>
          <w:rFonts w:ascii="Calibri" w:hAnsi="Calibri" w:eastAsia="宋体" w:cs="Calibri"/>
          <w:sz w:val="24"/>
        </w:rPr>
        <w:t xml:space="preserve">这一阶段的结构性变化包括：</w:t>
      </w:r>
    </w:p>
    <w:p>
      <w:pPr>
        <w:numPr>
          <w:ilvl w:val="0"/>
          <w:numId w:val="1007"/>
        </w:numPr>
        <w:pStyle w:val="Compact"/>
        <w:spacing w:line="360" w:lineRule="auto" w:after="160"/>
      </w:pPr>
      <w:r>
        <w:rPr>
          <w:bCs/>
          <w:rFonts w:ascii="Calibri" w:hAnsi="Calibri" w:eastAsia="宋体" w:cs="Calibri"/>
          <w:b/>
          <w:sz w:val="24"/>
        </w:rPr>
        <w:t xml:space="preserve">影子银行收缩</w:t>
      </w:r>
      <w:r>
        <w:rPr>
          <w:rFonts w:ascii="Calibri" w:hAnsi="Calibri" w:eastAsia="宋体" w:cs="Calibri"/>
          <w:sz w:val="24"/>
        </w:rPr>
        <w:t xml:space="preserve">：表外理财、通道业务纳入宏观审慎和穿透式监管。</w:t>
      </w:r>
    </w:p>
    <w:p>
      <w:pPr>
        <w:numPr>
          <w:ilvl w:val="0"/>
          <w:numId w:val="1007"/>
        </w:numPr>
        <w:pStyle w:val="Compact"/>
        <w:spacing w:line="360" w:lineRule="auto" w:after="160"/>
      </w:pPr>
      <w:r>
        <w:rPr>
          <w:bCs/>
          <w:rFonts w:ascii="Calibri" w:hAnsi="Calibri" w:eastAsia="宋体" w:cs="Calibri"/>
          <w:b/>
          <w:sz w:val="24"/>
        </w:rPr>
        <w:t xml:space="preserve">信贷结构转向</w:t>
      </w:r>
      <w:r>
        <w:rPr>
          <w:rFonts w:ascii="Calibri" w:hAnsi="Calibri" w:eastAsia="宋体" w:cs="Calibri"/>
          <w:sz w:val="24"/>
        </w:rPr>
        <w:t xml:space="preserve">：科技、绿色、普惠、养老、数字“五篇大文章”成为政策导向；房地产和地方融资平台从增长引擎转为风险处置对象。</w:t>
      </w:r>
    </w:p>
    <w:p>
      <w:pPr>
        <w:numPr>
          <w:ilvl w:val="0"/>
          <w:numId w:val="1007"/>
        </w:numPr>
        <w:pStyle w:val="Compact"/>
        <w:spacing w:line="360" w:lineRule="auto" w:after="160"/>
      </w:pPr>
      <w:r>
        <w:rPr>
          <w:bCs/>
          <w:rFonts w:ascii="Calibri" w:hAnsi="Calibri" w:eastAsia="宋体" w:cs="Calibri"/>
          <w:b/>
          <w:sz w:val="24"/>
        </w:rPr>
        <w:t xml:space="preserve">中小银行“减量提质”</w:t>
      </w:r>
      <w:r>
        <w:rPr>
          <w:rFonts w:ascii="Calibri" w:hAnsi="Calibri" w:eastAsia="宋体" w:cs="Calibri"/>
          <w:sz w:val="24"/>
        </w:rPr>
        <w:t xml:space="preserve">：2025年末金融监管总局监管的银行业金融机构法人</w:t>
      </w:r>
      <w:r>
        <w:rPr>
          <w:rFonts w:ascii="Calibri" w:hAnsi="Calibri" w:eastAsia="宋体" w:cs="Calibri"/>
          <w:sz w:val="24"/>
        </w:rPr>
        <w:t xml:space="preserve"> </w:t>
      </w:r>
      <w:r>
        <w:rPr>
          <w:bCs/>
          <w:rFonts w:ascii="Calibri" w:hAnsi="Calibri" w:eastAsia="宋体" w:cs="Calibri"/>
          <w:b/>
          <w:sz w:val="24"/>
        </w:rPr>
        <w:t xml:space="preserve">3619家</w:t>
      </w:r>
      <w:r>
        <w:rPr>
          <w:rFonts w:ascii="Calibri" w:hAnsi="Calibri" w:eastAsia="宋体" w:cs="Calibri"/>
          <w:sz w:val="24"/>
        </w:rPr>
        <w:t xml:space="preserve">，较2024年末减少676家，其中农村中小银行减少670家，法人机构总数降至2933家。</w:t>
      </w:r>
    </w:p>
    <w:p>
      <w:pPr>
        <w:numPr>
          <w:ilvl w:val="0"/>
          <w:numId w:val="1007"/>
        </w:numPr>
        <w:pStyle w:val="Compact"/>
        <w:spacing w:line="360" w:lineRule="auto" w:after="160"/>
      </w:pPr>
      <w:r>
        <w:rPr>
          <w:bCs/>
          <w:rFonts w:ascii="Calibri" w:hAnsi="Calibri" w:eastAsia="宋体" w:cs="Calibri"/>
          <w:b/>
          <w:sz w:val="24"/>
        </w:rPr>
        <w:t xml:space="preserve">制度型开放</w:t>
      </w:r>
      <w:r>
        <w:rPr>
          <w:rFonts w:ascii="Calibri" w:hAnsi="Calibri" w:eastAsia="宋体" w:cs="Calibri"/>
          <w:sz w:val="24"/>
        </w:rPr>
        <w:t xml:space="preserve">：取消银行保险外资持股比例限制，但外资银行资产份额不升反降（见第四节）。</w:t>
      </w:r>
    </w:p>
    <w:p>
      <w:pPr>
        <w:pStyle w:val="FirstParagraph"/>
        <w:spacing w:line="360" w:lineRule="auto" w:after="160"/>
      </w:pPr>
      <w:r>
        <w:rPr>
          <w:rFonts w:ascii="Calibri" w:hAnsi="Calibri" w:eastAsia="宋体" w:cs="Calibri"/>
          <w:sz w:val="24"/>
        </w:rPr>
        <w:t xml:space="preserve">到2025年末，行业已由“有没有现代银行体系”转入“如何在低息差、高信贷密度和结构转型中维持稳健”。</w:t>
      </w:r>
    </w:p>
    <w:p>
      <w:pPr>
        <w:spacing w:line="360" w:lineRule="auto" w:after="160"/>
      </w:pPr>
      <w:r>
        <w:rPr>
          <w:rFonts w:ascii="Calibri" w:hAnsi="Calibri" w:eastAsia="宋体" w:cs="Calibri"/>
          <w:sz w:val="24"/>
        </w:rPr>
        <w:pict>
          <v:rect style="width:0;height:1.5pt" o:hralign="center" o:hrstd="t" o:hr="t"/>
        </w:pict>
      </w:r>
    </w:p>
    <w:bookmarkEnd w:id="29"/>
    <w:bookmarkEnd w:id="30"/>
    <w:bookmarkStart w:id="37" w:name="三中国银行业的主要特征"/>
    <w:p>
      <w:pPr>
        <w:pStyle w:val="Heading2"/>
        <w:spacing w:before="240" w:after="160" w:line="312" w:lineRule="auto"/>
      </w:pPr>
      <w:r>
        <w:rPr>
          <w:rFonts w:ascii="Calibri" w:hAnsi="Calibri" w:eastAsia="黑体" w:cs="Calibri"/>
          <w:b/>
          <w:color w:val="2E75B6"/>
          <w:sz w:val="28"/>
        </w:rPr>
        <w:t xml:space="preserve">三、中国银行业的主要特征</w:t>
      </w:r>
    </w:p>
    <w:p>
      <w:pPr>
        <w:pStyle w:val="FirstParagraph"/>
        <w:spacing w:line="360" w:lineRule="auto" w:after="160"/>
      </w:pPr>
      <w:r>
        <w:rPr>
          <w:rFonts w:ascii="Calibri" w:hAnsi="Calibri" w:eastAsia="宋体" w:cs="Calibri"/>
          <w:sz w:val="24"/>
        </w:rPr>
        <w:t xml:space="preserve">综合历史与现状，中国银行业的特征不宜用单一标签概括，而应把握以下六组关系。</w:t>
      </w:r>
    </w:p>
    <w:bookmarkStart w:id="31" w:name="银行主导而不是市场主导"/>
    <w:p>
      <w:pPr>
        <w:pStyle w:val="Heading3"/>
        <w:spacing w:before="240" w:after="160" w:line="312" w:lineRule="auto"/>
      </w:pPr>
      <w:r>
        <w:rPr>
          <w:rFonts w:ascii="Calibri" w:hAnsi="Calibri" w:eastAsia="黑体" w:cs="Calibri"/>
          <w:b/>
          <w:color w:val="2E75B6"/>
          <w:sz w:val="25"/>
        </w:rPr>
        <w:t xml:space="preserve">3.1 银行主导，而不是市场主导</w:t>
      </w:r>
    </w:p>
    <w:p>
      <w:pPr>
        <w:pStyle w:val="FirstParagraph"/>
        <w:spacing w:line="360" w:lineRule="auto" w:after="160"/>
      </w:pPr>
      <w:r>
        <w:rPr>
          <w:rFonts w:ascii="Calibri" w:hAnsi="Calibri" w:eastAsia="宋体" w:cs="Calibri"/>
          <w:sz w:val="24"/>
        </w:rPr>
        <w:t xml:space="preserve">2025年末，社会融资规模存量</w:t>
      </w:r>
      <w:r>
        <w:rPr>
          <w:rFonts w:ascii="Calibri" w:hAnsi="Calibri" w:eastAsia="宋体" w:cs="Calibri"/>
          <w:sz w:val="24"/>
        </w:rPr>
        <w:t xml:space="preserve"> </w:t>
      </w:r>
      <w:r>
        <w:rPr>
          <w:bCs/>
          <w:rFonts w:ascii="Calibri" w:hAnsi="Calibri" w:eastAsia="宋体" w:cs="Calibri"/>
          <w:b/>
          <w:sz w:val="24"/>
        </w:rPr>
        <w:t xml:space="preserve">442.12万亿元</w:t>
      </w:r>
      <w:r>
        <w:rPr>
          <w:rFonts w:ascii="Calibri" w:hAnsi="Calibri" w:eastAsia="宋体" w:cs="Calibri"/>
          <w:sz w:val="24"/>
        </w:rPr>
        <w:t xml:space="preserve">，其中对实体经济发放的人民币贷款</w:t>
      </w:r>
      <w:r>
        <w:rPr>
          <w:rFonts w:ascii="Calibri" w:hAnsi="Calibri" w:eastAsia="宋体" w:cs="Calibri"/>
          <w:sz w:val="24"/>
        </w:rPr>
        <w:t xml:space="preserve"> </w:t>
      </w:r>
      <w:r>
        <w:rPr>
          <w:bCs/>
          <w:rFonts w:ascii="Calibri" w:hAnsi="Calibri" w:eastAsia="宋体" w:cs="Calibri"/>
          <w:b/>
          <w:sz w:val="24"/>
        </w:rPr>
        <w:t xml:space="preserve">268.4万亿元</w:t>
      </w:r>
      <w:r>
        <w:rPr>
          <w:rFonts w:ascii="Calibri" w:hAnsi="Calibri" w:eastAsia="宋体" w:cs="Calibri"/>
          <w:sz w:val="24"/>
        </w:rPr>
        <w:t xml:space="preserve">，占比</w:t>
      </w:r>
      <w:r>
        <w:rPr>
          <w:rFonts w:ascii="Calibri" w:hAnsi="Calibri" w:eastAsia="宋体" w:cs="Calibri"/>
          <w:sz w:val="24"/>
        </w:rPr>
        <w:t xml:space="preserve"> </w:t>
      </w:r>
      <w:r>
        <w:rPr>
          <w:bCs/>
          <w:rFonts w:ascii="Calibri" w:hAnsi="Calibri" w:eastAsia="宋体" w:cs="Calibri"/>
          <w:b/>
          <w:sz w:val="24"/>
        </w:rPr>
        <w:t xml:space="preserve">60.7%</w:t>
      </w:r>
      <w:r>
        <w:rPr>
          <w:rFonts w:ascii="Calibri" w:hAnsi="Calibri" w:eastAsia="宋体" w:cs="Calibri"/>
          <w:sz w:val="24"/>
        </w:rPr>
        <w:t xml:space="preserve">；企业债券占比</w:t>
      </w:r>
      <w:r>
        <w:rPr>
          <w:rFonts w:ascii="Calibri" w:hAnsi="Calibri" w:eastAsia="宋体" w:cs="Calibri"/>
          <w:sz w:val="24"/>
        </w:rPr>
        <w:t xml:space="preserve"> </w:t>
      </w:r>
      <w:r>
        <w:rPr>
          <w:bCs/>
          <w:rFonts w:ascii="Calibri" w:hAnsi="Calibri" w:eastAsia="宋体" w:cs="Calibri"/>
          <w:b/>
          <w:sz w:val="24"/>
        </w:rPr>
        <w:t xml:space="preserve">7.7%</w:t>
      </w:r>
      <w:r>
        <w:rPr>
          <w:rFonts w:ascii="Calibri" w:hAnsi="Calibri" w:eastAsia="宋体" w:cs="Calibri"/>
          <w:sz w:val="24"/>
        </w:rPr>
        <w:t xml:space="preserve">，非金融企业境内股票仅占</w:t>
      </w:r>
      <w:r>
        <w:rPr>
          <w:rFonts w:ascii="Calibri" w:hAnsi="Calibri" w:eastAsia="宋体" w:cs="Calibri"/>
          <w:sz w:val="24"/>
        </w:rPr>
        <w:t xml:space="preserve"> </w:t>
      </w:r>
      <w:r>
        <w:rPr>
          <w:bCs/>
          <w:rFonts w:ascii="Calibri" w:hAnsi="Calibri" w:eastAsia="宋体" w:cs="Calibri"/>
          <w:b/>
          <w:sz w:val="24"/>
        </w:rPr>
        <w:t xml:space="preserve">2.8%</w:t>
      </w:r>
      <w:r>
        <w:rPr>
          <w:rFonts w:ascii="Calibri" w:hAnsi="Calibri" w:eastAsia="宋体" w:cs="Calibri"/>
          <w:sz w:val="24"/>
        </w:rPr>
        <w:t xml:space="preserve">。即使把政府债券（占比21.5%）视为直接融资，贷款仍是实体经济资金的主体。</w:t>
      </w:r>
    </w:p>
    <w:p>
      <w:pPr>
        <w:pStyle w:val="BodyText"/>
        <w:spacing w:line="360" w:lineRule="auto" w:after="160"/>
      </w:pPr>
      <w:r>
        <w:rPr>
          <w:rFonts w:ascii="Calibri" w:hAnsi="Calibri" w:eastAsia="宋体" w:cs="Calibri"/>
          <w:sz w:val="24"/>
        </w:rPr>
        <w:t xml:space="preserve">世界银行数据显示，2024年中国国内私人部门信贷/GDP为</w:t>
      </w:r>
      <w:r>
        <w:rPr>
          <w:rFonts w:ascii="Calibri" w:hAnsi="Calibri" w:eastAsia="宋体" w:cs="Calibri"/>
          <w:sz w:val="24"/>
        </w:rPr>
        <w:t xml:space="preserve"> </w:t>
      </w:r>
      <w:r>
        <w:rPr>
          <w:bCs/>
          <w:rFonts w:ascii="Calibri" w:hAnsi="Calibri" w:eastAsia="宋体" w:cs="Calibri"/>
          <w:b/>
          <w:sz w:val="24"/>
        </w:rPr>
        <w:t xml:space="preserve">194.2%</w:t>
      </w:r>
      <w:r>
        <w:rPr>
          <w:rFonts w:ascii="Calibri" w:hAnsi="Calibri" w:eastAsia="宋体" w:cs="Calibri"/>
          <w:sz w:val="24"/>
        </w:rPr>
        <w:t xml:space="preserve">，股票市值/GDP为</w:t>
      </w:r>
      <w:r>
        <w:rPr>
          <w:rFonts w:ascii="Calibri" w:hAnsi="Calibri" w:eastAsia="宋体" w:cs="Calibri"/>
          <w:sz w:val="24"/>
        </w:rPr>
        <w:t xml:space="preserve"> </w:t>
      </w:r>
      <w:r>
        <w:rPr>
          <w:bCs/>
          <w:rFonts w:ascii="Calibri" w:hAnsi="Calibri" w:eastAsia="宋体" w:cs="Calibri"/>
          <w:b/>
          <w:sz w:val="24"/>
        </w:rPr>
        <w:t xml:space="preserve">62.7%</w:t>
      </w:r>
      <w:r>
        <w:rPr>
          <w:rFonts w:ascii="Calibri" w:hAnsi="Calibri" w:eastAsia="宋体" w:cs="Calibri"/>
          <w:sz w:val="24"/>
        </w:rPr>
        <w:t xml:space="preserve">。信贷密度已接近甚至超过若干发达经济体，但股权市场相对GDP的深度远低于美国（216.3%）和日本（156.7%），与德国（43.6%）同属“股市浅、信贷深”的结构。</w:t>
      </w:r>
    </w:p>
    <w:bookmarkEnd w:id="31"/>
    <w:bookmarkStart w:id="32" w:name="国家控股的大型银行是体系的压舱石"/>
    <w:p>
      <w:pPr>
        <w:pStyle w:val="Heading3"/>
        <w:spacing w:before="240" w:after="160" w:line="312" w:lineRule="auto"/>
      </w:pPr>
      <w:r>
        <w:rPr>
          <w:rFonts w:ascii="Calibri" w:hAnsi="Calibri" w:eastAsia="黑体" w:cs="Calibri"/>
          <w:b/>
          <w:color w:val="2E75B6"/>
          <w:sz w:val="25"/>
        </w:rPr>
        <w:t xml:space="preserve">3.2 国家控股的大型银行是体系的压舱石</w:t>
      </w:r>
    </w:p>
    <w:p>
      <w:pPr>
        <w:pStyle w:val="FirstParagraph"/>
        <w:spacing w:line="360" w:lineRule="auto" w:after="160"/>
      </w:pPr>
      <w:r>
        <w:rPr>
          <w:rFonts w:ascii="Calibri" w:hAnsi="Calibri" w:eastAsia="宋体" w:cs="Calibri"/>
          <w:sz w:val="24"/>
        </w:rPr>
        <w:t xml:space="preserve">2025年末，大型商业银行资产</w:t>
      </w:r>
      <w:r>
        <w:rPr>
          <w:rFonts w:ascii="Calibri" w:hAnsi="Calibri" w:eastAsia="宋体" w:cs="Calibri"/>
          <w:sz w:val="24"/>
        </w:rPr>
        <w:t xml:space="preserve"> </w:t>
      </w:r>
      <w:r>
        <w:rPr>
          <w:bCs/>
          <w:rFonts w:ascii="Calibri" w:hAnsi="Calibri" w:eastAsia="宋体" w:cs="Calibri"/>
          <w:b/>
          <w:sz w:val="24"/>
        </w:rPr>
        <w:t xml:space="preserve">210.8万亿元</w:t>
      </w:r>
      <w:r>
        <w:rPr>
          <w:rFonts w:ascii="Calibri" w:hAnsi="Calibri" w:eastAsia="宋体" w:cs="Calibri"/>
          <w:sz w:val="24"/>
        </w:rPr>
        <w:t xml:space="preserve">，占全行业</w:t>
      </w:r>
      <w:r>
        <w:rPr>
          <w:rFonts w:ascii="Calibri" w:hAnsi="Calibri" w:eastAsia="宋体" w:cs="Calibri"/>
          <w:sz w:val="24"/>
        </w:rPr>
        <w:t xml:space="preserve"> </w:t>
      </w:r>
      <w:r>
        <w:rPr>
          <w:bCs/>
          <w:rFonts w:ascii="Calibri" w:hAnsi="Calibri" w:eastAsia="宋体" w:cs="Calibri"/>
          <w:b/>
          <w:sz w:val="24"/>
        </w:rPr>
        <w:t xml:space="preserve">43.9%</w:t>
      </w:r>
      <w:r>
        <w:rPr>
          <w:rFonts w:ascii="Calibri" w:hAnsi="Calibri" w:eastAsia="宋体" w:cs="Calibri"/>
          <w:sz w:val="24"/>
        </w:rPr>
        <w:t xml:space="preserve">；股份制商业银行</w:t>
      </w:r>
      <w:r>
        <w:rPr>
          <w:rFonts w:ascii="Calibri" w:hAnsi="Calibri" w:eastAsia="宋体" w:cs="Calibri"/>
          <w:sz w:val="24"/>
        </w:rPr>
        <w:t xml:space="preserve"> </w:t>
      </w:r>
      <w:r>
        <w:rPr>
          <w:bCs/>
          <w:rFonts w:ascii="Calibri" w:hAnsi="Calibri" w:eastAsia="宋体" w:cs="Calibri"/>
          <w:b/>
          <w:sz w:val="24"/>
        </w:rPr>
        <w:t xml:space="preserve">77.8万亿元</w:t>
      </w:r>
      <w:r>
        <w:rPr>
          <w:rFonts w:ascii="Calibri" w:hAnsi="Calibri" w:eastAsia="宋体" w:cs="Calibri"/>
          <w:sz w:val="24"/>
        </w:rPr>
        <w:t xml:space="preserve">，占</w:t>
      </w:r>
      <w:r>
        <w:rPr>
          <w:rFonts w:ascii="Calibri" w:hAnsi="Calibri" w:eastAsia="宋体" w:cs="Calibri"/>
          <w:sz w:val="24"/>
        </w:rPr>
        <w:t xml:space="preserve"> </w:t>
      </w:r>
      <w:r>
        <w:rPr>
          <w:bCs/>
          <w:rFonts w:ascii="Calibri" w:hAnsi="Calibri" w:eastAsia="宋体" w:cs="Calibri"/>
          <w:b/>
          <w:sz w:val="24"/>
        </w:rPr>
        <w:t xml:space="preserve">16.2%</w:t>
      </w:r>
      <w:r>
        <w:rPr>
          <w:rFonts w:ascii="Calibri" w:hAnsi="Calibri" w:eastAsia="宋体" w:cs="Calibri"/>
          <w:sz w:val="24"/>
        </w:rPr>
        <w:t xml:space="preserve">。国有六大行长期承担逆周期信贷、普惠让利、支持重点领域等政策功能。工、农、中、建、交先后入选金融稳定理事会（FSB）全球系统重要性银行（G-SIB）名单：2024年名单中，工行、农行、中行、建行列入附加资本1.5%的第二组，交行列入1.0%的第一组。</w:t>
      </w:r>
    </w:p>
    <w:bookmarkEnd w:id="32"/>
    <w:bookmarkStart w:id="33" w:name="高储蓄高信贷高银行资产密度"/>
    <w:p>
      <w:pPr>
        <w:pStyle w:val="Heading3"/>
        <w:spacing w:before="240" w:after="160" w:line="312" w:lineRule="auto"/>
      </w:pPr>
      <w:r>
        <w:rPr>
          <w:rFonts w:ascii="Calibri" w:hAnsi="Calibri" w:eastAsia="黑体" w:cs="Calibri"/>
          <w:b/>
          <w:color w:val="2E75B6"/>
          <w:sz w:val="25"/>
        </w:rPr>
        <w:t xml:space="preserve">3.3 高储蓄—高信贷—高银行资产密度</w:t>
      </w:r>
    </w:p>
    <w:p>
      <w:pPr>
        <w:pStyle w:val="FirstParagraph"/>
        <w:spacing w:line="360" w:lineRule="auto" w:after="160"/>
      </w:pPr>
      <w:r>
        <w:rPr>
          <w:rFonts w:ascii="Calibri" w:hAnsi="Calibri" w:eastAsia="宋体" w:cs="Calibri"/>
          <w:sz w:val="24"/>
        </w:rPr>
        <w:t xml:space="preserve">2025年末银行业总资产480万亿元，相当于GDP的约</w:t>
      </w:r>
      <w:r>
        <w:rPr>
          <w:rFonts w:ascii="Calibri" w:hAnsi="Calibri" w:eastAsia="宋体" w:cs="Calibri"/>
          <w:sz w:val="24"/>
        </w:rPr>
        <w:t xml:space="preserve"> </w:t>
      </w:r>
      <w:r>
        <w:rPr>
          <w:bCs/>
          <w:rFonts w:ascii="Calibri" w:hAnsi="Calibri" w:eastAsia="宋体" w:cs="Calibri"/>
          <w:b/>
          <w:sz w:val="24"/>
        </w:rPr>
        <w:t xml:space="preserve">342%</w:t>
      </w:r>
      <w:r>
        <w:rPr>
          <w:rFonts w:ascii="Calibri" w:hAnsi="Calibri" w:eastAsia="宋体" w:cs="Calibri"/>
          <w:sz w:val="24"/>
        </w:rPr>
        <w:t xml:space="preserve">。这一比率远高于美国联邦存款保险公司（FDIC）参保机构总资产相对GDP约</w:t>
      </w:r>
      <w:r>
        <w:rPr>
          <w:rFonts w:ascii="Calibri" w:hAnsi="Calibri" w:eastAsia="宋体" w:cs="Calibri"/>
          <w:sz w:val="24"/>
        </w:rPr>
        <w:t xml:space="preserve"> </w:t>
      </w:r>
      <w:r>
        <w:rPr>
          <w:bCs/>
          <w:rFonts w:ascii="Calibri" w:hAnsi="Calibri" w:eastAsia="宋体" w:cs="Calibri"/>
          <w:b/>
          <w:sz w:val="24"/>
        </w:rPr>
        <w:t xml:space="preserve">80%</w:t>
      </w:r>
      <w:r>
        <w:rPr>
          <w:rFonts w:ascii="Calibri" w:hAnsi="Calibri" w:eastAsia="宋体" w:cs="Calibri"/>
          <w:sz w:val="24"/>
        </w:rPr>
        <w:t xml:space="preserve"> </w:t>
      </w:r>
      <w:r>
        <w:rPr>
          <w:rFonts w:ascii="Calibri" w:hAnsi="Calibri" w:eastAsia="宋体" w:cs="Calibri"/>
          <w:sz w:val="24"/>
        </w:rPr>
        <w:t xml:space="preserve">的水平。需要强调：中国口径包含政策性银行等，美国FDIC口径主要是商业银行和储蓄机构，二者不能直接视为“中国银行体系是美国的四倍大”，但方向明确——中国经济增长对银行资产负债表的依赖远高于美国。</w:t>
      </w:r>
    </w:p>
    <w:bookmarkEnd w:id="33"/>
    <w:bookmarkStart w:id="34" w:name="渐进改革市场化工具与行政调控长期并存"/>
    <w:p>
      <w:pPr>
        <w:pStyle w:val="Heading3"/>
        <w:spacing w:before="240" w:after="160" w:line="312" w:lineRule="auto"/>
      </w:pPr>
      <w:r>
        <w:rPr>
          <w:rFonts w:ascii="Calibri" w:hAnsi="Calibri" w:eastAsia="黑体" w:cs="Calibri"/>
          <w:b/>
          <w:color w:val="2E75B6"/>
          <w:sz w:val="25"/>
        </w:rPr>
        <w:t xml:space="preserve">3.4 渐进改革：市场化工具与行政调控长期并存</w:t>
      </w:r>
    </w:p>
    <w:p>
      <w:pPr>
        <w:pStyle w:val="FirstParagraph"/>
        <w:spacing w:line="360" w:lineRule="auto" w:after="160"/>
      </w:pPr>
      <w:r>
        <w:rPr>
          <w:rFonts w:ascii="Calibri" w:hAnsi="Calibri" w:eastAsia="宋体" w:cs="Calibri"/>
          <w:sz w:val="24"/>
        </w:rPr>
        <w:t xml:space="preserve">从1979年机构分设，到1994年政策银行，再到2003年股改、2015年存款保险、2018年资管新规，改革次序是“先组织体系、后市场机制、再开放与监管现代化”。利率、汇率市场化推进的同时，窗口指导、信贷结构考核、资本和流动性的宏观审慎工具始终存在。这与英美“先市场、后监管补丁”的路径不同，也与休克式银行私有化不同。</w:t>
      </w:r>
    </w:p>
    <w:bookmarkEnd w:id="34"/>
    <w:bookmarkStart w:id="35" w:name="对内多层次对外低渗透"/>
    <w:p>
      <w:pPr>
        <w:pStyle w:val="Heading3"/>
        <w:spacing w:before="240" w:after="160" w:line="312" w:lineRule="auto"/>
      </w:pPr>
      <w:r>
        <w:rPr>
          <w:rFonts w:ascii="Calibri" w:hAnsi="Calibri" w:eastAsia="黑体" w:cs="Calibri"/>
          <w:b/>
          <w:color w:val="2E75B6"/>
          <w:sz w:val="25"/>
        </w:rPr>
        <w:t xml:space="preserve">3.5 对内多层次、对外低渗透</w:t>
      </w:r>
    </w:p>
    <w:p>
      <w:pPr>
        <w:pStyle w:val="FirstParagraph"/>
        <w:spacing w:line="360" w:lineRule="auto" w:after="160"/>
      </w:pPr>
      <w:r>
        <w:rPr>
          <w:rFonts w:ascii="Calibri" w:hAnsi="Calibri" w:eastAsia="宋体" w:cs="Calibri"/>
          <w:sz w:val="24"/>
        </w:rPr>
        <w:t xml:space="preserve">对内已形成大行、股份行、城商行、农商行、民营银行和政策性银行的分层；对外则是“大门打开、份额不高”。联合资信依据年报汇总：2024年末境内41家外资法人银行资产合计约</w:t>
      </w:r>
      <w:r>
        <w:rPr>
          <w:rFonts w:ascii="Calibri" w:hAnsi="Calibri" w:eastAsia="宋体" w:cs="Calibri"/>
          <w:sz w:val="24"/>
        </w:rPr>
        <w:t xml:space="preserve"> </w:t>
      </w:r>
      <w:r>
        <w:rPr>
          <w:bCs/>
          <w:rFonts w:ascii="Calibri" w:hAnsi="Calibri" w:eastAsia="宋体" w:cs="Calibri"/>
          <w:b/>
          <w:sz w:val="24"/>
        </w:rPr>
        <w:t xml:space="preserve">3.29万亿元</w:t>
      </w:r>
      <w:r>
        <w:rPr>
          <w:rFonts w:ascii="Calibri" w:hAnsi="Calibri" w:eastAsia="宋体" w:cs="Calibri"/>
          <w:sz w:val="24"/>
        </w:rPr>
        <w:t xml:space="preserve">，仅占银行业金融机构总资产的</w:t>
      </w:r>
      <w:r>
        <w:rPr>
          <w:rFonts w:ascii="Calibri" w:hAnsi="Calibri" w:eastAsia="宋体" w:cs="Calibri"/>
          <w:sz w:val="24"/>
        </w:rPr>
        <w:t xml:space="preserve"> </w:t>
      </w:r>
      <w:r>
        <w:rPr>
          <w:bCs/>
          <w:rFonts w:ascii="Calibri" w:hAnsi="Calibri" w:eastAsia="宋体" w:cs="Calibri"/>
          <w:b/>
          <w:sz w:val="24"/>
        </w:rPr>
        <w:t xml:space="preserve">0.74%</w:t>
      </w:r>
      <w:r>
        <w:rPr>
          <w:rFonts w:ascii="Calibri" w:hAnsi="Calibri" w:eastAsia="宋体" w:cs="Calibri"/>
          <w:sz w:val="24"/>
        </w:rPr>
        <w:t xml:space="preserve">，且占比逐年下降。全球系统重要性银行虽已基本在华设机构，但零售储蓄、县域网络和人民币负债成本优势仍在中资银行。</w:t>
      </w:r>
    </w:p>
    <w:bookmarkEnd w:id="35"/>
    <w:bookmarkStart w:id="36" w:name="风险指标改善与盈利能力走弱同时发生"/>
    <w:p>
      <w:pPr>
        <w:pStyle w:val="Heading3"/>
        <w:spacing w:before="240" w:after="160" w:line="312" w:lineRule="auto"/>
      </w:pPr>
      <w:r>
        <w:rPr>
          <w:rFonts w:ascii="Calibri" w:hAnsi="Calibri" w:eastAsia="黑体" w:cs="Calibri"/>
          <w:b/>
          <w:color w:val="2E75B6"/>
          <w:sz w:val="25"/>
        </w:rPr>
        <w:t xml:space="preserve">3.6 风险指标改善与盈利能力走弱同时发生</w:t>
      </w:r>
    </w:p>
    <w:p>
      <w:pPr>
        <w:pStyle w:val="FirstParagraph"/>
        <w:spacing w:line="360" w:lineRule="auto" w:after="160"/>
      </w:pPr>
      <w:r>
        <w:rPr>
          <w:rFonts w:ascii="Calibri" w:hAnsi="Calibri" w:eastAsia="宋体" w:cs="Calibri"/>
          <w:sz w:val="24"/>
        </w:rPr>
        <w:t xml:space="preserve">不良贷款率从本世纪初20%以上降至2025年末1.50%，拨备覆盖率205.21%，资本充足率15.46%，说明损失吸收能力总体充足。但净息差已降至</w:t>
      </w:r>
      <w:r>
        <w:rPr>
          <w:rFonts w:ascii="Calibri" w:hAnsi="Calibri" w:eastAsia="宋体" w:cs="Calibri"/>
          <w:sz w:val="24"/>
        </w:rPr>
        <w:t xml:space="preserve"> </w:t>
      </w:r>
      <w:r>
        <w:rPr>
          <w:bCs/>
          <w:rFonts w:ascii="Calibri" w:hAnsi="Calibri" w:eastAsia="宋体" w:cs="Calibri"/>
          <w:b/>
          <w:sz w:val="24"/>
        </w:rPr>
        <w:t xml:space="preserve">1.42%</w:t>
      </w:r>
      <w:r>
        <w:rPr>
          <w:rFonts w:ascii="Calibri" w:hAnsi="Calibri" w:eastAsia="宋体" w:cs="Calibri"/>
          <w:sz w:val="24"/>
        </w:rPr>
        <w:t xml:space="preserve">（2025年二至四季度连续持平），平均资产利润率</w:t>
      </w:r>
      <w:r>
        <w:rPr>
          <w:rFonts w:ascii="Calibri" w:hAnsi="Calibri" w:eastAsia="宋体" w:cs="Calibri"/>
          <w:sz w:val="24"/>
        </w:rPr>
        <w:t xml:space="preserve"> </w:t>
      </w:r>
      <w:r>
        <w:rPr>
          <w:bCs/>
          <w:rFonts w:ascii="Calibri" w:hAnsi="Calibri" w:eastAsia="宋体" w:cs="Calibri"/>
          <w:b/>
          <w:sz w:val="24"/>
        </w:rPr>
        <w:t xml:space="preserve">0.60%</w:t>
      </w:r>
      <w:r>
        <w:rPr>
          <w:rFonts w:ascii="Calibri" w:hAnsi="Calibri" w:eastAsia="宋体" w:cs="Calibri"/>
          <w:sz w:val="24"/>
        </w:rPr>
        <w:t xml:space="preserve">，平均资本利润率</w:t>
      </w:r>
      <w:r>
        <w:rPr>
          <w:rFonts w:ascii="Calibri" w:hAnsi="Calibri" w:eastAsia="宋体" w:cs="Calibri"/>
          <w:sz w:val="24"/>
        </w:rPr>
        <w:t xml:space="preserve"> </w:t>
      </w:r>
      <w:r>
        <w:rPr>
          <w:bCs/>
          <w:rFonts w:ascii="Calibri" w:hAnsi="Calibri" w:eastAsia="宋体" w:cs="Calibri"/>
          <w:b/>
          <w:sz w:val="24"/>
        </w:rPr>
        <w:t xml:space="preserve">7.78%</w:t>
      </w:r>
      <w:r>
        <w:rPr>
          <w:rFonts w:ascii="Calibri" w:hAnsi="Calibri" w:eastAsia="宋体" w:cs="Calibri"/>
          <w:sz w:val="24"/>
        </w:rPr>
        <w:t xml:space="preserve">。规模全球领先与单位资产回报偏低，构成当前最显著的反差。</w:t>
      </w:r>
    </w:p>
    <w:p>
      <w:pPr>
        <w:spacing w:line="360" w:lineRule="auto" w:after="160"/>
      </w:pPr>
      <w:r>
        <w:rPr>
          <w:rFonts w:ascii="Calibri" w:hAnsi="Calibri" w:eastAsia="宋体" w:cs="Calibri"/>
          <w:sz w:val="24"/>
        </w:rPr>
        <w:pict>
          <v:rect style="width:0;height:1.5pt" o:hralign="center" o:hrstd="t" o:hr="t"/>
        </w:pict>
      </w:r>
    </w:p>
    <w:bookmarkEnd w:id="36"/>
    <w:bookmarkEnd w:id="37"/>
    <w:bookmarkStart w:id="40" w:name="四发展现状的量化画像20242025"/>
    <w:p>
      <w:pPr>
        <w:pStyle w:val="Heading2"/>
        <w:spacing w:before="240" w:after="160" w:line="312" w:lineRule="auto"/>
      </w:pPr>
      <w:r>
        <w:rPr>
          <w:rFonts w:ascii="Calibri" w:hAnsi="Calibri" w:eastAsia="黑体" w:cs="Calibri"/>
          <w:b/>
          <w:color w:val="2E75B6"/>
          <w:sz w:val="28"/>
        </w:rPr>
        <w:t xml:space="preserve">四、发展现状的量化画像（2024—2025）</w:t>
      </w:r>
    </w:p>
    <w:bookmarkStart w:id="38" w:name="规模结构与稳健性"/>
    <w:p>
      <w:pPr>
        <w:pStyle w:val="Heading3"/>
        <w:spacing w:before="240" w:after="160" w:line="312" w:lineRule="auto"/>
      </w:pPr>
      <w:r>
        <w:rPr>
          <w:rFonts w:ascii="Calibri" w:hAnsi="Calibri" w:eastAsia="黑体" w:cs="Calibri"/>
          <w:b/>
          <w:color w:val="2E75B6"/>
          <w:sz w:val="25"/>
        </w:rPr>
        <w:t xml:space="preserve">4.1 规模、结构与稳健性</w:t>
      </w:r>
    </w:p>
    <w:p>
      <w:pPr>
        <w:pStyle w:val="FirstParagraph"/>
        <w:spacing w:line="360" w:lineRule="auto" w:after="160"/>
      </w:pPr>
      <w:r>
        <w:rPr>
          <w:bCs/>
          <w:rFonts w:ascii="Calibri" w:hAnsi="Calibri" w:eastAsia="宋体" w:cs="Calibri"/>
          <w:b/>
          <w:sz w:val="24"/>
        </w:rPr>
        <w:t xml:space="preserve">表1 中国银行业主要监管指标</w:t>
      </w:r>
    </w:p>
    <w:tbl>
      <w:tblPr>
        <w:tblStyle w:val="Table"/>
        <w:tblW w:type="pct" w:w="5000"/>
        <w:tblLook w:firstRow="1" w:lastRow="0" w:firstColumn="0" w:lastColumn="0" w:noHBand="0" w:noVBand="0" w:val="0020"/>
        <w:jc w:val="center"/>
        <w:tblLayout w:type="autofit"/>
      </w:tblPr>
      <w:tblGrid>
        <w:gridCol w:w="1980"/>
        <w:gridCol w:w="1980"/>
        <w:gridCol w:w="1980"/>
        <w:gridCol w:w="198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指标</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2024年末</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2025年末</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出处</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银行业金融机构本外币资产</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444.6万亿元（同比+6.5%）</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480万亿元（同比+8.0%）</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金融监管总局，中国政府网转载2024年数据；2025年数据见监管通报及行业报道交叉核验</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其中：大型商业银行资产</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190.3万亿元（占42.8%）</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210.8万亿元（占43.9%）</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其中：股份制商业银行资产</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74.2万亿元（占16.7%）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77.8万亿元（占16.2%）</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商业银行不良贷款余额</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3.3万亿元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3.5万亿元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商业银行不良贷款率</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1.50%</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1.50%</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关注类贷款</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4.8万亿元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5.1万亿元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商业银行净利润</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2.3万亿元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2.4万亿元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平均资产利润率（ROA）</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0.63%</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0.60%</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平均资本利润率（ROE）</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8.10%</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7.78%</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拨备覆盖率</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211.19%</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205.21%</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贷款拨备率</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3.18%</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3.07%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资本充足率</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15.74%</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15.46%</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2024年起按新资本办法，与此前不完全可比</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核心一级资本充足率</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11.00%</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10.92%</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净息差</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1.42%（连续三季度持平）</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金融监管总局2025年四季度通报</w:t>
            </w:r>
          </w:p>
        </w:tc>
      </w:tr>
    </w:tbl>
    <w:p>
      <w:pPr>
        <w:pStyle w:val="BodyText"/>
        <w:spacing w:line="360" w:lineRule="auto" w:after="160"/>
      </w:pPr>
      <w:r>
        <w:rPr>
          <w:bCs/>
          <w:rFonts w:ascii="Calibri" w:hAnsi="Calibri" w:eastAsia="宋体" w:cs="Calibri"/>
          <w:b/>
          <w:sz w:val="24"/>
        </w:rPr>
        <w:t xml:space="preserve">表2 宏观金融结构（人民银行、国家统计局）</w:t>
      </w:r>
    </w:p>
    <w:tbl>
      <w:tblPr>
        <w:tblStyle w:val="Table"/>
        <w:tblW w:type="pct" w:w="5000"/>
        <w:tblLook w:firstRow="1" w:lastRow="0" w:firstColumn="0" w:lastColumn="0" w:noHBand="0" w:noVBand="0" w:val="0020"/>
        <w:jc w:val="center"/>
        <w:tblLayout w:type="autofit"/>
      </w:tblPr>
      <w:tblGrid>
        <w:gridCol w:w="1980"/>
        <w:gridCol w:w="1980"/>
        <w:gridCol w:w="1980"/>
        <w:gridCol w:w="198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指标</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2024年</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2025年</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出处</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GDP（现价）</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134.81万亿元（最终核实）</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140.19万亿元（初步核算）</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国家统计局</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银行业总资产/GDP</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约330%</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约342%</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作者按官方数据计算</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社会融资规模存量</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408.34万亿元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442.12万亿元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人民银行</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人民币贷款/社融存量</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61.8%</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60.7%</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人民银行</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企业债券/社融存量</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7.9%</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7.7%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人民银行</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政府债券/社融存量</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19.9%</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21.5%</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人民银行</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非金融企业境内股票/社融存量</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约2.9%</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2.8%</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人民银行</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本外币贷款余额</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275.7万亿元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2025年统计公报</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人民币贷款余额</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271.9万亿元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新发放企业贷款加权平均利率</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3.22%（比上年降41个基点）</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绿色贷款余额</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44.8万亿元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本外币涉农贷款</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53.6万亿元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bl>
    <w:p>
      <w:pPr>
        <w:pStyle w:val="BodyText"/>
        <w:spacing w:line="360" w:lineRule="auto" w:after="160"/>
      </w:pPr>
      <w:r>
        <w:rPr>
          <w:bCs/>
          <w:rFonts w:ascii="Calibri" w:hAnsi="Calibri" w:eastAsia="宋体" w:cs="Calibri"/>
          <w:b/>
          <w:sz w:val="24"/>
        </w:rPr>
        <w:t xml:space="preserve">表3 国际可比的金融结构指标（世界银行 WDI，2024年）</w:t>
      </w:r>
    </w:p>
    <w:tbl>
      <w:tblPr>
        <w:tblStyle w:val="Table"/>
        <w:tblW w:type="pct" w:w="5000"/>
        <w:tblLook w:firstRow="1" w:lastRow="0" w:firstColumn="0" w:lastColumn="0" w:noHBand="0" w:noVBand="0" w:val="0020"/>
        <w:jc w:val="center"/>
        <w:tblLayout w:type="autofit"/>
      </w:tblPr>
      <w:tblGrid>
        <w:gridCol w:w="1980"/>
        <w:gridCol w:w="1980"/>
        <w:gridCol w:w="1980"/>
        <w:gridCol w:w="198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经济体</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国内私人部门信贷/GDP</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股票市值/GDP</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含义</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中国</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194.2%</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62.7%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信贷深、股市相对浅</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美国</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200.9%</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216.3%</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信贷与股市都深，市场主导特征强</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日本</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196.8%</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156.7%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银行与市场并重，股市深度明显高于中国</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韩国</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160.3%</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约83%（2024年各国市值/GDP排名数据）</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银行仍重要，资本市场深度介于中美之间</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德国</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77.88%（2023）</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43.6%</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传统银行主导，但私人信贷/GDP低于东亚</w:t>
            </w:r>
          </w:p>
        </w:tc>
      </w:tr>
    </w:tbl>
    <w:p>
      <w:pPr>
        <w:pStyle w:val="BodyText"/>
        <w:spacing w:line="360" w:lineRule="auto" w:after="160"/>
      </w:pPr>
      <w:r>
        <w:rPr>
          <w:rFonts w:ascii="Calibri" w:hAnsi="Calibri" w:eastAsia="宋体" w:cs="Calibri"/>
          <w:sz w:val="24"/>
        </w:rPr>
        <w:t xml:space="preserve">资料：世界银行 WDI</w:t>
      </w:r>
      <w:r>
        <w:rPr>
          <w:rFonts w:ascii="Calibri" w:hAnsi="Calibri" w:eastAsia="宋体" w:cs="Calibri"/>
          <w:sz w:val="24"/>
        </w:rPr>
        <w:t xml:space="preserve"> </w:t>
      </w:r>
      <w:r>
        <w:rPr>
          <w:rStyle w:val="VerbatimChar"/>
          <w:rFonts w:ascii="Calibri" w:hAnsi="Calibri" w:eastAsia="宋体" w:cs="Calibri"/>
          <w:sz w:val="24"/>
        </w:rPr>
        <w:t xml:space="preserve">FS.AST.PRVT.GD.ZS</w:t>
      </w:r>
      <w:r>
        <w:rPr>
          <w:rFonts w:ascii="Calibri" w:hAnsi="Calibri" w:eastAsia="宋体" w:cs="Calibri"/>
          <w:sz w:val="24"/>
        </w:rPr>
        <w:t xml:space="preserve">、</w:t>
      </w:r>
      <w:r>
        <w:rPr>
          <w:rStyle w:val="VerbatimChar"/>
          <w:rFonts w:ascii="Calibri" w:hAnsi="Calibri" w:eastAsia="宋体" w:cs="Calibri"/>
          <w:sz w:val="24"/>
        </w:rPr>
        <w:t xml:space="preserve">CM.MKT.LCAP.GD.ZS</w:t>
      </w:r>
      <w:r>
        <w:rPr>
          <w:rFonts w:ascii="Calibri" w:hAnsi="Calibri" w:eastAsia="宋体" w:cs="Calibri"/>
          <w:sz w:val="24"/>
        </w:rPr>
        <w:t xml:space="preserve">；德国信贷比滞后一年。美国“私人部门信贷”含广泛金融公司债权，因此美国信贷/GDP高并不等于“商业银行主导”。美国FDIC参保机构总资产仅约GDP的80%，差额主要来自资本市场、基金、保险公司和政府支持机构。</w:t>
      </w:r>
    </w:p>
    <w:p>
      <w:pPr>
        <w:pStyle w:val="BodyText"/>
        <w:spacing w:line="360" w:lineRule="auto" w:after="160"/>
      </w:pPr>
      <w:r>
        <w:rPr>
          <w:bCs/>
          <w:rFonts w:ascii="Calibri" w:hAnsi="Calibri" w:eastAsia="宋体" w:cs="Calibri"/>
          <w:b/>
          <w:sz w:val="24"/>
        </w:rPr>
        <w:t xml:space="preserve">表4 全球系统重要性与规模地位</w:t>
      </w:r>
    </w:p>
    <w:tbl>
      <w:tblPr>
        <w:tblStyle w:val="Table"/>
        <w:tblW w:type="pct" w:w="5000"/>
        <w:tblLook w:firstRow="1" w:lastRow="0" w:firstColumn="0" w:lastColumn="0" w:noHBand="0" w:noVBand="0" w:val="0020"/>
        <w:jc w:val="center"/>
        <w:tblLayout w:type="autofit"/>
      </w:tblPr>
      <w:tblGrid>
        <w:gridCol w:w="2640"/>
        <w:gridCol w:w="2640"/>
        <w:gridCol w:w="264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项目</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数据</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出处</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《银行家》Top 1000（2026年版，按2025财年）一级资本前四名</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工商银行 6041亿美元；建设银行 5241亿美元；农业银行 4604亿美元；中国银行 4296亿美元</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The Banker Database</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同榜第五名</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摩根大通 3076亿美元（税前利润726亿美元，ROA 1.3%，高于中资大行约0.6%—0.7%）</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同上</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FSB 2024年 G-SIB</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29家；中资5家（工、农、中、建在1.5%组，交行在1.0%组）</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FSB, 26 November 2024</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外资法人银行资产份额</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2024年末约0.74%</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联合资信《2025年半年度外资银行行业分析》</w:t>
            </w:r>
          </w:p>
        </w:tc>
      </w:tr>
    </w:tbl>
    <w:bookmarkEnd w:id="38"/>
    <w:bookmarkStart w:id="39" w:name="对现状的简要解读"/>
    <w:p>
      <w:pPr>
        <w:pStyle w:val="Heading3"/>
        <w:spacing w:before="240" w:after="160" w:line="312" w:lineRule="auto"/>
      </w:pPr>
      <w:r>
        <w:rPr>
          <w:rFonts w:ascii="Calibri" w:hAnsi="Calibri" w:eastAsia="黑体" w:cs="Calibri"/>
          <w:b/>
          <w:color w:val="2E75B6"/>
          <w:sz w:val="25"/>
        </w:rPr>
        <w:t xml:space="preserve">4.2 对现状的简要解读</w:t>
      </w:r>
    </w:p>
    <w:p>
      <w:pPr>
        <w:pStyle w:val="FirstParagraph"/>
        <w:spacing w:line="360" w:lineRule="auto" w:after="160"/>
      </w:pPr>
      <w:r>
        <w:rPr>
          <w:rFonts w:ascii="Calibri" w:hAnsi="Calibri" w:eastAsia="宋体" w:cs="Calibri"/>
          <w:sz w:val="24"/>
        </w:rPr>
        <w:t xml:space="preserve">第一，</w:t>
      </w:r>
      <w:r>
        <w:rPr>
          <w:bCs/>
          <w:rFonts w:ascii="Calibri" w:hAnsi="Calibri" w:eastAsia="宋体" w:cs="Calibri"/>
          <w:b/>
          <w:sz w:val="24"/>
        </w:rPr>
        <w:t xml:space="preserve">规模已经完成“赶超”，结构仍是银行主导。</w:t>
      </w:r>
      <w:r>
        <w:rPr>
          <w:rFonts w:ascii="Calibri" w:hAnsi="Calibri" w:eastAsia="宋体" w:cs="Calibri"/>
          <w:sz w:val="24"/>
        </w:rPr>
        <w:t xml:space="preserve"> </w:t>
      </w:r>
      <w:r>
        <w:rPr>
          <w:rFonts w:ascii="Calibri" w:hAnsi="Calibri" w:eastAsia="宋体" w:cs="Calibri"/>
          <w:sz w:val="24"/>
        </w:rPr>
        <w:t xml:space="preserve">贷款占社融六成，股票融资不足3%，这是理解中国金融周期、房地产风险和地方债务风险的钥匙：冲击首先表现为银行资产质量，而不是股市暴跌通过财富效应传导。</w:t>
      </w:r>
    </w:p>
    <w:p>
      <w:pPr>
        <w:pStyle w:val="BodyText"/>
        <w:spacing w:line="360" w:lineRule="auto" w:after="160"/>
      </w:pPr>
      <w:r>
        <w:rPr>
          <w:rFonts w:ascii="Calibri" w:hAnsi="Calibri" w:eastAsia="宋体" w:cs="Calibri"/>
          <w:sz w:val="24"/>
        </w:rPr>
        <w:t xml:space="preserve">第二，</w:t>
      </w:r>
      <w:r>
        <w:rPr>
          <w:bCs/>
          <w:rFonts w:ascii="Calibri" w:hAnsi="Calibri" w:eastAsia="宋体" w:cs="Calibri"/>
          <w:b/>
          <w:sz w:val="24"/>
        </w:rPr>
        <w:t xml:space="preserve">稳健性指标与盈利指标出现分叉。</w:t>
      </w:r>
      <w:r>
        <w:rPr>
          <w:rFonts w:ascii="Calibri" w:hAnsi="Calibri" w:eastAsia="宋体" w:cs="Calibri"/>
          <w:sz w:val="24"/>
        </w:rPr>
        <w:t xml:space="preserve"> </w:t>
      </w:r>
      <w:r>
        <w:rPr>
          <w:rFonts w:ascii="Calibri" w:hAnsi="Calibri" w:eastAsia="宋体" w:cs="Calibri"/>
          <w:sz w:val="24"/>
        </w:rPr>
        <w:t xml:space="preserve">不良率、资本和拨备看起来健康，但息差处于有统计以来的低位，ROA降至0.6%。这意味着靠规模扩张消化成本的模式空间缩小，资本内生补充能力变弱。</w:t>
      </w:r>
    </w:p>
    <w:p>
      <w:pPr>
        <w:pStyle w:val="BodyText"/>
        <w:spacing w:line="360" w:lineRule="auto" w:after="160"/>
      </w:pPr>
      <w:r>
        <w:rPr>
          <w:rFonts w:ascii="Calibri" w:hAnsi="Calibri" w:eastAsia="宋体" w:cs="Calibri"/>
          <w:sz w:val="24"/>
        </w:rPr>
        <w:t xml:space="preserve">第三，</w:t>
      </w:r>
      <w:r>
        <w:rPr>
          <w:bCs/>
          <w:rFonts w:ascii="Calibri" w:hAnsi="Calibri" w:eastAsia="宋体" w:cs="Calibri"/>
          <w:b/>
          <w:sz w:val="24"/>
        </w:rPr>
        <w:t xml:space="preserve">大行份额回升、中小机构数量下降。</w:t>
      </w:r>
      <w:r>
        <w:rPr>
          <w:rFonts w:ascii="Calibri" w:hAnsi="Calibri" w:eastAsia="宋体" w:cs="Calibri"/>
          <w:sz w:val="24"/>
        </w:rPr>
        <w:t xml:space="preserve"> </w:t>
      </w:r>
      <w:r>
        <w:rPr>
          <w:rFonts w:ascii="Calibri" w:hAnsi="Calibri" w:eastAsia="宋体" w:cs="Calibri"/>
          <w:sz w:val="24"/>
        </w:rPr>
        <w:t xml:space="preserve">2025年大型银行资产占比升至43.9%，农村中小银行法人大幅合并，反映的是化险和集中度上升，而不是竞争自然淘汰那么简单。</w:t>
      </w:r>
    </w:p>
    <w:p>
      <w:pPr>
        <w:pStyle w:val="BodyText"/>
        <w:spacing w:line="360" w:lineRule="auto" w:after="160"/>
      </w:pPr>
      <w:r>
        <w:rPr>
          <w:rFonts w:ascii="Calibri" w:hAnsi="Calibri" w:eastAsia="宋体" w:cs="Calibri"/>
          <w:sz w:val="24"/>
        </w:rPr>
        <w:t xml:space="preserve">第四，</w:t>
      </w:r>
      <w:r>
        <w:rPr>
          <w:bCs/>
          <w:rFonts w:ascii="Calibri" w:hAnsi="Calibri" w:eastAsia="宋体" w:cs="Calibri"/>
          <w:b/>
          <w:sz w:val="24"/>
        </w:rPr>
        <w:t xml:space="preserve">开放是制度性的，竞争格局仍是内资主导。</w:t>
      </w:r>
      <w:r>
        <w:rPr>
          <w:rFonts w:ascii="Calibri" w:hAnsi="Calibri" w:eastAsia="宋体" w:cs="Calibri"/>
          <w:sz w:val="24"/>
        </w:rPr>
        <w:t xml:space="preserve"> </w:t>
      </w:r>
      <w:r>
        <w:rPr>
          <w:rFonts w:ascii="Calibri" w:hAnsi="Calibri" w:eastAsia="宋体" w:cs="Calibri"/>
          <w:sz w:val="24"/>
        </w:rPr>
        <w:t xml:space="preserve">取消股比限制后外资资产份额仍不到1%，说明网点、人民币负债、客户关系和监管遵从成本构成的进入壁垒，比法律上的持股限制更硬。</w:t>
      </w:r>
    </w:p>
    <w:p>
      <w:pPr>
        <w:spacing w:line="360" w:lineRule="auto" w:after="160"/>
      </w:pPr>
      <w:r>
        <w:rPr>
          <w:rFonts w:ascii="Calibri" w:hAnsi="Calibri" w:eastAsia="宋体" w:cs="Calibri"/>
          <w:sz w:val="24"/>
        </w:rPr>
        <w:pict>
          <v:rect style="width:0;height:1.5pt" o:hralign="center" o:hrstd="t" o:hr="t"/>
        </w:pict>
      </w:r>
    </w:p>
    <w:bookmarkEnd w:id="39"/>
    <w:bookmarkEnd w:id="40"/>
    <w:bookmarkStart w:id="46" w:name="五国际比较把中国放回金融史的哪一段"/>
    <w:p>
      <w:pPr>
        <w:pStyle w:val="Heading2"/>
        <w:spacing w:before="240" w:after="160" w:line="312" w:lineRule="auto"/>
      </w:pPr>
      <w:r>
        <w:rPr>
          <w:rFonts w:ascii="Calibri" w:hAnsi="Calibri" w:eastAsia="黑体" w:cs="Calibri"/>
          <w:b/>
          <w:color w:val="2E75B6"/>
          <w:sz w:val="28"/>
        </w:rPr>
        <w:t xml:space="preserve">五、国际比较：把中国放回金融史的哪一段</w:t>
      </w:r>
    </w:p>
    <w:p>
      <w:pPr>
        <w:pStyle w:val="FirstParagraph"/>
        <w:spacing w:line="360" w:lineRule="auto" w:after="160"/>
      </w:pPr>
      <w:r>
        <w:rPr>
          <w:rFonts w:ascii="Calibri" w:hAnsi="Calibri" w:eastAsia="宋体" w:cs="Calibri"/>
          <w:sz w:val="24"/>
        </w:rPr>
        <w:t xml:space="preserve">比较的正确方法，不是把2025年的中国与2025年的美国直接并列，而是问：中国当前的银行主导、国家动员储蓄、服务投资驱动增长，更像主要经济体历史上的哪一个阶段？同时又在哪些关键维度上不同？</w:t>
      </w:r>
    </w:p>
    <w:bookmarkStart w:id="41" w:name="英国早期工业化与商人银行传统约18世纪末1914年"/>
    <w:p>
      <w:pPr>
        <w:pStyle w:val="Heading3"/>
        <w:spacing w:before="240" w:after="160" w:line="312" w:lineRule="auto"/>
      </w:pPr>
      <w:r>
        <w:rPr>
          <w:rFonts w:ascii="Calibri" w:hAnsi="Calibri" w:eastAsia="黑体" w:cs="Calibri"/>
          <w:b/>
          <w:color w:val="2E75B6"/>
          <w:sz w:val="25"/>
        </w:rPr>
        <w:t xml:space="preserve">5.1 英国：早期工业化与商人银行传统（约18世纪末—1914年）</w:t>
      </w:r>
    </w:p>
    <w:p>
      <w:pPr>
        <w:pStyle w:val="FirstParagraph"/>
        <w:spacing w:line="360" w:lineRule="auto" w:after="160"/>
      </w:pPr>
      <w:r>
        <w:rPr>
          <w:rFonts w:ascii="Calibri" w:hAnsi="Calibri" w:eastAsia="宋体" w:cs="Calibri"/>
          <w:sz w:val="24"/>
        </w:rPr>
        <w:t xml:space="preserve">英国是先发工业化国家。工业革命时期企业资本形成更多依赖内部积累、商人信用和伦敦资本市场，而不是大陆式的大型产业银行。清算银行（clearing banks）传统上偏重短期商业票据与贸易融资，投资银行业务由商人银行（merchant banks）承担，形成所谓“分离型”英美传统的源头之一。</w:t>
      </w:r>
    </w:p>
    <w:p>
      <w:pPr>
        <w:pStyle w:val="BodyText"/>
        <w:spacing w:line="360" w:lineRule="auto" w:after="160"/>
      </w:pPr>
      <w:r>
        <w:rPr>
          <w:bCs/>
          <w:rFonts w:ascii="Calibri" w:hAnsi="Calibri" w:eastAsia="宋体" w:cs="Calibri"/>
          <w:b/>
          <w:sz w:val="24"/>
        </w:rPr>
        <w:t xml:space="preserve">与中国的相似点：</w:t>
      </w:r>
    </w:p>
    <w:p>
      <w:pPr>
        <w:numPr>
          <w:ilvl w:val="0"/>
          <w:numId w:val="1008"/>
        </w:numPr>
        <w:pStyle w:val="Compact"/>
        <w:spacing w:line="360" w:lineRule="auto" w:after="160"/>
      </w:pPr>
      <w:r>
        <w:rPr>
          <w:rFonts w:ascii="Calibri" w:hAnsi="Calibri" w:eastAsia="宋体" w:cs="Calibri"/>
          <w:sz w:val="24"/>
        </w:rPr>
        <w:t xml:space="preserve">都曾以银行体系服务贸易与支付；上海在近代也是远东金融中心之一。</w:t>
      </w:r>
    </w:p>
    <w:p>
      <w:pPr>
        <w:numPr>
          <w:ilvl w:val="0"/>
          <w:numId w:val="1008"/>
        </w:numPr>
        <w:pStyle w:val="Compact"/>
        <w:spacing w:line="360" w:lineRule="auto" w:after="160"/>
      </w:pPr>
      <w:r>
        <w:rPr>
          <w:rFonts w:ascii="Calibri" w:hAnsi="Calibri" w:eastAsia="宋体" w:cs="Calibri"/>
          <w:sz w:val="24"/>
        </w:rPr>
        <w:t xml:space="preserve">都出现过货币统一先于金融市场深化的过程。</w:t>
      </w:r>
    </w:p>
    <w:p>
      <w:pPr>
        <w:pStyle w:val="FirstParagraph"/>
        <w:spacing w:line="360" w:lineRule="auto" w:after="160"/>
      </w:pPr>
      <w:r>
        <w:rPr>
          <w:bCs/>
          <w:rFonts w:ascii="Calibri" w:hAnsi="Calibri" w:eastAsia="宋体" w:cs="Calibri"/>
          <w:b/>
          <w:sz w:val="24"/>
        </w:rPr>
        <w:t xml:space="preserve">差异点更为根本：</w:t>
      </w:r>
    </w:p>
    <w:p>
      <w:pPr>
        <w:numPr>
          <w:ilvl w:val="0"/>
          <w:numId w:val="1009"/>
        </w:numPr>
        <w:pStyle w:val="Compact"/>
        <w:spacing w:line="360" w:lineRule="auto" w:after="160"/>
      </w:pPr>
      <w:r>
        <w:rPr>
          <w:rFonts w:ascii="Calibri" w:hAnsi="Calibri" w:eastAsia="宋体" w:cs="Calibri"/>
          <w:sz w:val="24"/>
        </w:rPr>
        <w:t xml:space="preserve">英国在金本位和帝国贸易网络下形成了全球性资本市场，银行国际化是私人资本的自然延伸；中国当代大行的跨境布局主要跟随企业出海和人民币国际化的国家战略。</w:t>
      </w:r>
    </w:p>
    <w:p>
      <w:pPr>
        <w:numPr>
          <w:ilvl w:val="0"/>
          <w:numId w:val="1009"/>
        </w:numPr>
        <w:pStyle w:val="Compact"/>
        <w:spacing w:line="360" w:lineRule="auto" w:after="160"/>
      </w:pPr>
      <w:r>
        <w:rPr>
          <w:rFonts w:ascii="Calibri" w:hAnsi="Calibri" w:eastAsia="宋体" w:cs="Calibri"/>
          <w:sz w:val="24"/>
        </w:rPr>
        <w:t xml:space="preserve">英国企业外部融资很早就可以依靠股票与债券；中国时至2025年股票融资仍只占社融存量的2.8%。</w:t>
      </w:r>
    </w:p>
    <w:p>
      <w:pPr>
        <w:numPr>
          <w:ilvl w:val="0"/>
          <w:numId w:val="1009"/>
        </w:numPr>
        <w:pStyle w:val="Compact"/>
        <w:spacing w:line="360" w:lineRule="auto" w:after="160"/>
      </w:pPr>
      <w:r>
        <w:rPr>
          <w:rFonts w:ascii="Calibri" w:hAnsi="Calibri" w:eastAsia="宋体" w:cs="Calibri"/>
          <w:sz w:val="24"/>
        </w:rPr>
        <w:t xml:space="preserve">英国没有经历过社会主义计划经济下的“大一统银行”再市场化；中国的起点是财政—银行合一。</w:t>
      </w:r>
    </w:p>
    <w:p>
      <w:pPr>
        <w:pStyle w:val="FirstParagraph"/>
        <w:spacing w:line="360" w:lineRule="auto" w:after="160"/>
      </w:pPr>
      <w:r>
        <w:rPr>
          <w:bCs/>
          <w:rFonts w:ascii="Calibri" w:hAnsi="Calibri" w:eastAsia="宋体" w:cs="Calibri"/>
          <w:b/>
          <w:sz w:val="24"/>
        </w:rPr>
        <w:t xml:space="preserve">对应时段判断：</w:t>
      </w:r>
      <w:r>
        <w:rPr>
          <w:rFonts w:ascii="Calibri" w:hAnsi="Calibri" w:eastAsia="宋体" w:cs="Calibri"/>
          <w:sz w:val="24"/>
        </w:rPr>
        <w:t xml:space="preserve"> </w:t>
      </w:r>
      <w:r>
        <w:rPr>
          <w:rFonts w:ascii="Calibri" w:hAnsi="Calibri" w:eastAsia="宋体" w:cs="Calibri"/>
          <w:sz w:val="24"/>
        </w:rPr>
        <w:t xml:space="preserve">中国与19世纪英国的可比性最弱。若一定要找相似，更接近“支付清算网络全国化”，而不是“资本市场先行”。</w:t>
      </w:r>
    </w:p>
    <w:bookmarkEnd w:id="41"/>
    <w:bookmarkStart w:id="42" w:name="Xc45604971c63d849cc5f455cf85cdbf088a6f6f"/>
    <w:p>
      <w:pPr>
        <w:pStyle w:val="Heading3"/>
        <w:spacing w:before="240" w:after="160" w:line="312" w:lineRule="auto"/>
      </w:pPr>
      <w:r>
        <w:rPr>
          <w:rFonts w:ascii="Calibri" w:hAnsi="Calibri" w:eastAsia="黑体" w:cs="Calibri"/>
          <w:b/>
          <w:color w:val="2E75B6"/>
          <w:sz w:val="25"/>
        </w:rPr>
        <w:t xml:space="preserve">5.2 美国：双轨银行、分业隔离与市场主导（1863年至今，重点对照1933—1999和1980年代）</w:t>
      </w:r>
    </w:p>
    <w:p>
      <w:pPr>
        <w:pStyle w:val="FirstParagraph"/>
        <w:spacing w:line="360" w:lineRule="auto" w:after="160"/>
      </w:pPr>
      <w:r>
        <w:rPr>
          <w:rFonts w:ascii="Calibri" w:hAnsi="Calibri" w:eastAsia="宋体" w:cs="Calibri"/>
          <w:sz w:val="24"/>
        </w:rPr>
        <w:t xml:space="preserve">美国金融史有三条对中国特别有参照价值的线索。</w:t>
      </w:r>
    </w:p>
    <w:p>
      <w:pPr>
        <w:pStyle w:val="BodyText"/>
        <w:spacing w:line="360" w:lineRule="auto" w:after="160"/>
      </w:pPr>
      <w:r>
        <w:rPr>
          <w:bCs/>
          <w:rFonts w:ascii="Calibri" w:hAnsi="Calibri" w:eastAsia="宋体" w:cs="Calibri"/>
          <w:b/>
          <w:sz w:val="24"/>
        </w:rPr>
        <w:t xml:space="preserve">（1）双轨银行与大量中小机构。</w:t>
      </w:r>
      <w:r>
        <w:rPr>
          <w:rFonts w:ascii="Calibri" w:hAnsi="Calibri" w:eastAsia="宋体" w:cs="Calibri"/>
          <w:sz w:val="24"/>
        </w:rPr>
        <w:t xml:space="preserve"> </w:t>
      </w:r>
      <w:r>
        <w:rPr>
          <w:rFonts w:ascii="Calibri" w:hAnsi="Calibri" w:eastAsia="宋体" w:cs="Calibri"/>
          <w:sz w:val="24"/>
        </w:rPr>
        <w:t xml:space="preserve">1863年《国民银行法》之后，联邦特许与州特许并存。FDIC数据显示，2025年四季度末参保机构</w:t>
      </w:r>
      <w:r>
        <w:rPr>
          <w:rFonts w:ascii="Calibri" w:hAnsi="Calibri" w:eastAsia="宋体" w:cs="Calibri"/>
          <w:sz w:val="24"/>
        </w:rPr>
        <w:t xml:space="preserve"> </w:t>
      </w:r>
      <w:r>
        <w:rPr>
          <w:bCs/>
          <w:rFonts w:ascii="Calibri" w:hAnsi="Calibri" w:eastAsia="宋体" w:cs="Calibri"/>
          <w:b/>
          <w:sz w:val="24"/>
        </w:rPr>
        <w:t xml:space="preserve">4336家</w:t>
      </w:r>
      <w:r>
        <w:rPr>
          <w:rFonts w:ascii="Calibri" w:hAnsi="Calibri" w:eastAsia="宋体" w:cs="Calibri"/>
          <w:sz w:val="24"/>
        </w:rPr>
        <w:t xml:space="preserve">，总资产</w:t>
      </w:r>
      <w:r>
        <w:rPr>
          <w:rFonts w:ascii="Calibri" w:hAnsi="Calibri" w:eastAsia="宋体" w:cs="Calibri"/>
          <w:sz w:val="24"/>
        </w:rPr>
        <w:t xml:space="preserve"> </w:t>
      </w:r>
      <w:r>
        <w:rPr>
          <w:bCs/>
          <w:rFonts w:ascii="Calibri" w:hAnsi="Calibri" w:eastAsia="宋体" w:cs="Calibri"/>
          <w:b/>
          <w:sz w:val="24"/>
        </w:rPr>
        <w:t xml:space="preserve">25.26万亿美元</w:t>
      </w:r>
      <w:r>
        <w:rPr>
          <w:rFonts w:ascii="Calibri" w:hAnsi="Calibri" w:eastAsia="宋体" w:cs="Calibri"/>
          <w:sz w:val="24"/>
        </w:rPr>
        <w:t xml:space="preserve">，社区银行数量仍占约九成。中国2025年末银行法人3619家，数量级接近，但集中度更高：美国前几家大行并非国家控股，社区银行是独立的私人机构；中国农村中小银行多数有地方政府或省联社影响，且正在被大幅合并。</w:t>
      </w:r>
    </w:p>
    <w:p>
      <w:pPr>
        <w:pStyle w:val="BodyText"/>
        <w:spacing w:line="360" w:lineRule="auto" w:after="160"/>
      </w:pPr>
      <w:r>
        <w:rPr>
          <w:bCs/>
          <w:rFonts w:ascii="Calibri" w:hAnsi="Calibri" w:eastAsia="宋体" w:cs="Calibri"/>
          <w:b/>
          <w:sz w:val="24"/>
        </w:rPr>
        <w:t xml:space="preserve">（2）1933年《格拉斯—斯蒂格尔法》的分业。</w:t>
      </w:r>
      <w:r>
        <w:rPr>
          <w:rFonts w:ascii="Calibri" w:hAnsi="Calibri" w:eastAsia="宋体" w:cs="Calibri"/>
          <w:sz w:val="24"/>
        </w:rPr>
        <w:t xml:space="preserve"> </w:t>
      </w:r>
      <w:r>
        <w:rPr>
          <w:rFonts w:ascii="Calibri" w:hAnsi="Calibri" w:eastAsia="宋体" w:cs="Calibri"/>
          <w:sz w:val="24"/>
        </w:rPr>
        <w:t xml:space="preserve">大萧条后美国强制拆分商业银行与投资银行，并建立联邦存款保险。中国1995年《商业银行法》确立分业经营、分业监管，逻辑上都是防止证券业务风险传染存款保险和支付系统。但美国1999年《金融服务现代化法》（GLBA）基本拆除了隔离，走向金融控股公司；中国至今仍以分业为基调，银行通过子公司进入理财、基金、保险，属于“控股公司式有限混业”，不是美国1999年后的全面混业。</w:t>
      </w:r>
    </w:p>
    <w:p>
      <w:pPr>
        <w:pStyle w:val="BodyText"/>
        <w:spacing w:line="360" w:lineRule="auto" w:after="160"/>
      </w:pPr>
      <w:r>
        <w:rPr>
          <w:bCs/>
          <w:rFonts w:ascii="Calibri" w:hAnsi="Calibri" w:eastAsia="宋体" w:cs="Calibri"/>
          <w:b/>
          <w:sz w:val="24"/>
        </w:rPr>
        <w:t xml:space="preserve">（3）储贷危机与RTC。</w:t>
      </w:r>
      <w:r>
        <w:rPr>
          <w:rFonts w:ascii="Calibri" w:hAnsi="Calibri" w:eastAsia="宋体" w:cs="Calibri"/>
          <w:sz w:val="24"/>
        </w:rPr>
        <w:t xml:space="preserve"> </w:t>
      </w:r>
      <w:r>
        <w:rPr>
          <w:rFonts w:ascii="Calibri" w:hAnsi="Calibri" w:eastAsia="宋体" w:cs="Calibri"/>
          <w:sz w:val="24"/>
        </w:rPr>
        <w:t xml:space="preserve">1980年代美国储贷协会危机后，1989年成立重组信托公司（Resolution Trust Corporation），按市场价格处置破产机构资产。中国1999年AMC在组织形态上明确借鉴RTC，但定价相反：中国第一次剥离基本按1:1账面价值收购，目的是迅速卸掉国有银行包袱并保持社会稳定；美国RTC是破产清算导向的折价出售。</w:t>
      </w:r>
    </w:p>
    <w:p>
      <w:pPr>
        <w:pStyle w:val="BodyText"/>
        <w:spacing w:line="360" w:lineRule="auto" w:after="160"/>
      </w:pPr>
      <w:r>
        <w:rPr>
          <w:bCs/>
          <w:rFonts w:ascii="Calibri" w:hAnsi="Calibri" w:eastAsia="宋体" w:cs="Calibri"/>
          <w:b/>
          <w:sz w:val="24"/>
        </w:rPr>
        <w:t xml:space="preserve">（4）当代结构反差。</w:t>
      </w:r>
      <w:r>
        <w:rPr>
          <w:rFonts w:ascii="Calibri" w:hAnsi="Calibri" w:eastAsia="宋体" w:cs="Calibri"/>
          <w:sz w:val="24"/>
        </w:rPr>
        <w:t xml:space="preserve"> </w:t>
      </w:r>
      <w:r>
        <w:rPr>
          <w:rFonts w:ascii="Calibri" w:hAnsi="Calibri" w:eastAsia="宋体" w:cs="Calibri"/>
          <w:sz w:val="24"/>
        </w:rPr>
        <w:t xml:space="preserve">2024年美国股票市值/GDP为216%，FDIC银行资产/GDP约81%。中国是银行资产/GDP约330%、股票市值/GDP约63%。美国私人部门信贷/GDP高达201%，是因为住房抵押贷款证券化、非银金融公司发达，不能据此认为美国也是“银行主导”。《银行家》2026年榜单中，摩根大通一级资本不及工商银行一半，但税前利润更高、ROA约1.3%，说明市场主导体系里银行更偏向交易、财富管理和风险定价，而不是把几乎全部国民储蓄都做进贷款。</w:t>
      </w:r>
    </w:p>
    <w:p>
      <w:pPr>
        <w:pStyle w:val="BodyText"/>
        <w:spacing w:line="360" w:lineRule="auto" w:after="160"/>
      </w:pPr>
      <w:r>
        <w:rPr>
          <w:bCs/>
          <w:rFonts w:ascii="Calibri" w:hAnsi="Calibri" w:eastAsia="宋体" w:cs="Calibri"/>
          <w:b/>
          <w:sz w:val="24"/>
        </w:rPr>
        <w:t xml:space="preserve">对应时段判断：</w:t>
      </w:r>
    </w:p>
    <w:p>
      <w:pPr>
        <w:numPr>
          <w:ilvl w:val="0"/>
          <w:numId w:val="1010"/>
        </w:numPr>
        <w:pStyle w:val="Compact"/>
        <w:spacing w:line="360" w:lineRule="auto" w:after="160"/>
      </w:pPr>
      <w:r>
        <w:rPr>
          <w:rFonts w:ascii="Calibri" w:hAnsi="Calibri" w:eastAsia="宋体" w:cs="Calibri"/>
          <w:sz w:val="24"/>
        </w:rPr>
        <w:t xml:space="preserve">中国1995—2018年的分业监管，类似美国1933—1999年；</w:t>
      </w:r>
    </w:p>
    <w:p>
      <w:pPr>
        <w:numPr>
          <w:ilvl w:val="0"/>
          <w:numId w:val="1010"/>
        </w:numPr>
        <w:pStyle w:val="Compact"/>
        <w:spacing w:line="360" w:lineRule="auto" w:after="160"/>
      </w:pPr>
      <w:r>
        <w:rPr>
          <w:rFonts w:ascii="Calibri" w:hAnsi="Calibri" w:eastAsia="宋体" w:cs="Calibri"/>
          <w:sz w:val="24"/>
        </w:rPr>
        <w:t xml:space="preserve">中国1999年AMC，组织上类似RTC，定价和所有制目标不同；</w:t>
      </w:r>
    </w:p>
    <w:p>
      <w:pPr>
        <w:numPr>
          <w:ilvl w:val="0"/>
          <w:numId w:val="1010"/>
        </w:numPr>
        <w:pStyle w:val="Compact"/>
        <w:spacing w:line="360" w:lineRule="auto" w:after="160"/>
      </w:pPr>
      <w:r>
        <w:rPr>
          <w:rFonts w:ascii="Calibri" w:hAnsi="Calibri" w:eastAsia="宋体" w:cs="Calibri"/>
          <w:sz w:val="24"/>
        </w:rPr>
        <w:t xml:space="preserve">中国当前融资结构与当代美国最不相似，更像美国19世纪末至大萧条前“银行仍重要、资本市场开始崛起”之前的状态，但中国的银行规模相对经济已远超当时的美国。</w:t>
      </w:r>
    </w:p>
    <w:bookmarkEnd w:id="42"/>
    <w:bookmarkStart w:id="43" w:name="德国全能银行储蓄银行与工业化赶超约18701970年代制度延续至今"/>
    <w:p>
      <w:pPr>
        <w:pStyle w:val="Heading3"/>
        <w:spacing w:before="240" w:after="160" w:line="312" w:lineRule="auto"/>
      </w:pPr>
      <w:r>
        <w:rPr>
          <w:rFonts w:ascii="Calibri" w:hAnsi="Calibri" w:eastAsia="黑体" w:cs="Calibri"/>
          <w:b/>
          <w:color w:val="2E75B6"/>
          <w:sz w:val="25"/>
        </w:rPr>
        <w:t xml:space="preserve">5.3 德国：全能银行、储蓄银行与工业化赶超（约1870—1970年代，制度延续至今）</w:t>
      </w:r>
    </w:p>
    <w:p>
      <w:pPr>
        <w:pStyle w:val="FirstParagraph"/>
        <w:spacing w:line="360" w:lineRule="auto" w:after="160"/>
      </w:pPr>
      <w:r>
        <w:rPr>
          <w:rFonts w:ascii="Calibri" w:hAnsi="Calibri" w:eastAsia="宋体" w:cs="Calibri"/>
          <w:sz w:val="24"/>
        </w:rPr>
        <w:t xml:space="preserve">德国统一后，德意志银行等“D银行”迅速成长为兼营存贷与证券承销的全能银行，为重工业提供长期资金和公司治理监督。Gerschenkron 将其视为后发工业化的典型金融回应。与此并行的是公共储蓄银行（Sparkassen）和合作社银行（Volksbanken/Raiffeisenbanken）构成的“三支柱”：私人商业银行、公法储蓄银行、合作银行。这一结构至今仍使德国股票市值/GDP处于约44%的低位，私人部门信贷/GDP也低于东亚（2023年约78%）。</w:t>
      </w:r>
    </w:p>
    <w:p>
      <w:pPr>
        <w:pStyle w:val="BodyText"/>
        <w:spacing w:line="360" w:lineRule="auto" w:after="160"/>
      </w:pPr>
      <w:r>
        <w:rPr>
          <w:bCs/>
          <w:rFonts w:ascii="Calibri" w:hAnsi="Calibri" w:eastAsia="宋体" w:cs="Calibri"/>
          <w:b/>
          <w:sz w:val="24"/>
        </w:rPr>
        <w:t xml:space="preserve">与中国的相似点：</w:t>
      </w:r>
    </w:p>
    <w:p>
      <w:pPr>
        <w:numPr>
          <w:ilvl w:val="0"/>
          <w:numId w:val="1011"/>
        </w:numPr>
        <w:pStyle w:val="Compact"/>
        <w:spacing w:line="360" w:lineRule="auto" w:after="160"/>
      </w:pPr>
      <w:r>
        <w:rPr>
          <w:bCs/>
          <w:rFonts w:ascii="Calibri" w:hAnsi="Calibri" w:eastAsia="宋体" w:cs="Calibri"/>
          <w:b/>
          <w:sz w:val="24"/>
        </w:rPr>
        <w:t xml:space="preserve">银行而不是股市</w:t>
      </w:r>
      <w:r>
        <w:rPr>
          <w:rFonts w:ascii="Calibri" w:hAnsi="Calibri" w:eastAsia="宋体" w:cs="Calibri"/>
          <w:sz w:val="24"/>
        </w:rPr>
        <w:t xml:space="preserve">承担企业长期融资。中国贷款/社融60.7%，德国历史上同样是银行主导。</w:t>
      </w:r>
    </w:p>
    <w:p>
      <w:pPr>
        <w:numPr>
          <w:ilvl w:val="0"/>
          <w:numId w:val="1011"/>
        </w:numPr>
        <w:pStyle w:val="Compact"/>
        <w:spacing w:line="360" w:lineRule="auto" w:after="160"/>
      </w:pPr>
      <w:r>
        <w:rPr>
          <w:bCs/>
          <w:rFonts w:ascii="Calibri" w:hAnsi="Calibri" w:eastAsia="宋体" w:cs="Calibri"/>
          <w:b/>
          <w:sz w:val="24"/>
        </w:rPr>
        <w:t xml:space="preserve">公共或准公共银行服务地方和中小企业。</w:t>
      </w:r>
      <w:r>
        <w:rPr>
          <w:rFonts w:ascii="Calibri" w:hAnsi="Calibri" w:eastAsia="宋体" w:cs="Calibri"/>
          <w:sz w:val="24"/>
        </w:rPr>
        <w:t xml:space="preserve"> </w:t>
      </w:r>
      <w:r>
        <w:rPr>
          <w:rFonts w:ascii="Calibri" w:hAnsi="Calibri" w:eastAsia="宋体" w:cs="Calibri"/>
          <w:sz w:val="24"/>
        </w:rPr>
        <w:t xml:space="preserve">德国Sparkassen有公法任务；中国城商行、农商行、农信社在功能上类似地方关系型银行。</w:t>
      </w:r>
    </w:p>
    <w:p>
      <w:pPr>
        <w:numPr>
          <w:ilvl w:val="0"/>
          <w:numId w:val="1011"/>
        </w:numPr>
        <w:pStyle w:val="Compact"/>
        <w:spacing w:line="360" w:lineRule="auto" w:after="160"/>
      </w:pPr>
      <w:r>
        <w:rPr>
          <w:bCs/>
          <w:rFonts w:ascii="Calibri" w:hAnsi="Calibri" w:eastAsia="宋体" w:cs="Calibri"/>
          <w:b/>
          <w:sz w:val="24"/>
        </w:rPr>
        <w:t xml:space="preserve">关系型信贷。</w:t>
      </w:r>
      <w:r>
        <w:rPr>
          <w:rFonts w:ascii="Calibri" w:hAnsi="Calibri" w:eastAsia="宋体" w:cs="Calibri"/>
          <w:sz w:val="24"/>
        </w:rPr>
        <w:t xml:space="preserve"> </w:t>
      </w:r>
      <w:r>
        <w:rPr>
          <w:rFonts w:ascii="Calibri" w:hAnsi="Calibri" w:eastAsia="宋体" w:cs="Calibri"/>
          <w:sz w:val="24"/>
        </w:rPr>
        <w:t xml:space="preserve">德国Hausbank、日本主银行、中国银企长期授信，都降低了信息不对称，也带来过度展期和“僵尸信贷”风险。</w:t>
      </w:r>
    </w:p>
    <w:p>
      <w:pPr>
        <w:numPr>
          <w:ilvl w:val="0"/>
          <w:numId w:val="1011"/>
        </w:numPr>
        <w:pStyle w:val="Compact"/>
        <w:spacing w:line="360" w:lineRule="auto" w:after="160"/>
      </w:pPr>
      <w:r>
        <w:rPr>
          <w:bCs/>
          <w:rFonts w:ascii="Calibri" w:hAnsi="Calibri" w:eastAsia="宋体" w:cs="Calibri"/>
          <w:b/>
          <w:sz w:val="24"/>
        </w:rPr>
        <w:t xml:space="preserve">工业化赶超。</w:t>
      </w:r>
      <w:r>
        <w:rPr>
          <w:rFonts w:ascii="Calibri" w:hAnsi="Calibri" w:eastAsia="宋体" w:cs="Calibri"/>
          <w:sz w:val="24"/>
        </w:rPr>
        <w:t xml:space="preserve"> </w:t>
      </w:r>
      <w:r>
        <w:rPr>
          <w:rFonts w:ascii="Calibri" w:hAnsi="Calibri" w:eastAsia="宋体" w:cs="Calibri"/>
          <w:sz w:val="24"/>
        </w:rPr>
        <w:t xml:space="preserve">德国1870年代、中国1980—2010年代，都需要把高储蓄转化为固定资产投资。</w:t>
      </w:r>
    </w:p>
    <w:p>
      <w:pPr>
        <w:pStyle w:val="FirstParagraph"/>
        <w:spacing w:line="360" w:lineRule="auto" w:after="160"/>
      </w:pPr>
      <w:r>
        <w:rPr>
          <w:bCs/>
          <w:rFonts w:ascii="Calibri" w:hAnsi="Calibri" w:eastAsia="宋体" w:cs="Calibri"/>
          <w:b/>
          <w:sz w:val="24"/>
        </w:rPr>
        <w:t xml:space="preserve">差异点：</w:t>
      </w:r>
    </w:p>
    <w:p>
      <w:pPr>
        <w:numPr>
          <w:ilvl w:val="0"/>
          <w:numId w:val="1012"/>
        </w:numPr>
        <w:pStyle w:val="Compact"/>
        <w:spacing w:line="360" w:lineRule="auto" w:after="160"/>
      </w:pPr>
      <w:r>
        <w:rPr>
          <w:rFonts w:ascii="Calibri" w:hAnsi="Calibri" w:eastAsia="宋体" w:cs="Calibri"/>
          <w:sz w:val="24"/>
        </w:rPr>
        <w:t xml:space="preserve">德国全能银行可以 internally 完成信贷与证券；中国长期分业，债券市场在银行间市场发展，股票市场相对独立且股权融资弱。</w:t>
      </w:r>
    </w:p>
    <w:p>
      <w:pPr>
        <w:numPr>
          <w:ilvl w:val="0"/>
          <w:numId w:val="1012"/>
        </w:numPr>
        <w:pStyle w:val="Compact"/>
        <w:spacing w:line="360" w:lineRule="auto" w:after="160"/>
      </w:pPr>
      <w:r>
        <w:rPr>
          <w:rFonts w:ascii="Calibri" w:hAnsi="Calibri" w:eastAsia="宋体" w:cs="Calibri"/>
          <w:sz w:val="24"/>
        </w:rPr>
        <w:t xml:space="preserve">德国储蓄银行是地方公法法人，受州和市镇约束，但联邦政府并不控股德意志银行；中国大型银行由汇金和财政部控股，政策传导更集中。</w:t>
      </w:r>
    </w:p>
    <w:p>
      <w:pPr>
        <w:numPr>
          <w:ilvl w:val="0"/>
          <w:numId w:val="1012"/>
        </w:numPr>
        <w:pStyle w:val="Compact"/>
        <w:spacing w:line="360" w:lineRule="auto" w:after="160"/>
      </w:pPr>
      <w:r>
        <w:rPr>
          <w:rFonts w:ascii="Calibri" w:hAnsi="Calibri" w:eastAsia="宋体" w:cs="Calibri"/>
          <w:sz w:val="24"/>
        </w:rPr>
        <w:t xml:space="preserve">德国没有经历“不良率超过20%再由国家外汇储备注资上市”的压缩式重组；其风险更多在州立银行（Landesbanken）的批发业务和欧债危机暴露。</w:t>
      </w:r>
    </w:p>
    <w:p>
      <w:pPr>
        <w:numPr>
          <w:ilvl w:val="0"/>
          <w:numId w:val="1012"/>
        </w:numPr>
        <w:pStyle w:val="Compact"/>
        <w:spacing w:line="360" w:lineRule="auto" w:after="160"/>
      </w:pPr>
      <w:r>
        <w:rPr>
          <w:rFonts w:ascii="Calibri" w:hAnsi="Calibri" w:eastAsia="宋体" w:cs="Calibri"/>
          <w:sz w:val="24"/>
        </w:rPr>
        <w:t xml:space="preserve">德国私人信贷/GDP并不高，反映的是企业自有资金强、中小企业股权封闭、以及银行体系相对保守；中国信贷/GDP接近200%，反映投资率和房地产货币化更高。</w:t>
      </w:r>
    </w:p>
    <w:p>
      <w:pPr>
        <w:pStyle w:val="FirstParagraph"/>
        <w:spacing w:line="360" w:lineRule="auto" w:after="160"/>
      </w:pPr>
      <w:r>
        <w:rPr>
          <w:bCs/>
          <w:rFonts w:ascii="Calibri" w:hAnsi="Calibri" w:eastAsia="宋体" w:cs="Calibri"/>
          <w:b/>
          <w:sz w:val="24"/>
        </w:rPr>
        <w:t xml:space="preserve">对应时段判断：</w:t>
      </w:r>
      <w:r>
        <w:rPr>
          <w:rFonts w:ascii="Calibri" w:hAnsi="Calibri" w:eastAsia="宋体" w:cs="Calibri"/>
          <w:sz w:val="24"/>
        </w:rPr>
        <w:t xml:space="preserve"> </w:t>
      </w:r>
      <w:r>
        <w:rPr>
          <w:rFonts w:ascii="Calibri" w:hAnsi="Calibri" w:eastAsia="宋体" w:cs="Calibri"/>
          <w:sz w:val="24"/>
        </w:rPr>
        <w:t xml:space="preserve">中国2000年以来的金融结构，与德国1870—1960年代“银行动员资本、股市发育不足、地方银行服务中小企业”最为神似，但中国的国家控股集中度和信贷密度更高。</w:t>
      </w:r>
    </w:p>
    <w:bookmarkEnd w:id="43"/>
    <w:bookmarkStart w:id="44" w:name="日本主银行高速增长泡沫与拖延处置19502005"/>
    <w:p>
      <w:pPr>
        <w:pStyle w:val="Heading3"/>
        <w:spacing w:before="240" w:after="160" w:line="312" w:lineRule="auto"/>
      </w:pPr>
      <w:r>
        <w:rPr>
          <w:rFonts w:ascii="Calibri" w:hAnsi="Calibri" w:eastAsia="黑体" w:cs="Calibri"/>
          <w:b/>
          <w:color w:val="2E75B6"/>
          <w:sz w:val="25"/>
        </w:rPr>
        <w:t xml:space="preserve">5.4 日本：主银行、高速增长、泡沫与拖延处置（1950—2005）</w:t>
      </w:r>
    </w:p>
    <w:p>
      <w:pPr>
        <w:pStyle w:val="FirstParagraph"/>
        <w:spacing w:line="360" w:lineRule="auto" w:after="160"/>
      </w:pPr>
      <w:r>
        <w:rPr>
          <w:rFonts w:ascii="Calibri" w:hAnsi="Calibri" w:eastAsia="宋体" w:cs="Calibri"/>
          <w:sz w:val="24"/>
        </w:rPr>
        <w:t xml:space="preserve">日本是与中国可比性最强的参照系，因为同属东亚高储蓄、银行主导、政府深度介入信用分配、随后经历房地产周期的经济体。</w:t>
      </w:r>
    </w:p>
    <w:p>
      <w:pPr>
        <w:pStyle w:val="BodyText"/>
        <w:spacing w:line="360" w:lineRule="auto" w:after="160"/>
      </w:pPr>
      <w:r>
        <w:rPr>
          <w:bCs/>
          <w:rFonts w:ascii="Calibri" w:hAnsi="Calibri" w:eastAsia="宋体" w:cs="Calibri"/>
          <w:b/>
          <w:sz w:val="24"/>
        </w:rPr>
        <w:t xml:space="preserve">高速增长期（约1950年代—1973年）与中国1978—2012年的相似：</w:t>
      </w:r>
    </w:p>
    <w:p>
      <w:pPr>
        <w:numPr>
          <w:ilvl w:val="0"/>
          <w:numId w:val="1013"/>
        </w:numPr>
        <w:pStyle w:val="Compact"/>
        <w:spacing w:line="360" w:lineRule="auto" w:after="160"/>
      </w:pPr>
      <w:r>
        <w:rPr>
          <w:rFonts w:ascii="Calibri" w:hAnsi="Calibri" w:eastAsia="宋体" w:cs="Calibri"/>
          <w:sz w:val="24"/>
        </w:rPr>
        <w:t xml:space="preserve">主银行（main bank）为企业提供关系型贷款、相机治理和应急融资；中国则是主办银行、授信集团和政府协调下的银团贷款。</w:t>
      </w:r>
    </w:p>
    <w:p>
      <w:pPr>
        <w:numPr>
          <w:ilvl w:val="0"/>
          <w:numId w:val="1013"/>
        </w:numPr>
        <w:pStyle w:val="Compact"/>
        <w:spacing w:line="360" w:lineRule="auto" w:after="160"/>
      </w:pPr>
      <w:r>
        <w:rPr>
          <w:rFonts w:ascii="Calibri" w:hAnsi="Calibri" w:eastAsia="宋体" w:cs="Calibri"/>
          <w:sz w:val="24"/>
        </w:rPr>
        <w:t xml:space="preserve">利率管制、窗口指导、信贷配额在两国高速增长期都是宏观调控的日常工具。</w:t>
      </w:r>
    </w:p>
    <w:p>
      <w:pPr>
        <w:numPr>
          <w:ilvl w:val="0"/>
          <w:numId w:val="1013"/>
        </w:numPr>
        <w:pStyle w:val="Compact"/>
        <w:spacing w:line="360" w:lineRule="auto" w:after="160"/>
      </w:pPr>
      <w:r>
        <w:rPr>
          <w:rFonts w:ascii="Calibri" w:hAnsi="Calibri" w:eastAsia="宋体" w:cs="Calibri"/>
          <w:sz w:val="24"/>
        </w:rPr>
        <w:t xml:space="preserve">银行、企业和（在日本）交叉持股形成内部资本市场，降低了外部股市的重要性。</w:t>
      </w:r>
    </w:p>
    <w:p>
      <w:pPr>
        <w:numPr>
          <w:ilvl w:val="0"/>
          <w:numId w:val="1013"/>
        </w:numPr>
        <w:pStyle w:val="Compact"/>
        <w:spacing w:line="360" w:lineRule="auto" w:after="160"/>
      </w:pPr>
      <w:r>
        <w:rPr>
          <w:rFonts w:ascii="Calibri" w:hAnsi="Calibri" w:eastAsia="宋体" w:cs="Calibri"/>
          <w:sz w:val="24"/>
        </w:rPr>
        <w:t xml:space="preserve">出口导向与高投资并存，银行资产随工业化迅速膨胀。</w:t>
      </w:r>
    </w:p>
    <w:p>
      <w:pPr>
        <w:pStyle w:val="FirstParagraph"/>
        <w:spacing w:line="360" w:lineRule="auto" w:after="160"/>
      </w:pPr>
      <w:r>
        <w:rPr>
          <w:bCs/>
          <w:rFonts w:ascii="Calibri" w:hAnsi="Calibri" w:eastAsia="宋体" w:cs="Calibri"/>
          <w:b/>
          <w:sz w:val="24"/>
        </w:rPr>
        <w:t xml:space="preserve">泡沫与危机处置的差异是关键。</w:t>
      </w:r>
      <w:r>
        <w:rPr>
          <w:rFonts w:ascii="Calibri" w:hAnsi="Calibri" w:eastAsia="宋体" w:cs="Calibri"/>
          <w:sz w:val="24"/>
        </w:rPr>
        <w:t xml:space="preserve"> </w:t>
      </w:r>
      <w:r>
        <w:rPr>
          <w:rFonts w:ascii="Calibri" w:hAnsi="Calibri" w:eastAsia="宋体" w:cs="Calibri"/>
          <w:sz w:val="24"/>
        </w:rPr>
        <w:t xml:space="preserve">日本1990年代初资产价格崩溃后，官方长期低估不良贷款。英格兰银行综述指出：大藏省1998年内部估计，若计入展期贷款，不良贷款达76万亿日元，相当于1998年GDP的14.8%，是1997年9月公布口径（21.7万亿日元、GDP的4.1%）的三倍以上。危机在1997—1998年才全面爆发，北海道拓殖银行、长期信用银行等倒闭。公共资金最终大规模注入，IMF估计用于处置不良和注资的公共资金约47万亿日元；主要银行不良率到2005年3月才降至2.9%，政府宣布NPL问题结束。信用/GDP在危机后多年下降，出现“失去的十年”。</w:t>
      </w:r>
    </w:p>
    <w:p>
      <w:pPr>
        <w:pStyle w:val="BodyText"/>
        <w:spacing w:line="360" w:lineRule="auto" w:after="160"/>
      </w:pPr>
      <w:r>
        <w:rPr>
          <w:rFonts w:ascii="Calibri" w:hAnsi="Calibri" w:eastAsia="宋体" w:cs="Calibri"/>
          <w:sz w:val="24"/>
        </w:rPr>
        <w:t xml:space="preserve">中国1998—2008年也面临技术性高不良，但路径不同：</w:t>
      </w:r>
    </w:p>
    <w:tbl>
      <w:tblPr>
        <w:tblStyle w:val="Table"/>
        <w:tblW w:type="pct" w:w="5000"/>
        <w:tblLook w:firstRow="1" w:lastRow="0" w:firstColumn="0" w:lastColumn="0" w:noHBand="0" w:noVBand="0" w:val="0020"/>
        <w:jc w:val="center"/>
        <w:tblLayout w:type="autofit"/>
      </w:tblPr>
      <w:tblGrid>
        <w:gridCol w:w="2640"/>
        <w:gridCol w:w="2640"/>
        <w:gridCol w:w="2640"/>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维度</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日本1991—2005</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中国1998—2010</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不良确认</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长期监管容忍，披露口径偏窄</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1998年后改五级分类，不良被集中暴露</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剥离定价</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后期才强制拨备和出售</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1999年AMC按账面价值大规模剥离</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资本补充</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多次注资，伴随机构破产</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外汇储备通过汇金注资，四大行未倒闭</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增长环境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人口见顶、地产长熊、通缩</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城镇化、加入WTO、高增长稀释不良</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结果</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信贷中介功能受损约十年</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股改上市后信贷扩张重启</w:t>
            </w:r>
          </w:p>
        </w:tc>
      </w:tr>
    </w:tbl>
    <w:p>
      <w:pPr>
        <w:pStyle w:val="BodyText"/>
        <w:spacing w:line="360" w:lineRule="auto" w:after="160"/>
      </w:pPr>
      <w:r>
        <w:rPr>
          <w:bCs/>
          <w:rFonts w:ascii="Calibri" w:hAnsi="Calibri" w:eastAsia="宋体" w:cs="Calibri"/>
          <w:b/>
          <w:sz w:val="24"/>
        </w:rPr>
        <w:t xml:space="preserve">一个必须谨慎的类比：</w:t>
      </w:r>
      <w:r>
        <w:rPr>
          <w:rFonts w:ascii="Calibri" w:hAnsi="Calibri" w:eastAsia="宋体" w:cs="Calibri"/>
          <w:sz w:val="24"/>
        </w:rPr>
        <w:t xml:space="preserve"> </w:t>
      </w:r>
      <w:r>
        <w:rPr>
          <w:rFonts w:ascii="Calibri" w:hAnsi="Calibri" w:eastAsia="宋体" w:cs="Calibri"/>
          <w:sz w:val="24"/>
        </w:rPr>
        <w:t xml:space="preserve">中国2010年代以后私人部门信贷/GDP升至约190%—200%（世界银行），BIS口径下中国私人非金融部门信贷/GDP在2025年三季度约</w:t>
      </w:r>
      <w:r>
        <w:rPr>
          <w:rFonts w:ascii="Calibri" w:hAnsi="Calibri" w:eastAsia="宋体" w:cs="Calibri"/>
          <w:sz w:val="24"/>
        </w:rPr>
        <w:t xml:space="preserve"> </w:t>
      </w:r>
      <w:r>
        <w:rPr>
          <w:bCs/>
          <w:rFonts w:ascii="Calibri" w:hAnsi="Calibri" w:eastAsia="宋体" w:cs="Calibri"/>
          <w:b/>
          <w:sz w:val="24"/>
        </w:rPr>
        <w:t xml:space="preserve">201.4%</w:t>
      </w:r>
      <w:r>
        <w:rPr>
          <w:rFonts w:ascii="Calibri" w:hAnsi="Calibri" w:eastAsia="宋体" w:cs="Calibri"/>
          <w:sz w:val="24"/>
        </w:rPr>
        <w:t xml:space="preserve">，非金融部门总信贷/GDP在2025年四季度约</w:t>
      </w:r>
      <w:r>
        <w:rPr>
          <w:rFonts w:ascii="Calibri" w:hAnsi="Calibri" w:eastAsia="宋体" w:cs="Calibri"/>
          <w:sz w:val="24"/>
        </w:rPr>
        <w:t xml:space="preserve"> </w:t>
      </w:r>
      <w:r>
        <w:rPr>
          <w:bCs/>
          <w:rFonts w:ascii="Calibri" w:hAnsi="Calibri" w:eastAsia="宋体" w:cs="Calibri"/>
          <w:b/>
          <w:sz w:val="24"/>
        </w:rPr>
        <w:t xml:space="preserve">300%</w:t>
      </w:r>
      <w:r>
        <w:rPr>
          <w:rFonts w:ascii="Calibri" w:hAnsi="Calibri" w:eastAsia="宋体" w:cs="Calibri"/>
          <w:sz w:val="24"/>
        </w:rPr>
        <w:t xml:space="preserve">。日本1990年代泡沫破裂前也出现过信贷和地价的急剧膨胀。相似之处是地产作为信贷抵押品的核心地位；差异在于中国仍保持资本账户管理、大型银行国家控股、以及2016年以后主动去杠杆和“房住不炒”。是否滑向日本式资产负债表衰退，取决于房地产出清速度、银行是否持续为低效债务人展期，而不是取决于“银行主导”这一结构本身——德国同样银行主导，并未复制日本1990年代。</w:t>
      </w:r>
    </w:p>
    <w:p>
      <w:pPr>
        <w:pStyle w:val="BodyText"/>
        <w:spacing w:line="360" w:lineRule="auto" w:after="160"/>
      </w:pPr>
      <w:r>
        <w:rPr>
          <w:bCs/>
          <w:rFonts w:ascii="Calibri" w:hAnsi="Calibri" w:eastAsia="宋体" w:cs="Calibri"/>
          <w:b/>
          <w:sz w:val="24"/>
        </w:rPr>
        <w:t xml:space="preserve">对应时段判断：</w:t>
      </w:r>
    </w:p>
    <w:p>
      <w:pPr>
        <w:numPr>
          <w:ilvl w:val="0"/>
          <w:numId w:val="1014"/>
        </w:numPr>
        <w:pStyle w:val="Compact"/>
        <w:spacing w:line="360" w:lineRule="auto" w:after="160"/>
      </w:pPr>
      <w:r>
        <w:rPr>
          <w:rFonts w:ascii="Calibri" w:hAnsi="Calibri" w:eastAsia="宋体" w:cs="Calibri"/>
          <w:sz w:val="24"/>
        </w:rPr>
        <w:t xml:space="preserve">中国1978—2012年 ≈ 日本1955—1973年高速增长期的金融安排；</w:t>
      </w:r>
    </w:p>
    <w:p>
      <w:pPr>
        <w:numPr>
          <w:ilvl w:val="0"/>
          <w:numId w:val="1014"/>
        </w:numPr>
        <w:pStyle w:val="Compact"/>
        <w:spacing w:line="360" w:lineRule="auto" w:after="160"/>
      </w:pPr>
      <w:r>
        <w:rPr>
          <w:rFonts w:ascii="Calibri" w:hAnsi="Calibri" w:eastAsia="宋体" w:cs="Calibri"/>
          <w:sz w:val="24"/>
        </w:rPr>
        <w:t xml:space="preserve">中国1998—2005年不良处置 ≈ 日本1998—2005年的“后半段严肃处置”，但中国用增长和注资把前半段拖延的成本压缩在更短时间内；</w:t>
      </w:r>
    </w:p>
    <w:p>
      <w:pPr>
        <w:numPr>
          <w:ilvl w:val="0"/>
          <w:numId w:val="1014"/>
        </w:numPr>
        <w:pStyle w:val="Compact"/>
        <w:spacing w:line="360" w:lineRule="auto" w:after="160"/>
      </w:pPr>
      <w:r>
        <w:rPr>
          <w:rFonts w:ascii="Calibri" w:hAnsi="Calibri" w:eastAsia="宋体" w:cs="Calibri"/>
          <w:sz w:val="24"/>
        </w:rPr>
        <w:t xml:space="preserve">中国2016年至今的地产与地方债务风险，是最接近日本1990年代的风险形态，但制度应对迄今更主动。</w:t>
      </w:r>
    </w:p>
    <w:bookmarkEnd w:id="44"/>
    <w:bookmarkStart w:id="45" w:name="韩国发展型金融财阀与危机中的折价出清19602002"/>
    <w:p>
      <w:pPr>
        <w:pStyle w:val="Heading3"/>
        <w:spacing w:before="240" w:after="160" w:line="312" w:lineRule="auto"/>
      </w:pPr>
      <w:r>
        <w:rPr>
          <w:rFonts w:ascii="Calibri" w:hAnsi="Calibri" w:eastAsia="黑体" w:cs="Calibri"/>
          <w:b/>
          <w:color w:val="2E75B6"/>
          <w:sz w:val="25"/>
        </w:rPr>
        <w:t xml:space="preserve">5.5 韩国：发展型金融、财阀与危机中的折价出清（1960—2002）</w:t>
      </w:r>
    </w:p>
    <w:p>
      <w:pPr>
        <w:pStyle w:val="FirstParagraph"/>
        <w:spacing w:line="360" w:lineRule="auto" w:after="160"/>
      </w:pPr>
      <w:r>
        <w:rPr>
          <w:rFonts w:ascii="Calibri" w:hAnsi="Calibri" w:eastAsia="宋体" w:cs="Calibri"/>
          <w:sz w:val="24"/>
        </w:rPr>
        <w:t xml:space="preserve">韩国在朴正熙时期同样以银行体系执行产业政策，信贷向财阀（chaebol）倾斜，形成高杠杆增长。1997年亚洲金融危机中，短期外债与银行不良交织。政府向IMF求援，策略包括：流动性支持、关闭不可持续机构、KAMCO收购不良、按国际标准重组监管、推动企业重组。</w:t>
      </w:r>
    </w:p>
    <w:p>
      <w:pPr>
        <w:pStyle w:val="BodyText"/>
        <w:spacing w:line="360" w:lineRule="auto" w:after="160"/>
      </w:pPr>
      <w:r>
        <w:rPr>
          <w:rFonts w:ascii="Calibri" w:hAnsi="Calibri" w:eastAsia="宋体" w:cs="Calibri"/>
          <w:sz w:val="24"/>
        </w:rPr>
        <w:t xml:space="preserve">KAMCO到2002年11月累计收购面值</w:t>
      </w:r>
      <w:r>
        <w:rPr>
          <w:rFonts w:ascii="Calibri" w:hAnsi="Calibri" w:eastAsia="宋体" w:cs="Calibri"/>
          <w:sz w:val="24"/>
        </w:rPr>
        <w:t xml:space="preserve"> </w:t>
      </w:r>
      <w:r>
        <w:rPr>
          <w:bCs/>
          <w:rFonts w:ascii="Calibri" w:hAnsi="Calibri" w:eastAsia="宋体" w:cs="Calibri"/>
          <w:b/>
          <w:sz w:val="24"/>
        </w:rPr>
        <w:t xml:space="preserve">110.2万亿韩元</w:t>
      </w:r>
      <w:r>
        <w:rPr>
          <w:rFonts w:ascii="Calibri" w:hAnsi="Calibri" w:eastAsia="宋体" w:cs="Calibri"/>
          <w:sz w:val="24"/>
        </w:rPr>
        <w:t xml:space="preserve">（约882亿美元）的不良资产，收购价</w:t>
      </w:r>
      <w:r>
        <w:rPr>
          <w:rFonts w:ascii="Calibri" w:hAnsi="Calibri" w:eastAsia="宋体" w:cs="Calibri"/>
          <w:sz w:val="24"/>
        </w:rPr>
        <w:t xml:space="preserve"> </w:t>
      </w:r>
      <w:r>
        <w:rPr>
          <w:bCs/>
          <w:rFonts w:ascii="Calibri" w:hAnsi="Calibri" w:eastAsia="宋体" w:cs="Calibri"/>
          <w:b/>
          <w:sz w:val="24"/>
        </w:rPr>
        <w:t xml:space="preserve">39.8万亿韩元</w:t>
      </w:r>
      <w:r>
        <w:rPr>
          <w:rFonts w:ascii="Calibri" w:hAnsi="Calibri" w:eastAsia="宋体" w:cs="Calibri"/>
          <w:sz w:val="24"/>
        </w:rPr>
        <w:t xml:space="preserve">，即大约三到四折。基金清算时回收</w:t>
      </w:r>
      <w:r>
        <w:rPr>
          <w:rFonts w:ascii="Calibri" w:hAnsi="Calibri" w:eastAsia="宋体" w:cs="Calibri"/>
          <w:sz w:val="24"/>
        </w:rPr>
        <w:t xml:space="preserve"> </w:t>
      </w:r>
      <w:r>
        <w:rPr>
          <w:bCs/>
          <w:rFonts w:ascii="Calibri" w:hAnsi="Calibri" w:eastAsia="宋体" w:cs="Calibri"/>
          <w:b/>
          <w:sz w:val="24"/>
        </w:rPr>
        <w:t xml:space="preserve">48.1万亿韩元</w:t>
      </w:r>
      <w:r>
        <w:rPr>
          <w:rFonts w:ascii="Calibri" w:hAnsi="Calibri" w:eastAsia="宋体" w:cs="Calibri"/>
          <w:sz w:val="24"/>
        </w:rPr>
        <w:t xml:space="preserve">，实现公共资金覆盖。银行不良贷款率从1998年约18%降至2002年约2.3%。BIS文献记载，1997年末24家银行中有12家未达最低资本标准，5家被暂停牌照并由健康银行承接。</w:t>
      </w:r>
    </w:p>
    <w:p>
      <w:pPr>
        <w:pStyle w:val="BodyText"/>
        <w:spacing w:line="360" w:lineRule="auto" w:after="160"/>
      </w:pPr>
      <w:r>
        <w:rPr>
          <w:bCs/>
          <w:rFonts w:ascii="Calibri" w:hAnsi="Calibri" w:eastAsia="宋体" w:cs="Calibri"/>
          <w:b/>
          <w:sz w:val="24"/>
        </w:rPr>
        <w:t xml:space="preserve">与中国的相似点：</w:t>
      </w:r>
    </w:p>
    <w:p>
      <w:pPr>
        <w:numPr>
          <w:ilvl w:val="0"/>
          <w:numId w:val="1015"/>
        </w:numPr>
        <w:pStyle w:val="Compact"/>
        <w:spacing w:line="360" w:lineRule="auto" w:after="160"/>
      </w:pPr>
      <w:r>
        <w:rPr>
          <w:rFonts w:ascii="Calibri" w:hAnsi="Calibri" w:eastAsia="宋体" w:cs="Calibri"/>
          <w:sz w:val="24"/>
        </w:rPr>
        <w:t xml:space="preserve">都设立国家级AMC（KAMCO vs 信达华融长城东方）；</w:t>
      </w:r>
    </w:p>
    <w:p>
      <w:pPr>
        <w:numPr>
          <w:ilvl w:val="0"/>
          <w:numId w:val="1015"/>
        </w:numPr>
        <w:pStyle w:val="Compact"/>
        <w:spacing w:line="360" w:lineRule="auto" w:after="160"/>
      </w:pPr>
      <w:r>
        <w:rPr>
          <w:rFonts w:ascii="Calibri" w:hAnsi="Calibri" w:eastAsia="宋体" w:cs="Calibri"/>
          <w:sz w:val="24"/>
        </w:rPr>
        <w:t xml:space="preserve">都经历“发展型信贷 → 高不良 → 国家重组”；</w:t>
      </w:r>
    </w:p>
    <w:p>
      <w:pPr>
        <w:numPr>
          <w:ilvl w:val="0"/>
          <w:numId w:val="1015"/>
        </w:numPr>
        <w:pStyle w:val="Compact"/>
        <w:spacing w:line="360" w:lineRule="auto" w:after="160"/>
      </w:pPr>
      <w:r>
        <w:rPr>
          <w:rFonts w:ascii="Calibri" w:hAnsi="Calibri" w:eastAsia="宋体" w:cs="Calibri"/>
          <w:sz w:val="24"/>
        </w:rPr>
        <w:t xml:space="preserve">都在危机后强化审慎监管并引入国际资本规则。</w:t>
      </w:r>
    </w:p>
    <w:p>
      <w:pPr>
        <w:pStyle w:val="FirstParagraph"/>
        <w:spacing w:line="360" w:lineRule="auto" w:after="160"/>
      </w:pPr>
      <w:r>
        <w:rPr>
          <w:bCs/>
          <w:rFonts w:ascii="Calibri" w:hAnsi="Calibri" w:eastAsia="宋体" w:cs="Calibri"/>
          <w:b/>
          <w:sz w:val="24"/>
        </w:rPr>
        <w:t xml:space="preserve">差异点：</w:t>
      </w:r>
    </w:p>
    <w:p>
      <w:pPr>
        <w:numPr>
          <w:ilvl w:val="0"/>
          <w:numId w:val="1016"/>
        </w:numPr>
        <w:pStyle w:val="Compact"/>
        <w:spacing w:line="360" w:lineRule="auto" w:after="160"/>
      </w:pPr>
      <w:r>
        <w:rPr>
          <w:bCs/>
          <w:rFonts w:ascii="Calibri" w:hAnsi="Calibri" w:eastAsia="宋体" w:cs="Calibri"/>
          <w:b/>
          <w:sz w:val="24"/>
        </w:rPr>
        <w:t xml:space="preserve">定价：</w:t>
      </w:r>
      <w:r>
        <w:rPr>
          <w:rFonts w:ascii="Calibri" w:hAnsi="Calibri" w:eastAsia="宋体" w:cs="Calibri"/>
          <w:sz w:val="24"/>
        </w:rPr>
        <w:t xml:space="preserve"> </w:t>
      </w:r>
      <w:r>
        <w:rPr>
          <w:rFonts w:ascii="Calibri" w:hAnsi="Calibri" w:eastAsia="宋体" w:cs="Calibri"/>
          <w:sz w:val="24"/>
        </w:rPr>
        <w:t xml:space="preserve">韩国按近似市场价大幅折价收购；中国1999年基本按账面价值，把损失留在AMC和财政/央行。</w:t>
      </w:r>
    </w:p>
    <w:p>
      <w:pPr>
        <w:numPr>
          <w:ilvl w:val="0"/>
          <w:numId w:val="1016"/>
        </w:numPr>
        <w:pStyle w:val="Compact"/>
        <w:spacing w:line="360" w:lineRule="auto" w:after="160"/>
      </w:pPr>
      <w:r>
        <w:rPr>
          <w:bCs/>
          <w:rFonts w:ascii="Calibri" w:hAnsi="Calibri" w:eastAsia="宋体" w:cs="Calibri"/>
          <w:b/>
          <w:sz w:val="24"/>
        </w:rPr>
        <w:t xml:space="preserve">开放与所有权：</w:t>
      </w:r>
      <w:r>
        <w:rPr>
          <w:rFonts w:ascii="Calibri" w:hAnsi="Calibri" w:eastAsia="宋体" w:cs="Calibri"/>
          <w:sz w:val="24"/>
        </w:rPr>
        <w:t xml:space="preserve"> </w:t>
      </w:r>
      <w:r>
        <w:rPr>
          <w:rFonts w:ascii="Calibri" w:hAnsi="Calibri" w:eastAsia="宋体" w:cs="Calibri"/>
          <w:sz w:val="24"/>
        </w:rPr>
        <w:t xml:space="preserve">韩国在危机后允许外资大规模入股商业银行；中国引入战略投资者但保持国家绝对控股，外资银行市场份额至今不足1%。</w:t>
      </w:r>
    </w:p>
    <w:p>
      <w:pPr>
        <w:numPr>
          <w:ilvl w:val="0"/>
          <w:numId w:val="1016"/>
        </w:numPr>
        <w:pStyle w:val="Compact"/>
        <w:spacing w:line="360" w:lineRule="auto" w:after="160"/>
      </w:pPr>
      <w:r>
        <w:rPr>
          <w:bCs/>
          <w:rFonts w:ascii="Calibri" w:hAnsi="Calibri" w:eastAsia="宋体" w:cs="Calibri"/>
          <w:b/>
          <w:sz w:val="24"/>
        </w:rPr>
        <w:t xml:space="preserve">外部约束：</w:t>
      </w:r>
      <w:r>
        <w:rPr>
          <w:rFonts w:ascii="Calibri" w:hAnsi="Calibri" w:eastAsia="宋体" w:cs="Calibri"/>
          <w:sz w:val="24"/>
        </w:rPr>
        <w:t xml:space="preserve"> </w:t>
      </w:r>
      <w:r>
        <w:rPr>
          <w:rFonts w:ascii="Calibri" w:hAnsi="Calibri" w:eastAsia="宋体" w:cs="Calibri"/>
          <w:sz w:val="24"/>
        </w:rPr>
        <w:t xml:space="preserve">韩国重组在IMF条件贷款下进行；中国依靠外汇储备和国内储蓄，未经历主权层面的外部金融援助。</w:t>
      </w:r>
    </w:p>
    <w:p>
      <w:pPr>
        <w:numPr>
          <w:ilvl w:val="0"/>
          <w:numId w:val="1016"/>
        </w:numPr>
        <w:pStyle w:val="Compact"/>
        <w:spacing w:line="360" w:lineRule="auto" w:after="160"/>
      </w:pPr>
      <w:r>
        <w:rPr>
          <w:bCs/>
          <w:rFonts w:ascii="Calibri" w:hAnsi="Calibri" w:eastAsia="宋体" w:cs="Calibri"/>
          <w:b/>
          <w:sz w:val="24"/>
        </w:rPr>
        <w:t xml:space="preserve">企业部门：</w:t>
      </w:r>
      <w:r>
        <w:rPr>
          <w:rFonts w:ascii="Calibri" w:hAnsi="Calibri" w:eastAsia="宋体" w:cs="Calibri"/>
          <w:sz w:val="24"/>
        </w:rPr>
        <w:t xml:space="preserve"> </w:t>
      </w:r>
      <w:r>
        <w:rPr>
          <w:rFonts w:ascii="Calibri" w:hAnsi="Calibri" w:eastAsia="宋体" w:cs="Calibri"/>
          <w:sz w:val="24"/>
        </w:rPr>
        <w:t xml:space="preserve">韩国强制财阀去杠杆、退出无法生存的企业；中国1990年代国企改革与银行剥离同步，但“保增长、保就业”约束更强，出清更渐进。</w:t>
      </w:r>
    </w:p>
    <w:p>
      <w:pPr>
        <w:pStyle w:val="FirstParagraph"/>
        <w:spacing w:line="360" w:lineRule="auto" w:after="160"/>
      </w:pPr>
      <w:r>
        <w:rPr>
          <w:bCs/>
          <w:rFonts w:ascii="Calibri" w:hAnsi="Calibri" w:eastAsia="宋体" w:cs="Calibri"/>
          <w:b/>
          <w:sz w:val="24"/>
        </w:rPr>
        <w:t xml:space="preserve">对应时段判断：</w:t>
      </w:r>
      <w:r>
        <w:rPr>
          <w:rFonts w:ascii="Calibri" w:hAnsi="Calibri" w:eastAsia="宋体" w:cs="Calibri"/>
          <w:sz w:val="24"/>
        </w:rPr>
        <w:t xml:space="preserve"> </w:t>
      </w:r>
      <w:r>
        <w:rPr>
          <w:rFonts w:ascii="Calibri" w:hAnsi="Calibri" w:eastAsia="宋体" w:cs="Calibri"/>
          <w:sz w:val="24"/>
        </w:rPr>
        <w:t xml:space="preserve">中国1999—2006年的AMC+注资+上市，与韩国1997—2002年同属“坏账集中处置+监管升级”，但中国是“国家资产负债表内部转移”，韩国是“危机逼出的市场化折价重组”。</w:t>
      </w:r>
    </w:p>
    <w:p>
      <w:pPr>
        <w:spacing w:line="360" w:lineRule="auto" w:after="160"/>
      </w:pPr>
      <w:r>
        <w:rPr>
          <w:rFonts w:ascii="Calibri" w:hAnsi="Calibri" w:eastAsia="宋体" w:cs="Calibri"/>
          <w:sz w:val="24"/>
        </w:rPr>
        <w:pict>
          <v:rect style="width:0;height:1.5pt" o:hralign="center" o:hrstd="t" o:hr="t"/>
        </w:pict>
      </w:r>
    </w:p>
    <w:bookmarkEnd w:id="45"/>
    <w:bookmarkEnd w:id="46"/>
    <w:bookmarkStart w:id="50" w:name="六综合对照相似之处与差异点"/>
    <w:p>
      <w:pPr>
        <w:pStyle w:val="Heading2"/>
        <w:spacing w:before="240" w:after="160" w:line="312" w:lineRule="auto"/>
      </w:pPr>
      <w:r>
        <w:rPr>
          <w:rFonts w:ascii="Calibri" w:hAnsi="Calibri" w:eastAsia="黑体" w:cs="Calibri"/>
          <w:b/>
          <w:color w:val="2E75B6"/>
          <w:sz w:val="28"/>
        </w:rPr>
        <w:t xml:space="preserve">六、综合对照：相似之处与差异点</w:t>
      </w:r>
    </w:p>
    <w:bookmarkStart w:id="47" w:name="相似之处结构性"/>
    <w:p>
      <w:pPr>
        <w:pStyle w:val="Heading3"/>
        <w:spacing w:before="240" w:after="160" w:line="312" w:lineRule="auto"/>
      </w:pPr>
      <w:r>
        <w:rPr>
          <w:rFonts w:ascii="Calibri" w:hAnsi="Calibri" w:eastAsia="黑体" w:cs="Calibri"/>
          <w:b/>
          <w:color w:val="2E75B6"/>
          <w:sz w:val="25"/>
        </w:rPr>
        <w:t xml:space="preserve">6.1 相似之处（结构性）</w:t>
      </w:r>
    </w:p>
    <w:p>
      <w:pPr>
        <w:pStyle w:val="FirstParagraph"/>
        <w:spacing w:line="360" w:lineRule="auto" w:after="160"/>
      </w:pPr>
      <w:r>
        <w:rPr>
          <w:bCs/>
          <w:rFonts w:ascii="Calibri" w:hAnsi="Calibri" w:eastAsia="宋体" w:cs="Calibri"/>
          <w:b/>
          <w:sz w:val="24"/>
        </w:rPr>
        <w:t xml:space="preserve">第一，后发工业化倾向于银行主导。</w:t>
      </w:r>
      <w:r>
        <w:rPr>
          <w:rFonts w:ascii="Calibri" w:hAnsi="Calibri" w:eastAsia="宋体" w:cs="Calibri"/>
          <w:sz w:val="24"/>
        </w:rPr>
        <w:t xml:space="preserve"> </w:t>
      </w:r>
      <w:r>
        <w:rPr>
          <w:rFonts w:ascii="Calibri" w:hAnsi="Calibri" w:eastAsia="宋体" w:cs="Calibri"/>
          <w:sz w:val="24"/>
        </w:rPr>
        <w:t xml:space="preserve">德国、日本、韩国和中国，都在资本稀缺、会计与投资者保护尚不完善时，用银行动员储蓄、监督企业。这与英国先发工业化时期资本市场自然发育不同。世界银行2024年数据仍显示中国信贷/GDP高、股市/GDP低，说明这一结构并未随人均收入提高而迅速转向美国模式。</w:t>
      </w:r>
    </w:p>
    <w:p>
      <w:pPr>
        <w:pStyle w:val="BodyText"/>
        <w:spacing w:line="360" w:lineRule="auto" w:after="160"/>
      </w:pPr>
      <w:r>
        <w:rPr>
          <w:bCs/>
          <w:rFonts w:ascii="Calibri" w:hAnsi="Calibri" w:eastAsia="宋体" w:cs="Calibri"/>
          <w:b/>
          <w:sz w:val="24"/>
        </w:rPr>
        <w:t xml:space="preserve">第二，高速增长期普遍存在金融压抑与政策信贷。</w:t>
      </w:r>
      <w:r>
        <w:rPr>
          <w:rFonts w:ascii="Calibri" w:hAnsi="Calibri" w:eastAsia="宋体" w:cs="Calibri"/>
          <w:sz w:val="24"/>
        </w:rPr>
        <w:t xml:space="preserve"> </w:t>
      </w:r>
      <w:r>
        <w:rPr>
          <w:rFonts w:ascii="Calibri" w:hAnsi="Calibri" w:eastAsia="宋体" w:cs="Calibri"/>
          <w:sz w:val="24"/>
        </w:rPr>
        <w:t xml:space="preserve">日本窗口指导、韩国政策性利率、中国规模管理与产业导向信贷，都是把银行当作发展政策工具。效率代价是风险定价不足，坏账在增长放缓时集中暴露。</w:t>
      </w:r>
    </w:p>
    <w:p>
      <w:pPr>
        <w:pStyle w:val="BodyText"/>
        <w:spacing w:line="360" w:lineRule="auto" w:after="160"/>
      </w:pPr>
      <w:r>
        <w:rPr>
          <w:bCs/>
          <w:rFonts w:ascii="Calibri" w:hAnsi="Calibri" w:eastAsia="宋体" w:cs="Calibri"/>
          <w:b/>
          <w:sz w:val="24"/>
        </w:rPr>
        <w:t xml:space="preserve">第三，关系型银行在信息上有效、在出清上迟缓。</w:t>
      </w:r>
      <w:r>
        <w:rPr>
          <w:rFonts w:ascii="Calibri" w:hAnsi="Calibri" w:eastAsia="宋体" w:cs="Calibri"/>
          <w:sz w:val="24"/>
        </w:rPr>
        <w:t xml:space="preserve"> </w:t>
      </w:r>
      <w:r>
        <w:rPr>
          <w:rFonts w:ascii="Calibri" w:hAnsi="Calibri" w:eastAsia="宋体" w:cs="Calibri"/>
          <w:sz w:val="24"/>
        </w:rPr>
        <w:t xml:space="preserve">主银行、Hausbank、中国银政企关系，都能在企业暂时困难时提供保险，也容易造成展期、借新还旧和僵尸企业。日本1990年代、中国平台与房地产风险，机制同类。</w:t>
      </w:r>
    </w:p>
    <w:p>
      <w:pPr>
        <w:pStyle w:val="BodyText"/>
        <w:spacing w:line="360" w:lineRule="auto" w:after="160"/>
      </w:pPr>
      <w:r>
        <w:rPr>
          <w:bCs/>
          <w:rFonts w:ascii="Calibri" w:hAnsi="Calibri" w:eastAsia="宋体" w:cs="Calibri"/>
          <w:b/>
          <w:sz w:val="24"/>
        </w:rPr>
        <w:t xml:space="preserve">第四，系统性不良都需要“坏账银行+公共资本+监管重构”三件套。</w:t>
      </w:r>
      <w:r>
        <w:rPr>
          <w:rFonts w:ascii="Calibri" w:hAnsi="Calibri" w:eastAsia="宋体" w:cs="Calibri"/>
          <w:sz w:val="24"/>
        </w:rPr>
        <w:t xml:space="preserve"> </w:t>
      </w:r>
      <w:r>
        <w:rPr>
          <w:rFonts w:ascii="Calibri" w:hAnsi="Calibri" w:eastAsia="宋体" w:cs="Calibri"/>
          <w:sz w:val="24"/>
        </w:rPr>
        <w:t xml:space="preserve">美国RTC、韩国KAMCO、中国四大AMC、日本后期的整理回收机构，形态相近。中国2003年成立银监会、日本成立金融厅、韩国成立金融监督委员会，都是危机或准危机之后的监管专业化。</w:t>
      </w:r>
    </w:p>
    <w:p>
      <w:pPr>
        <w:pStyle w:val="BodyText"/>
        <w:spacing w:line="360" w:lineRule="auto" w:after="160"/>
      </w:pPr>
      <w:r>
        <w:rPr>
          <w:bCs/>
          <w:rFonts w:ascii="Calibri" w:hAnsi="Calibri" w:eastAsia="宋体" w:cs="Calibri"/>
          <w:b/>
          <w:sz w:val="24"/>
        </w:rPr>
        <w:t xml:space="preserve">第五，分业与混业的摆动是普遍现象。</w:t>
      </w:r>
      <w:r>
        <w:rPr>
          <w:rFonts w:ascii="Calibri" w:hAnsi="Calibri" w:eastAsia="宋体" w:cs="Calibri"/>
          <w:sz w:val="24"/>
        </w:rPr>
        <w:t xml:space="preserve"> </w:t>
      </w:r>
      <w:r>
        <w:rPr>
          <w:rFonts w:ascii="Calibri" w:hAnsi="Calibri" w:eastAsia="宋体" w:cs="Calibri"/>
          <w:sz w:val="24"/>
        </w:rPr>
        <w:t xml:space="preserve">美国1933年分业、1999年混业；中国1995年分业、此后以子公司方式有限混业；欧洲大陆则长期全能银行。说明分业不是文化本质，而是对上一次危机的制度记忆。</w:t>
      </w:r>
    </w:p>
    <w:bookmarkEnd w:id="47"/>
    <w:bookmarkStart w:id="48" w:name="差异点中国特性"/>
    <w:p>
      <w:pPr>
        <w:pStyle w:val="Heading3"/>
        <w:spacing w:before="240" w:after="160" w:line="312" w:lineRule="auto"/>
      </w:pPr>
      <w:r>
        <w:rPr>
          <w:rFonts w:ascii="Calibri" w:hAnsi="Calibri" w:eastAsia="黑体" w:cs="Calibri"/>
          <w:b/>
          <w:color w:val="2E75B6"/>
          <w:sz w:val="25"/>
        </w:rPr>
        <w:t xml:space="preserve">6.2 差异点（中国特性）</w:t>
      </w:r>
    </w:p>
    <w:p>
      <w:pPr>
        <w:pStyle w:val="FirstParagraph"/>
        <w:spacing w:line="360" w:lineRule="auto" w:after="160"/>
      </w:pPr>
      <w:r>
        <w:rPr>
          <w:bCs/>
          <w:rFonts w:ascii="Calibri" w:hAnsi="Calibri" w:eastAsia="宋体" w:cs="Calibri"/>
          <w:b/>
          <w:sz w:val="24"/>
        </w:rPr>
        <w:t xml:space="preserve">第一，所有权：国家控股贯穿始终。</w:t>
      </w:r>
      <w:r>
        <w:rPr>
          <w:rFonts w:ascii="Calibri" w:hAnsi="Calibri" w:eastAsia="宋体" w:cs="Calibri"/>
          <w:sz w:val="24"/>
        </w:rPr>
        <w:t xml:space="preserve"> </w:t>
      </w:r>
      <w:r>
        <w:rPr>
          <w:rFonts w:ascii="Calibri" w:hAnsi="Calibri" w:eastAsia="宋体" w:cs="Calibri"/>
          <w:sz w:val="24"/>
        </w:rPr>
        <w:t xml:space="preserve">德国有公法储蓄银行，但大型商业银行是私人的；日本主银行是私人财阀/企业集团网络；韩国危机后外资持股上升。中国大型银行在股改上市后仍由汇金、财政部控股，党的领导写入治理。这使危机救助更快、政策传导更强，也使风险最终更集中于公共部门。</w:t>
      </w:r>
    </w:p>
    <w:p>
      <w:pPr>
        <w:pStyle w:val="BodyText"/>
        <w:spacing w:line="360" w:lineRule="auto" w:after="160"/>
      </w:pPr>
      <w:r>
        <w:rPr>
          <w:bCs/>
          <w:rFonts w:ascii="Calibri" w:hAnsi="Calibri" w:eastAsia="宋体" w:cs="Calibri"/>
          <w:b/>
          <w:sz w:val="24"/>
        </w:rPr>
        <w:t xml:space="preserve">第二，改革次序：先机构、后市场、再开放，且始终保留数量型调控。</w:t>
      </w:r>
      <w:r>
        <w:rPr>
          <w:rFonts w:ascii="Calibri" w:hAnsi="Calibri" w:eastAsia="宋体" w:cs="Calibri"/>
          <w:sz w:val="24"/>
        </w:rPr>
        <w:t xml:space="preserve"> </w:t>
      </w:r>
      <w:r>
        <w:rPr>
          <w:rFonts w:ascii="Calibri" w:hAnsi="Calibri" w:eastAsia="宋体" w:cs="Calibri"/>
          <w:sz w:val="24"/>
        </w:rPr>
        <w:t xml:space="preserve">中国没有复制1980年代拉美或1990年代东欧的银行私有化休克，也没有在资本账户开放的前提下放开信贷。1998—2008年不良处置发生在高增长和资本管制环境中，这是日本、韩国当时不具备的条件。</w:t>
      </w:r>
    </w:p>
    <w:p>
      <w:pPr>
        <w:pStyle w:val="BodyText"/>
        <w:spacing w:line="360" w:lineRule="auto" w:after="160"/>
      </w:pPr>
      <w:r>
        <w:rPr>
          <w:bCs/>
          <w:rFonts w:ascii="Calibri" w:hAnsi="Calibri" w:eastAsia="宋体" w:cs="Calibri"/>
          <w:b/>
          <w:sz w:val="24"/>
        </w:rPr>
        <w:t xml:space="preserve">第三，剥离定价更“政策性”。</w:t>
      </w:r>
      <w:r>
        <w:rPr>
          <w:rFonts w:ascii="Calibri" w:hAnsi="Calibri" w:eastAsia="宋体" w:cs="Calibri"/>
          <w:sz w:val="24"/>
        </w:rPr>
        <w:t xml:space="preserve"> </w:t>
      </w:r>
      <w:r>
        <w:rPr>
          <w:rFonts w:ascii="Calibri" w:hAnsi="Calibri" w:eastAsia="宋体" w:cs="Calibri"/>
          <w:sz w:val="24"/>
        </w:rPr>
        <w:t xml:space="preserve">韩国KAMCO三折收购、美国RTC市场拍卖，损失在银行股东和危机时点确认；中国第一次剥离按账面价值，损失后移到AMC债券、再贷款和长期财政。这提高了短期稳定性，也使AMC后来的商业化转型困难。</w:t>
      </w:r>
    </w:p>
    <w:p>
      <w:pPr>
        <w:pStyle w:val="BodyText"/>
        <w:spacing w:line="360" w:lineRule="auto" w:after="160"/>
      </w:pPr>
      <w:r>
        <w:rPr>
          <w:bCs/>
          <w:rFonts w:ascii="Calibri" w:hAnsi="Calibri" w:eastAsia="宋体" w:cs="Calibri"/>
          <w:b/>
          <w:sz w:val="24"/>
        </w:rPr>
        <w:t xml:space="preserve">第四，银行相对经济的体量处于全球高位。</w:t>
      </w:r>
      <w:r>
        <w:rPr>
          <w:rFonts w:ascii="Calibri" w:hAnsi="Calibri" w:eastAsia="宋体" w:cs="Calibri"/>
          <w:sz w:val="24"/>
        </w:rPr>
        <w:t xml:space="preserve"> </w:t>
      </w:r>
      <w:r>
        <w:rPr>
          <w:rFonts w:ascii="Calibri" w:hAnsi="Calibri" w:eastAsia="宋体" w:cs="Calibri"/>
          <w:sz w:val="24"/>
        </w:rPr>
        <w:t xml:space="preserve">IMF口径下2021年中国银行存款货币银行资产/GDP为214%，在全球主要经济体中仅次于香港、澳门等金融中心。2025年监管口径总资产/GDP约342%。美国约80%（FDIC资产）。中国不是“银行很多”，而是“几乎全部金融中介都在银行资产负债表上”。</w:t>
      </w:r>
    </w:p>
    <w:p>
      <w:pPr>
        <w:pStyle w:val="BodyText"/>
        <w:spacing w:line="360" w:lineRule="auto" w:after="160"/>
      </w:pPr>
      <w:r>
        <w:rPr>
          <w:bCs/>
          <w:rFonts w:ascii="Calibri" w:hAnsi="Calibri" w:eastAsia="宋体" w:cs="Calibri"/>
          <w:b/>
          <w:sz w:val="24"/>
        </w:rPr>
        <w:t xml:space="preserve">第五，对外开放呈现“制度开放、份额封闭”。</w:t>
      </w:r>
      <w:r>
        <w:rPr>
          <w:rFonts w:ascii="Calibri" w:hAnsi="Calibri" w:eastAsia="宋体" w:cs="Calibri"/>
          <w:sz w:val="24"/>
        </w:rPr>
        <w:t xml:space="preserve"> </w:t>
      </w:r>
      <w:r>
        <w:rPr>
          <w:rFonts w:ascii="Calibri" w:hAnsi="Calibri" w:eastAsia="宋体" w:cs="Calibri"/>
          <w:sz w:val="24"/>
        </w:rPr>
        <w:t xml:space="preserve">法律上取消股比限制，事实上外资法人银行资产份额2024年仅0.74%。日本、英国、香港的外资银行渗透率远高于此。这强化了货币政策和宏观审慎的可控性，也限制了竞争对效率的倒逼。</w:t>
      </w:r>
    </w:p>
    <w:p>
      <w:pPr>
        <w:pStyle w:val="BodyText"/>
        <w:spacing w:line="360" w:lineRule="auto" w:after="160"/>
      </w:pPr>
      <w:r>
        <w:rPr>
          <w:bCs/>
          <w:rFonts w:ascii="Calibri" w:hAnsi="Calibri" w:eastAsia="宋体" w:cs="Calibri"/>
          <w:b/>
          <w:sz w:val="24"/>
        </w:rPr>
        <w:t xml:space="preserve">第六，当前约束从“资本不足”转为“息差不足”。</w:t>
      </w:r>
      <w:r>
        <w:rPr>
          <w:rFonts w:ascii="Calibri" w:hAnsi="Calibri" w:eastAsia="宋体" w:cs="Calibri"/>
          <w:sz w:val="24"/>
        </w:rPr>
        <w:t xml:space="preserve"> </w:t>
      </w:r>
      <w:r>
        <w:rPr>
          <w:rFonts w:ascii="Calibri" w:hAnsi="Calibri" w:eastAsia="宋体" w:cs="Calibri"/>
          <w:sz w:val="24"/>
        </w:rPr>
        <w:t xml:space="preserve">2003年的问题是技术性破产；2025年的问题是净息差1.42%、ROA 0.60%，同时信贷存量已经很高。美欧2010年代低息差发生在量化宽松之后，且其银行并非国民经济几乎唯一的融资管道。中国要在银行主导结构下服务产业升级，必须同时面对风险定价能力不足和盈利空间收窄。</w:t>
      </w:r>
    </w:p>
    <w:p>
      <w:pPr>
        <w:pStyle w:val="BodyText"/>
        <w:spacing w:line="360" w:lineRule="auto" w:after="160"/>
      </w:pPr>
      <w:r>
        <w:rPr>
          <w:bCs/>
          <w:rFonts w:ascii="Calibri" w:hAnsi="Calibri" w:eastAsia="宋体" w:cs="Calibri"/>
          <w:b/>
          <w:sz w:val="24"/>
        </w:rPr>
        <w:t xml:space="preserve">第七，数字支付与普惠金融的跨越式发展。</w:t>
      </w:r>
      <w:r>
        <w:rPr>
          <w:rFonts w:ascii="Calibri" w:hAnsi="Calibri" w:eastAsia="宋体" w:cs="Calibri"/>
          <w:sz w:val="24"/>
        </w:rPr>
        <w:t xml:space="preserve"> </w:t>
      </w:r>
      <w:r>
        <w:rPr>
          <w:rFonts w:ascii="Calibri" w:hAnsi="Calibri" w:eastAsia="宋体" w:cs="Calibri"/>
          <w:sz w:val="24"/>
        </w:rPr>
        <w:t xml:space="preserve">主要经济体历史上的银行深化，伴随的是网点扩张；中国在人均收入尚低于美日德时，已实现行政村基础金融服务基本覆盖、移动支付全面渗透。这是发展中国家“后发优势”在金融基础设施上的体现，不能用19世纪德国或1950年代日本的网点逻辑来衡量。</w:t>
      </w:r>
    </w:p>
    <w:bookmarkEnd w:id="48"/>
    <w:bookmarkStart w:id="49" w:name="一张总表"/>
    <w:p>
      <w:pPr>
        <w:pStyle w:val="Heading3"/>
        <w:spacing w:before="240" w:after="160" w:line="312" w:lineRule="auto"/>
      </w:pPr>
      <w:r>
        <w:rPr>
          <w:rFonts w:ascii="Calibri" w:hAnsi="Calibri" w:eastAsia="黑体" w:cs="Calibri"/>
          <w:b/>
          <w:color w:val="2E75B6"/>
          <w:sz w:val="25"/>
        </w:rPr>
        <w:t xml:space="preserve">6.3 一张总表</w:t>
      </w:r>
    </w:p>
    <w:p>
      <w:pPr>
        <w:pStyle w:val="FirstParagraph"/>
        <w:spacing w:line="360" w:lineRule="auto" w:after="160"/>
      </w:pPr>
      <w:r>
        <w:rPr>
          <w:bCs/>
          <w:rFonts w:ascii="Calibri" w:hAnsi="Calibri" w:eastAsia="宋体" w:cs="Calibri"/>
          <w:b/>
          <w:sz w:val="24"/>
        </w:rPr>
        <w:t xml:space="preserve">表5 中国与主要经济体银行业发展的对照</w:t>
      </w:r>
    </w:p>
    <w:tbl>
      <w:tblPr>
        <w:tblStyle w:val="Table"/>
        <w:tblW w:type="pct" w:w="5000"/>
        <w:tblLook w:firstRow="1" w:lastRow="0" w:firstColumn="0" w:lastColumn="0" w:noHBand="0" w:noVBand="0" w:val="0020"/>
        <w:jc w:val="center"/>
        <w:tblLayout w:type="autofit"/>
      </w:tblPr>
      <w:tblGrid>
        <w:gridCol w:w="1131"/>
        <w:gridCol w:w="1131"/>
        <w:gridCol w:w="1131"/>
        <w:gridCol w:w="1131"/>
        <w:gridCol w:w="1131"/>
        <w:gridCol w:w="1131"/>
        <w:gridCol w:w="1131"/>
      </w:tblGrid>
      <w:tr>
        <w:trPr>
          <w:tblHeader w:val="true"/>
        </w:trPr>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维度</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中国（现状及形成期）</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美国</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英国</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德国</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日本</w:t>
            </w:r>
          </w:p>
        </w:tc>
        <w:tc>
          <w:tcPr>
            <w:tcBorders>
              <w:top w:val="single" w:sz="4" w:space="0" w:color="8FAADC"/>
              <w:left w:val="single" w:sz="4" w:space="0" w:color="8FAADC"/>
              <w:bottom w:val="single" w:sz="4" w:space="0" w:color="8FAADC"/>
              <w:right w:val="single" w:sz="4" w:space="0" w:color="8FAADC"/>
            </w:tcBorders>
            <w:shd w:fill="1F4E79" w:val="clear"/>
          </w:tcPr>
          <w:p>
            <w:pPr>
              <w:pStyle w:val="Compact"/>
              <w:spacing w:before="40" w:after="40" w:line="276" w:lineRule="auto"/>
              <w:jc w:val="left"/>
            </w:pPr>
            <w:r>
              <w:rPr>
                <w:rFonts w:ascii="Calibri" w:hAnsi="Calibri" w:eastAsia="黑体" w:cs="Calibri"/>
                <w:b/>
                <w:color w:val="FFFFFF"/>
                <w:sz w:val="18"/>
              </w:rPr>
              <w:t xml:space="preserve">韩国</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主导融资方式</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银行贷款（社融约61%）</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股票、债券、证券化</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资本市场+国际银行</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银行（全能+三支柱）</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银行（主银行），后股市加深</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银行，危机后市场深化</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银行资产或信贷密度</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总资产/GDP约342%；私人信贷/GDP 194%</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银行资产/GDP约80%；私人信贷/GDP 201%（含非银）</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私人信贷/GDP低于中日，国际金融中心特征强</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私人信贷/GDP约78%（2023）</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私人信贷/GDP 197%；1990年代后去杠杆</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私人信贷/GDP 160%</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股票市值/GDP（2024）</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62.7%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216.3%</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约97%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43.6%</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156.7%</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约83%</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大型银行所有权</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国家控股</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私人大行+公法储蓄银行</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私人</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危机后外资与民间资本上升</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分业/混业</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1995年起分业，子公司有限混业</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1933分业，1999混业</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传统分离，后综合化</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长期全能银行</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战后长期分业，1990年代末解禁</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趋向综合金融</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标志性不良处置</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1999年AMC账面剥离+2003年起汇金注资</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1989年RTC市场处置；2008年TARP</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2008年对RBS等注资</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州立银行与欧债相关救助</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1998年后公共资金，拖延近15年</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1997年后KAMCO折价收购</w:t>
            </w:r>
          </w:p>
        </w:tc>
      </w:tr>
      <w:tr>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外资银行渗透</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法人银行资产约0.74%（2024）</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较高，尤其批发与投行</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极高</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零售仍以国内三支柱为主</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有限</w:t>
            </w:r>
          </w:p>
        </w:tc>
        <w:tc>
          <w:tcPr>
            <w:tcBorders>
              <w:top w:val="single" w:sz="4" w:space="0" w:color="8FAADC"/>
              <w:left w:val="single" w:sz="4" w:space="0" w:color="8FAADC"/>
              <w:bottom w:val="single" w:sz="4" w:space="0" w:color="8FAADC"/>
              <w:right w:val="single" w:sz="4" w:space="0" w:color="8FAADC"/>
            </w:tcBorders>
            <w:shd w:fill="FFFFFF" w:val="clear"/>
          </w:tcPr>
          <w:p>
            <w:pPr>
              <w:pStyle w:val="Compact"/>
              <w:spacing w:before="40" w:after="40" w:line="276" w:lineRule="auto"/>
              <w:jc w:val="left"/>
            </w:pPr>
            <w:r>
              <w:rPr>
                <w:rFonts w:ascii="Calibri" w:hAnsi="Calibri" w:eastAsia="宋体" w:cs="Calibri"/>
                <w:b w:val="0"/>
                <w:color w:val="333333"/>
                <w:sz w:val="18"/>
              </w:rPr>
              <w:t xml:space="preserve">危机后明显上升</w:t>
            </w:r>
          </w:p>
        </w:tc>
      </w:tr>
      <w:tr>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与中国最相似的历史时段</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1933—1999年的分业与存款保险逻辑；RTC的机构设计</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较弱</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1870—1960年银行主导的工业化融资</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1955—1973年主银行+窗口指导；1990年代地产信贷风险形态</w:t>
            </w:r>
          </w:p>
        </w:tc>
        <w:tc>
          <w:tcPr>
            <w:tcBorders>
              <w:top w:val="single" w:sz="4" w:space="0" w:color="8FAADC"/>
              <w:left w:val="single" w:sz="4" w:space="0" w:color="8FAADC"/>
              <w:bottom w:val="single" w:sz="4" w:space="0" w:color="8FAADC"/>
              <w:right w:val="single" w:sz="4" w:space="0" w:color="8FAADC"/>
            </w:tcBorders>
            <w:shd w:fill="F2F2F2" w:val="clear"/>
          </w:tcPr>
          <w:p>
            <w:pPr>
              <w:pStyle w:val="Compact"/>
              <w:spacing w:before="40" w:after="40" w:line="276" w:lineRule="auto"/>
              <w:jc w:val="left"/>
            </w:pPr>
            <w:r>
              <w:rPr>
                <w:rFonts w:ascii="Calibri" w:hAnsi="Calibri" w:eastAsia="宋体" w:cs="Calibri"/>
                <w:b w:val="0"/>
                <w:color w:val="333333"/>
                <w:sz w:val="18"/>
              </w:rPr>
              <w:t xml:space="preserve">1997—2002年AMC+监管重构</w:t>
            </w:r>
          </w:p>
        </w:tc>
      </w:tr>
    </w:tbl>
    <w:p>
      <w:pPr>
        <w:spacing w:line="360" w:lineRule="auto" w:after="160"/>
      </w:pPr>
      <w:r>
        <w:rPr>
          <w:rFonts w:ascii="Calibri" w:hAnsi="Calibri" w:eastAsia="宋体" w:cs="Calibri"/>
          <w:sz w:val="24"/>
        </w:rPr>
        <w:pict>
          <v:rect style="width:0;height:1.5pt" o:hralign="center" o:hrstd="t" o:hr="t"/>
        </w:pict>
      </w:r>
    </w:p>
    <w:bookmarkEnd w:id="49"/>
    <w:bookmarkEnd w:id="50"/>
    <w:bookmarkStart w:id="51" w:name="七阶段性变化的再提炼"/>
    <w:p>
      <w:pPr>
        <w:pStyle w:val="Heading2"/>
        <w:spacing w:before="240" w:after="160" w:line="312" w:lineRule="auto"/>
      </w:pPr>
      <w:r>
        <w:rPr>
          <w:rFonts w:ascii="Calibri" w:hAnsi="Calibri" w:eastAsia="黑体" w:cs="Calibri"/>
          <w:b/>
          <w:color w:val="2E75B6"/>
          <w:sz w:val="28"/>
        </w:rPr>
        <w:t xml:space="preserve">七、阶段性变化的再提炼</w:t>
      </w:r>
    </w:p>
    <w:p>
      <w:pPr>
        <w:pStyle w:val="FirstParagraph"/>
        <w:spacing w:line="360" w:lineRule="auto" w:after="160"/>
      </w:pPr>
      <w:r>
        <w:rPr>
          <w:rFonts w:ascii="Calibri" w:hAnsi="Calibri" w:eastAsia="宋体" w:cs="Calibri"/>
          <w:sz w:val="24"/>
        </w:rPr>
        <w:t xml:space="preserve">把“阶段”与“特征”合在一起，中国银行业的历史变化可以概括为四次转换：</w:t>
      </w:r>
    </w:p>
    <w:p>
      <w:pPr>
        <w:numPr>
          <w:ilvl w:val="0"/>
          <w:numId w:val="1017"/>
        </w:numPr>
        <w:pStyle w:val="Compact"/>
        <w:spacing w:line="360" w:lineRule="auto" w:after="160"/>
      </w:pPr>
      <w:r>
        <w:rPr>
          <w:bCs/>
          <w:rFonts w:ascii="Calibri" w:hAnsi="Calibri" w:eastAsia="宋体" w:cs="Calibri"/>
          <w:b/>
          <w:sz w:val="24"/>
        </w:rPr>
        <w:t xml:space="preserve">从财政出纳到信用中介（1979—1995）。</w:t>
      </w:r>
      <w:r>
        <w:rPr>
          <w:rFonts w:ascii="Calibri" w:hAnsi="Calibri" w:eastAsia="宋体" w:cs="Calibri"/>
          <w:sz w:val="24"/>
        </w:rPr>
        <w:t xml:space="preserve"> </w:t>
      </w:r>
      <w:r>
        <w:rPr>
          <w:rFonts w:ascii="Calibri" w:hAnsi="Calibri" w:eastAsia="宋体" w:cs="Calibri"/>
          <w:sz w:val="24"/>
        </w:rPr>
        <w:t xml:space="preserve">标志是央行与商业银行分设、政策银行分设和两部银行法。银行开始有资产负债表，但还不是真正的风险主体。</w:t>
      </w:r>
    </w:p>
    <w:p>
      <w:pPr>
        <w:numPr>
          <w:ilvl w:val="0"/>
          <w:numId w:val="1017"/>
        </w:numPr>
        <w:pStyle w:val="Compact"/>
        <w:spacing w:line="360" w:lineRule="auto" w:after="160"/>
      </w:pPr>
      <w:r>
        <w:rPr>
          <w:bCs/>
          <w:rFonts w:ascii="Calibri" w:hAnsi="Calibri" w:eastAsia="宋体" w:cs="Calibri"/>
          <w:b/>
          <w:sz w:val="24"/>
        </w:rPr>
        <w:t xml:space="preserve">从技术性破产到资本约束（1998—2008）。</w:t>
      </w:r>
      <w:r>
        <w:rPr>
          <w:rFonts w:ascii="Calibri" w:hAnsi="Calibri" w:eastAsia="宋体" w:cs="Calibri"/>
          <w:sz w:val="24"/>
        </w:rPr>
        <w:t xml:space="preserve"> </w:t>
      </w:r>
      <w:r>
        <w:rPr>
          <w:rFonts w:ascii="Calibri" w:hAnsi="Calibri" w:eastAsia="宋体" w:cs="Calibri"/>
          <w:sz w:val="24"/>
        </w:rPr>
        <w:t xml:space="preserve">标志是AMC、汇金注资、股改上市和不良率由20%以上降至个位数。国家用公共资源购买了一次资产负债表重置。</w:t>
      </w:r>
    </w:p>
    <w:p>
      <w:pPr>
        <w:numPr>
          <w:ilvl w:val="0"/>
          <w:numId w:val="1017"/>
        </w:numPr>
        <w:pStyle w:val="Compact"/>
        <w:spacing w:line="360" w:lineRule="auto" w:after="160"/>
      </w:pPr>
      <w:r>
        <w:rPr>
          <w:bCs/>
          <w:rFonts w:ascii="Calibri" w:hAnsi="Calibri" w:eastAsia="宋体" w:cs="Calibri"/>
          <w:b/>
          <w:sz w:val="24"/>
        </w:rPr>
        <w:t xml:space="preserve">从机构扩张到风险治理（2008—2018）。</w:t>
      </w:r>
      <w:r>
        <w:rPr>
          <w:rFonts w:ascii="Calibri" w:hAnsi="Calibri" w:eastAsia="宋体" w:cs="Calibri"/>
          <w:sz w:val="24"/>
        </w:rPr>
        <w:t xml:space="preserve"> </w:t>
      </w:r>
      <w:r>
        <w:rPr>
          <w:rFonts w:ascii="Calibri" w:hAnsi="Calibri" w:eastAsia="宋体" w:cs="Calibri"/>
          <w:sz w:val="24"/>
        </w:rPr>
        <w:t xml:space="preserve">标志是四万亿后的影子银行膨胀，以及2017年全国金融工作会议后的强监管、资管新规。规模最大的代价开始被主动治理。</w:t>
      </w:r>
    </w:p>
    <w:p>
      <w:pPr>
        <w:numPr>
          <w:ilvl w:val="0"/>
          <w:numId w:val="1017"/>
        </w:numPr>
        <w:pStyle w:val="Compact"/>
        <w:spacing w:line="360" w:lineRule="auto" w:after="160"/>
      </w:pPr>
      <w:r>
        <w:rPr>
          <w:bCs/>
          <w:rFonts w:ascii="Calibri" w:hAnsi="Calibri" w:eastAsia="宋体" w:cs="Calibri"/>
          <w:b/>
          <w:sz w:val="24"/>
        </w:rPr>
        <w:t xml:space="preserve">从高速增长适配型银行到高质量发展适配型银行（2018年至今）。</w:t>
      </w:r>
      <w:r>
        <w:rPr>
          <w:rFonts w:ascii="Calibri" w:hAnsi="Calibri" w:eastAsia="宋体" w:cs="Calibri"/>
          <w:sz w:val="24"/>
        </w:rPr>
        <w:t xml:space="preserve"> </w:t>
      </w:r>
      <w:r>
        <w:rPr>
          <w:rFonts w:ascii="Calibri" w:hAnsi="Calibri" w:eastAsia="宋体" w:cs="Calibri"/>
          <w:sz w:val="24"/>
        </w:rPr>
        <w:t xml:space="preserve">标志是息差跌至1.4%附近、房地产和地方债务成为存量风险、监管架构统合、中小银行减量。银行必须在信贷存量已经很高的约束下改结构，而不是再靠“做大规模稀释风险”。</w:t>
      </w:r>
    </w:p>
    <w:p>
      <w:pPr>
        <w:pStyle w:val="FirstParagraph"/>
        <w:spacing w:line="360" w:lineRule="auto" w:after="160"/>
      </w:pPr>
      <w:r>
        <w:rPr>
          <w:rFonts w:ascii="Calibri" w:hAnsi="Calibri" w:eastAsia="宋体" w:cs="Calibri"/>
          <w:sz w:val="24"/>
        </w:rPr>
        <w:t xml:space="preserve">每一次转换都保留了上一阶段的遗产：国家控股、银行主导、行政与市场双轨。因此，中国银行业不是从德国模式“变成”美国模式，而是在银行主导的底盘上叠加了现代资本监管、上市约束和宏观审慎。</w:t>
      </w:r>
    </w:p>
    <w:p>
      <w:pPr>
        <w:spacing w:line="360" w:lineRule="auto" w:after="160"/>
      </w:pPr>
      <w:r>
        <w:rPr>
          <w:rFonts w:ascii="Calibri" w:hAnsi="Calibri" w:eastAsia="宋体" w:cs="Calibri"/>
          <w:sz w:val="24"/>
        </w:rPr>
        <w:pict>
          <v:rect style="width:0;height:1.5pt" o:hralign="center" o:hrstd="t" o:hr="t"/>
        </w:pict>
      </w:r>
    </w:p>
    <w:bookmarkEnd w:id="51"/>
    <w:bookmarkStart w:id="52" w:name="八结论"/>
    <w:p>
      <w:pPr>
        <w:pStyle w:val="Heading2"/>
        <w:spacing w:before="240" w:after="160" w:line="312" w:lineRule="auto"/>
      </w:pPr>
      <w:r>
        <w:rPr>
          <w:rFonts w:ascii="Calibri" w:hAnsi="Calibri" w:eastAsia="黑体" w:cs="Calibri"/>
          <w:b/>
          <w:color w:val="2E75B6"/>
          <w:sz w:val="28"/>
        </w:rPr>
        <w:t xml:space="preserve">八、结论</w:t>
      </w:r>
    </w:p>
    <w:p>
      <w:pPr>
        <w:numPr>
          <w:ilvl w:val="0"/>
          <w:numId w:val="1018"/>
        </w:numPr>
        <w:spacing w:line="360" w:lineRule="auto" w:after="160"/>
      </w:pPr>
      <w:r>
        <w:rPr>
          <w:bCs/>
          <w:rFonts w:ascii="Calibri" w:hAnsi="Calibri" w:eastAsia="宋体" w:cs="Calibri"/>
          <w:b/>
          <w:sz w:val="24"/>
        </w:rPr>
        <w:t xml:space="preserve">中国银行业的发展主线是制度重建，而不只是资产增长。</w:t>
      </w:r>
      <w:r>
        <w:rPr>
          <w:rFonts w:ascii="Calibri" w:hAnsi="Calibri" w:eastAsia="宋体" w:cs="Calibri"/>
          <w:sz w:val="24"/>
        </w:rPr>
        <w:t xml:space="preserve"> </w:t>
      </w:r>
      <w:r>
        <w:rPr>
          <w:rFonts w:ascii="Calibri" w:hAnsi="Calibri" w:eastAsia="宋体" w:cs="Calibri"/>
          <w:sz w:val="24"/>
        </w:rPr>
        <w:t xml:space="preserve">从“大一统”到双层银行，从专业银行到商业银行，从股改上市到统筹监管，每一步都服务于当时的国家发展战略：先动员储蓄支持增长，再防止金融风险颠覆增长，现在则要在增长换挡后重新配置金融资源。</w:t>
      </w:r>
    </w:p>
    <w:p>
      <w:pPr>
        <w:numPr>
          <w:ilvl w:val="0"/>
          <w:numId w:val="1018"/>
        </w:numPr>
        <w:spacing w:line="360" w:lineRule="auto" w:after="160"/>
      </w:pPr>
      <w:r>
        <w:rPr>
          <w:bCs/>
          <w:rFonts w:ascii="Calibri" w:hAnsi="Calibri" w:eastAsia="宋体" w:cs="Calibri"/>
          <w:b/>
          <w:sz w:val="24"/>
        </w:rPr>
        <w:t xml:space="preserve">主要特征是稳定的：银行主导、国家控股、渐进改革、内资为主。</w:t>
      </w:r>
      <w:r>
        <w:rPr>
          <w:rFonts w:ascii="Calibri" w:hAnsi="Calibri" w:eastAsia="宋体" w:cs="Calibri"/>
          <w:sz w:val="24"/>
        </w:rPr>
        <w:t xml:space="preserve"> </w:t>
      </w:r>
      <w:r>
        <w:rPr>
          <w:rFonts w:ascii="Calibri" w:hAnsi="Calibri" w:eastAsia="宋体" w:cs="Calibri"/>
          <w:sz w:val="24"/>
        </w:rPr>
        <w:t xml:space="preserve">2025年贷款仍占社融60.7%，大型银行占行业资产43.9%，外资法人银行仅占0.74%。这些数字说明，开放和市场化改变的是经营技术和监管规则，尚未改变金融结构的基本类型。</w:t>
      </w:r>
    </w:p>
    <w:p>
      <w:pPr>
        <w:numPr>
          <w:ilvl w:val="0"/>
          <w:numId w:val="1018"/>
        </w:numPr>
        <w:spacing w:line="360" w:lineRule="auto" w:after="160"/>
      </w:pPr>
      <w:r>
        <w:rPr>
          <w:bCs/>
          <w:rFonts w:ascii="Calibri" w:hAnsi="Calibri" w:eastAsia="宋体" w:cs="Calibri"/>
          <w:b/>
          <w:sz w:val="24"/>
        </w:rPr>
        <w:t xml:space="preserve">与国际历史的相似，集中在“后发工业化的银行主导逻辑”和“坏账重组的政策工具箱”。</w:t>
      </w:r>
      <w:r>
        <w:rPr>
          <w:rFonts w:ascii="Calibri" w:hAnsi="Calibri" w:eastAsia="宋体" w:cs="Calibri"/>
          <w:sz w:val="24"/>
        </w:rPr>
        <w:t xml:space="preserve"> </w:t>
      </w:r>
      <w:r>
        <w:rPr>
          <w:rFonts w:ascii="Calibri" w:hAnsi="Calibri" w:eastAsia="宋体" w:cs="Calibri"/>
          <w:sz w:val="24"/>
        </w:rPr>
        <w:t xml:space="preserve">德国全能银行与储蓄银行、日本主银行与窗口指导、韩国KAMCO、美国RTC和格拉斯—斯蒂格尔分业，都能在中国找到制度回声。</w:t>
      </w:r>
    </w:p>
    <w:p>
      <w:pPr>
        <w:numPr>
          <w:ilvl w:val="0"/>
          <w:numId w:val="1018"/>
        </w:numPr>
        <w:spacing w:line="360" w:lineRule="auto" w:after="160"/>
      </w:pPr>
      <w:r>
        <w:rPr>
          <w:bCs/>
          <w:rFonts w:ascii="Calibri" w:hAnsi="Calibri" w:eastAsia="宋体" w:cs="Calibri"/>
          <w:b/>
          <w:sz w:val="24"/>
        </w:rPr>
        <w:t xml:space="preserve">与国际历史的差异，集中在所有权、改革次序、剥离定价和银行相对经济的体量。</w:t>
      </w:r>
      <w:r>
        <w:rPr>
          <w:rFonts w:ascii="Calibri" w:hAnsi="Calibri" w:eastAsia="宋体" w:cs="Calibri"/>
          <w:sz w:val="24"/>
        </w:rPr>
        <w:t xml:space="preserve"> </w:t>
      </w:r>
      <w:r>
        <w:rPr>
          <w:rFonts w:ascii="Calibri" w:hAnsi="Calibri" w:eastAsia="宋体" w:cs="Calibri"/>
          <w:sz w:val="24"/>
        </w:rPr>
        <w:t xml:space="preserve">中国用国家资本和账面剥离避免了日本式的十年信贷中介瘫痪，也没有走向韩国式的外资控股重组或美国式的市场主导金融结构。其代价是风险向公共部门集中、银行回报率偏低、直接融资长期滞后。</w:t>
      </w:r>
    </w:p>
    <w:p>
      <w:pPr>
        <w:numPr>
          <w:ilvl w:val="0"/>
          <w:numId w:val="1018"/>
        </w:numPr>
        <w:spacing w:line="360" w:lineRule="auto" w:after="160"/>
      </w:pPr>
      <w:r>
        <w:rPr>
          <w:bCs/>
          <w:rFonts w:ascii="Calibri" w:hAnsi="Calibri" w:eastAsia="宋体" w:cs="Calibri"/>
          <w:b/>
          <w:sz w:val="24"/>
        </w:rPr>
        <w:t xml:space="preserve">对现状的判断应避免两种简单类比。</w:t>
      </w:r>
      <w:r>
        <w:rPr>
          <w:rFonts w:ascii="Calibri" w:hAnsi="Calibri" w:eastAsia="宋体" w:cs="Calibri"/>
          <w:sz w:val="24"/>
        </w:rPr>
        <w:t xml:space="preserve"> </w:t>
      </w:r>
      <w:r>
        <w:rPr>
          <w:rFonts w:ascii="Calibri" w:hAnsi="Calibri" w:eastAsia="宋体" w:cs="Calibri"/>
          <w:sz w:val="24"/>
        </w:rPr>
        <w:t xml:space="preserve">不能因为四大行全球一级资本领先，就断言中国银行业已与国际先进同质——ROA和息差说明效率与盈利模式仍有距离。也不能因为房地产调整，就断言必然复制日本1990年代——资本管制、国家控股和已经开始的主动化险，使路径依赖并不等于路径注定。真正的可比风险是：在信贷/GDP已经很高、息差已经很低的条件下，如果不能把金融资源从低效存量转到科技与产业升级，银行主导结构会从“增长的引擎”变成“结构转型的摩擦”。</w:t>
      </w:r>
    </w:p>
    <w:p>
      <w:pPr>
        <w:spacing w:line="360" w:lineRule="auto" w:after="160"/>
      </w:pPr>
      <w:r>
        <w:rPr>
          <w:rFonts w:ascii="Calibri" w:hAnsi="Calibri" w:eastAsia="宋体" w:cs="Calibri"/>
          <w:sz w:val="24"/>
        </w:rPr>
        <w:pict>
          <v:rect style="width:0;height:1.5pt" o:hralign="center" o:hrstd="t" o:hr="t"/>
        </w:pict>
      </w:r>
    </w:p>
    <w:bookmarkEnd w:id="52"/>
    <w:bookmarkStart w:id="53" w:name="附录a-关键数据计算说明"/>
    <w:p>
      <w:pPr>
        <w:pStyle w:val="Heading2"/>
        <w:spacing w:before="240" w:after="160" w:line="312" w:lineRule="auto"/>
      </w:pPr>
      <w:r>
        <w:rPr>
          <w:rFonts w:ascii="Calibri" w:hAnsi="Calibri" w:eastAsia="黑体" w:cs="Calibri"/>
          <w:b/>
          <w:color w:val="2E75B6"/>
          <w:sz w:val="28"/>
        </w:rPr>
        <w:t xml:space="preserve">附录A 关键数据计算说明</w:t>
      </w:r>
    </w:p>
    <w:p>
      <w:pPr>
        <w:numPr>
          <w:ilvl w:val="0"/>
          <w:numId w:val="1019"/>
        </w:numPr>
        <w:spacing w:line="360" w:lineRule="auto" w:after="160"/>
      </w:pPr>
      <w:r>
        <w:rPr>
          <w:bCs/>
          <w:rFonts w:ascii="Calibri" w:hAnsi="Calibri" w:eastAsia="宋体" w:cs="Calibri"/>
          <w:b/>
          <w:sz w:val="24"/>
        </w:rPr>
        <w:t xml:space="preserve">银行业总资产/GDP（2025）</w:t>
      </w:r>
      <w:r>
        <w:rPr>
          <w:rFonts w:ascii="Calibri" w:hAnsi="Calibri" w:eastAsia="宋体" w:cs="Calibri"/>
          <w:sz w:val="24"/>
        </w:rPr>
        <w:br/>
      </w:r>
      <w:r>
        <w:rPr>
          <w:rFonts w:ascii="Calibri" w:hAnsi="Calibri" w:eastAsia="宋体" w:cs="Calibri"/>
          <w:sz w:val="24"/>
        </w:rPr>
        <w:t xml:space="preserve">480万亿元 ÷ 140.1879万亿元 ≈</w:t>
      </w:r>
      <w:r>
        <w:rPr>
          <w:rFonts w:ascii="Calibri" w:hAnsi="Calibri" w:eastAsia="宋体" w:cs="Calibri"/>
          <w:sz w:val="24"/>
        </w:rPr>
        <w:t xml:space="preserve"> </w:t>
      </w:r>
      <w:r>
        <w:rPr>
          <w:bCs/>
          <w:rFonts w:ascii="Calibri" w:hAnsi="Calibri" w:eastAsia="宋体" w:cs="Calibri"/>
          <w:b/>
          <w:sz w:val="24"/>
        </w:rPr>
        <w:t xml:space="preserve">342.4%</w:t>
      </w:r>
      <w:r>
        <w:rPr>
          <w:rFonts w:ascii="Calibri" w:hAnsi="Calibri" w:eastAsia="宋体" w:cs="Calibri"/>
          <w:sz w:val="24"/>
        </w:rPr>
        <w:t xml:space="preserve">。GDP为国家统计局初步核算，资产为金融监管总局口径，含政策性银行等。</w:t>
      </w:r>
    </w:p>
    <w:p>
      <w:pPr>
        <w:numPr>
          <w:ilvl w:val="0"/>
          <w:numId w:val="1019"/>
        </w:numPr>
        <w:spacing w:line="360" w:lineRule="auto" w:after="160"/>
      </w:pPr>
      <w:r>
        <w:rPr>
          <w:bCs/>
          <w:rFonts w:ascii="Calibri" w:hAnsi="Calibri" w:eastAsia="宋体" w:cs="Calibri"/>
          <w:b/>
          <w:sz w:val="24"/>
        </w:rPr>
        <w:t xml:space="preserve">银行业总资产/GDP（2024）</w:t>
      </w:r>
      <w:r>
        <w:rPr>
          <w:rFonts w:ascii="Calibri" w:hAnsi="Calibri" w:eastAsia="宋体" w:cs="Calibri"/>
          <w:sz w:val="24"/>
        </w:rPr>
        <w:br/>
      </w:r>
      <w:r>
        <w:rPr>
          <w:rFonts w:ascii="Calibri" w:hAnsi="Calibri" w:eastAsia="宋体" w:cs="Calibri"/>
          <w:sz w:val="24"/>
        </w:rPr>
        <w:t xml:space="preserve">444.6万亿元 ÷ 134.8066万亿元 ≈</w:t>
      </w:r>
      <w:r>
        <w:rPr>
          <w:rFonts w:ascii="Calibri" w:hAnsi="Calibri" w:eastAsia="宋体" w:cs="Calibri"/>
          <w:sz w:val="24"/>
        </w:rPr>
        <w:t xml:space="preserve"> </w:t>
      </w:r>
      <w:r>
        <w:rPr>
          <w:bCs/>
          <w:rFonts w:ascii="Calibri" w:hAnsi="Calibri" w:eastAsia="宋体" w:cs="Calibri"/>
          <w:b/>
          <w:sz w:val="24"/>
        </w:rPr>
        <w:t xml:space="preserve">329.8%</w:t>
      </w:r>
      <w:r>
        <w:rPr>
          <w:rFonts w:ascii="Calibri" w:hAnsi="Calibri" w:eastAsia="宋体" w:cs="Calibri"/>
          <w:sz w:val="24"/>
        </w:rPr>
        <w:t xml:space="preserve">。GDP为最终核实数。</w:t>
      </w:r>
    </w:p>
    <w:p>
      <w:pPr>
        <w:numPr>
          <w:ilvl w:val="0"/>
          <w:numId w:val="1019"/>
        </w:numPr>
        <w:spacing w:line="360" w:lineRule="auto" w:after="160"/>
      </w:pPr>
      <w:r>
        <w:rPr>
          <w:bCs/>
          <w:rFonts w:ascii="Calibri" w:hAnsi="Calibri" w:eastAsia="宋体" w:cs="Calibri"/>
          <w:b/>
          <w:sz w:val="24"/>
        </w:rPr>
        <w:t xml:space="preserve">大型银行集中度（2025）</w:t>
      </w:r>
      <w:r>
        <w:rPr>
          <w:rFonts w:ascii="Calibri" w:hAnsi="Calibri" w:eastAsia="宋体" w:cs="Calibri"/>
          <w:sz w:val="24"/>
        </w:rPr>
        <w:br/>
      </w:r>
      <w:r>
        <w:rPr>
          <w:rFonts w:ascii="Calibri" w:hAnsi="Calibri" w:eastAsia="宋体" w:cs="Calibri"/>
          <w:sz w:val="24"/>
        </w:rPr>
        <w:t xml:space="preserve">210.8 ÷ 480 ≈</w:t>
      </w:r>
      <w:r>
        <w:rPr>
          <w:rFonts w:ascii="Calibri" w:hAnsi="Calibri" w:eastAsia="宋体" w:cs="Calibri"/>
          <w:sz w:val="24"/>
        </w:rPr>
        <w:t xml:space="preserve"> </w:t>
      </w:r>
      <w:r>
        <w:rPr>
          <w:bCs/>
          <w:rFonts w:ascii="Calibri" w:hAnsi="Calibri" w:eastAsia="宋体" w:cs="Calibri"/>
          <w:b/>
          <w:sz w:val="24"/>
        </w:rPr>
        <w:t xml:space="preserve">43.92%</w:t>
      </w:r>
      <w:r>
        <w:rPr>
          <w:rFonts w:ascii="Calibri" w:hAnsi="Calibri" w:eastAsia="宋体" w:cs="Calibri"/>
          <w:sz w:val="24"/>
        </w:rPr>
        <w:t xml:space="preserve">。</w:t>
      </w:r>
    </w:p>
    <w:p>
      <w:pPr>
        <w:numPr>
          <w:ilvl w:val="0"/>
          <w:numId w:val="1019"/>
        </w:numPr>
        <w:spacing w:line="360" w:lineRule="auto" w:after="160"/>
      </w:pPr>
      <w:r>
        <w:rPr>
          <w:bCs/>
          <w:rFonts w:ascii="Calibri" w:hAnsi="Calibri" w:eastAsia="宋体" w:cs="Calibri"/>
          <w:b/>
          <w:sz w:val="24"/>
        </w:rPr>
        <w:t xml:space="preserve">世界银行指标与中国监管指标不可互相替代。</w:t>
      </w:r>
      <w:r>
        <w:rPr>
          <w:rFonts w:ascii="Calibri" w:hAnsi="Calibri" w:eastAsia="宋体" w:cs="Calibri"/>
          <w:sz w:val="24"/>
        </w:rPr>
        <w:t xml:space="preserve"> </w:t>
      </w:r>
      <w:r>
        <w:rPr>
          <w:rFonts w:ascii="Calibri" w:hAnsi="Calibri" w:eastAsia="宋体" w:cs="Calibri"/>
          <w:sz w:val="24"/>
        </w:rPr>
        <w:t xml:space="preserve">例如2021年IMF口径银行资产/GDP为214%，低于监管口径总资产/GDP，因为前者主要计量对国内非金融部门的债权，不包括银行间资产、部分海外资产和政策性机构的全部并表。</w:t>
      </w:r>
    </w:p>
    <w:p>
      <w:pPr>
        <w:numPr>
          <w:ilvl w:val="0"/>
          <w:numId w:val="1019"/>
        </w:numPr>
        <w:spacing w:line="360" w:lineRule="auto" w:after="160"/>
      </w:pPr>
      <w:r>
        <w:rPr>
          <w:bCs/>
          <w:rFonts w:ascii="Calibri" w:hAnsi="Calibri" w:eastAsia="宋体" w:cs="Calibri"/>
          <w:b/>
          <w:sz w:val="24"/>
        </w:rPr>
        <w:t xml:space="preserve">资本充足率断点。</w:t>
      </w:r>
      <w:r>
        <w:rPr>
          <w:rFonts w:ascii="Calibri" w:hAnsi="Calibri" w:eastAsia="宋体" w:cs="Calibri"/>
          <w:sz w:val="24"/>
        </w:rPr>
        <w:t xml:space="preserve"> </w:t>
      </w:r>
      <w:r>
        <w:rPr>
          <w:rFonts w:ascii="Calibri" w:hAnsi="Calibri" w:eastAsia="宋体" w:cs="Calibri"/>
          <w:sz w:val="24"/>
        </w:rPr>
        <w:t xml:space="preserve">2024年1月1日起施行《商业银行资本管理办法》，总局明确自2024年起披露的资本充足率与历史数据不直接可比。</w:t>
      </w:r>
    </w:p>
    <w:p>
      <w:pPr>
        <w:spacing w:line="360" w:lineRule="auto" w:after="160"/>
      </w:pPr>
      <w:r>
        <w:rPr>
          <w:rFonts w:ascii="Calibri" w:hAnsi="Calibri" w:eastAsia="宋体" w:cs="Calibri"/>
          <w:sz w:val="24"/>
        </w:rPr>
        <w:pict>
          <v:rect style="width:0;height:1.5pt" o:hralign="center" o:hrstd="t" o:hr="t"/>
        </w:pict>
      </w:r>
    </w:p>
    <w:bookmarkEnd w:id="53"/>
    <w:bookmarkStart w:id="57" w:name="附录b-主要资料出处"/>
    <w:p>
      <w:pPr>
        <w:pStyle w:val="Heading2"/>
        <w:spacing w:before="240" w:after="160" w:line="312" w:lineRule="auto"/>
      </w:pPr>
      <w:r>
        <w:rPr>
          <w:rFonts w:ascii="Calibri" w:hAnsi="Calibri" w:eastAsia="黑体" w:cs="Calibri"/>
          <w:b/>
          <w:color w:val="2E75B6"/>
          <w:sz w:val="28"/>
        </w:rPr>
        <w:t xml:space="preserve">附录B 主要资料出处</w:t>
      </w:r>
    </w:p>
    <w:bookmarkStart w:id="54" w:name="中国官方与准官方"/>
    <w:p>
      <w:pPr>
        <w:pStyle w:val="Heading3"/>
        <w:spacing w:before="240" w:after="160" w:line="312" w:lineRule="auto"/>
      </w:pPr>
      <w:r>
        <w:rPr>
          <w:rFonts w:ascii="Calibri" w:hAnsi="Calibri" w:eastAsia="黑体" w:cs="Calibri"/>
          <w:b/>
          <w:color w:val="2E75B6"/>
          <w:sz w:val="25"/>
        </w:rPr>
        <w:t xml:space="preserve">中国官方与准官方</w:t>
      </w:r>
    </w:p>
    <w:p>
      <w:pPr>
        <w:numPr>
          <w:ilvl w:val="0"/>
          <w:numId w:val="1020"/>
        </w:numPr>
        <w:pStyle w:val="Compact"/>
        <w:spacing w:line="360" w:lineRule="auto" w:after="160"/>
      </w:pPr>
      <w:r>
        <w:rPr>
          <w:rFonts w:ascii="Calibri" w:hAnsi="Calibri" w:eastAsia="宋体" w:cs="Calibri"/>
          <w:sz w:val="24"/>
        </w:rPr>
        <w:t xml:space="preserve">陈雨露：《我国银行业的演变历程与现代化发展》，十四届全国人大常委会专题讲座第二十三讲，中国人大网，http://www.npc.gov.cn/npc/c2/c30834/202606/t20260630_455945.html</w:t>
      </w:r>
    </w:p>
    <w:p>
      <w:pPr>
        <w:numPr>
          <w:ilvl w:val="0"/>
          <w:numId w:val="1020"/>
        </w:numPr>
        <w:pStyle w:val="Compact"/>
        <w:spacing w:line="360" w:lineRule="auto" w:after="160"/>
      </w:pPr>
      <w:r>
        <w:rPr>
          <w:rFonts w:ascii="Calibri" w:hAnsi="Calibri" w:eastAsia="宋体" w:cs="Calibri"/>
          <w:sz w:val="24"/>
        </w:rPr>
        <w:t xml:space="preserve">国家金融监督管理总局：《2024年四季度银行业保险业主要监管指标数据情况》，中国政府网转载，https://www.gov.cn/lianbo/bumen/202502/content_7004983.htm</w:t>
      </w:r>
    </w:p>
    <w:p>
      <w:pPr>
        <w:numPr>
          <w:ilvl w:val="0"/>
          <w:numId w:val="1020"/>
        </w:numPr>
        <w:pStyle w:val="Compact"/>
        <w:spacing w:line="360" w:lineRule="auto" w:after="160"/>
      </w:pPr>
      <w:r>
        <w:rPr>
          <w:rFonts w:ascii="Calibri" w:hAnsi="Calibri" w:eastAsia="宋体" w:cs="Calibri"/>
          <w:sz w:val="24"/>
        </w:rPr>
        <w:t xml:space="preserve">国家金融监督管理总局：2025年四季度银行业保险业主要监管指标（行业通报；指标数值见中国网财经2026年2月14日对总局数据的报道，https://finance.china.com.cn/money/bank/20260214/6294456.shtml ）</w:t>
      </w:r>
    </w:p>
    <w:p>
      <w:pPr>
        <w:numPr>
          <w:ilvl w:val="0"/>
          <w:numId w:val="1020"/>
        </w:numPr>
        <w:pStyle w:val="Compact"/>
        <w:spacing w:line="360" w:lineRule="auto" w:after="160"/>
      </w:pPr>
      <w:r>
        <w:rPr>
          <w:rFonts w:ascii="Calibri" w:hAnsi="Calibri" w:eastAsia="宋体" w:cs="Calibri"/>
          <w:sz w:val="24"/>
        </w:rPr>
        <w:t xml:space="preserve">中国人民银行：《2024年社会融资规模存量统计数据报告》及2024年金融统计；经济日报/中国经济网转述，http://finance.ce.cn/bank12/scroll/202501/14/t20250114_39266283.shtml</w:t>
      </w:r>
    </w:p>
    <w:p>
      <w:pPr>
        <w:numPr>
          <w:ilvl w:val="0"/>
          <w:numId w:val="1020"/>
        </w:numPr>
        <w:pStyle w:val="Compact"/>
        <w:spacing w:line="360" w:lineRule="auto" w:after="160"/>
      </w:pPr>
      <w:r>
        <w:rPr>
          <w:rFonts w:ascii="Calibri" w:hAnsi="Calibri" w:eastAsia="宋体" w:cs="Calibri"/>
          <w:sz w:val="24"/>
        </w:rPr>
        <w:t xml:space="preserve">上海市委金融办转载《2025年金融统计数据报告》（社融存量442.12万亿元及结构），https://jrj.sh.gov.cn/ZXYW178/20260116/88e3368ecfee4e639ae9aa8dd93729c3.html</w:t>
      </w:r>
    </w:p>
    <w:p>
      <w:pPr>
        <w:numPr>
          <w:ilvl w:val="0"/>
          <w:numId w:val="1020"/>
        </w:numPr>
        <w:pStyle w:val="Compact"/>
        <w:spacing w:line="360" w:lineRule="auto" w:after="160"/>
      </w:pPr>
      <w:r>
        <w:rPr>
          <w:rFonts w:ascii="Calibri" w:hAnsi="Calibri" w:eastAsia="宋体" w:cs="Calibri"/>
          <w:sz w:val="24"/>
        </w:rPr>
        <w:t xml:space="preserve">国家统计局：《关于2024年国内生产总值最终核实的公告》，GDP现价1348066亿元，https://www.stats.gov.cn/sj/zxfb/202512/t20251226_1962144.html</w:t>
      </w:r>
    </w:p>
    <w:p>
      <w:pPr>
        <w:numPr>
          <w:ilvl w:val="0"/>
          <w:numId w:val="1020"/>
        </w:numPr>
        <w:pStyle w:val="Compact"/>
        <w:spacing w:line="360" w:lineRule="auto" w:after="160"/>
      </w:pPr>
      <w:r>
        <w:rPr>
          <w:rFonts w:ascii="Calibri" w:hAnsi="Calibri" w:eastAsia="宋体" w:cs="Calibri"/>
          <w:sz w:val="24"/>
        </w:rPr>
        <w:t xml:space="preserve">国家统计局/中国政府网：《中华人民共和国2025年国民经济和社会发展统计公报》，GDP初步核算1401879亿元，https://www.gov.cn/lianbo/202602/content_7059980.htm</w:t>
      </w:r>
    </w:p>
    <w:p>
      <w:pPr>
        <w:numPr>
          <w:ilvl w:val="0"/>
          <w:numId w:val="1020"/>
        </w:numPr>
        <w:pStyle w:val="Compact"/>
        <w:spacing w:line="360" w:lineRule="auto" w:after="160"/>
      </w:pPr>
      <w:r>
        <w:rPr>
          <w:rFonts w:ascii="Calibri" w:hAnsi="Calibri" w:eastAsia="宋体" w:cs="Calibri"/>
          <w:sz w:val="24"/>
        </w:rPr>
        <w:t xml:space="preserve">中央汇金投资有限责任公司：《发展历程》，https://www.huijin-inv.cn/huijin-inv/About_Us/Corporate_History.shtml</w:t>
      </w:r>
    </w:p>
    <w:p>
      <w:pPr>
        <w:numPr>
          <w:ilvl w:val="0"/>
          <w:numId w:val="1020"/>
        </w:numPr>
        <w:pStyle w:val="Compact"/>
        <w:spacing w:line="360" w:lineRule="auto" w:after="160"/>
      </w:pPr>
      <w:r>
        <w:rPr>
          <w:rFonts w:ascii="Calibri" w:hAnsi="Calibri" w:eastAsia="宋体" w:cs="Calibri"/>
          <w:sz w:val="24"/>
        </w:rPr>
        <w:t xml:space="preserve">中国证监会转载中宣部发布会材料（2021年末银行业总资产344.8万亿元、2012年末133.6万亿元等），http://www.csrc.gov.cn/csrc/c100028/c3849994/content.shtml</w:t>
      </w:r>
    </w:p>
    <w:bookmarkEnd w:id="54"/>
    <w:bookmarkStart w:id="55" w:name="国际组织与监管同业"/>
    <w:p>
      <w:pPr>
        <w:pStyle w:val="Heading3"/>
        <w:spacing w:before="240" w:after="160" w:line="312" w:lineRule="auto"/>
      </w:pPr>
      <w:r>
        <w:rPr>
          <w:rFonts w:ascii="Calibri" w:hAnsi="Calibri" w:eastAsia="黑体" w:cs="Calibri"/>
          <w:b/>
          <w:color w:val="2E75B6"/>
          <w:sz w:val="25"/>
        </w:rPr>
        <w:t xml:space="preserve">国际组织与监管同业</w:t>
      </w:r>
    </w:p>
    <w:p>
      <w:pPr>
        <w:numPr>
          <w:ilvl w:val="0"/>
          <w:numId w:val="1021"/>
        </w:numPr>
        <w:pStyle w:val="Compact"/>
        <w:spacing w:line="360" w:lineRule="auto" w:after="160"/>
      </w:pPr>
      <w:r>
        <w:rPr>
          <w:rFonts w:ascii="Calibri" w:hAnsi="Calibri" w:eastAsia="宋体" w:cs="Calibri"/>
          <w:sz w:val="24"/>
        </w:rPr>
        <w:t xml:space="preserve">Financial Stability Board,</w:t>
      </w:r>
      <w:r>
        <w:rPr>
          <w:rFonts w:ascii="Calibri" w:hAnsi="Calibri" w:eastAsia="宋体" w:cs="Calibri"/>
          <w:sz w:val="24"/>
        </w:rPr>
        <w:t xml:space="preserve"> </w:t>
      </w:r>
      <w:r>
        <w:rPr>
          <w:iCs/>
          <w:rFonts w:ascii="Calibri" w:hAnsi="Calibri" w:eastAsia="宋体" w:cs="Calibri"/>
          <w:i/>
          <w:sz w:val="24"/>
        </w:rPr>
        <w:t xml:space="preserve">2024 List of Global Systemically Important Banks (G-SIBs)</w:t>
      </w:r>
      <w:r>
        <w:rPr>
          <w:rFonts w:ascii="Calibri" w:hAnsi="Calibri" w:eastAsia="宋体" w:cs="Calibri"/>
          <w:sz w:val="24"/>
        </w:rPr>
        <w:t xml:space="preserve">, 26 November 2024, https://www.fsb.org/uploads/P261124.pdf</w:t>
      </w:r>
    </w:p>
    <w:p>
      <w:pPr>
        <w:numPr>
          <w:ilvl w:val="0"/>
          <w:numId w:val="1021"/>
        </w:numPr>
        <w:pStyle w:val="Compact"/>
        <w:spacing w:line="360" w:lineRule="auto" w:after="160"/>
      </w:pPr>
      <w:r>
        <w:rPr>
          <w:rFonts w:ascii="Calibri" w:hAnsi="Calibri" w:eastAsia="宋体" w:cs="Calibri"/>
          <w:sz w:val="24"/>
        </w:rPr>
        <w:t xml:space="preserve">Bank for International Settlements, Credit to the non-financial sector statistics; FRED series QCNCAM770A（中国非金融部门总信贷/GDP，2025Q4为300.1%）</w:t>
      </w:r>
    </w:p>
    <w:p>
      <w:pPr>
        <w:numPr>
          <w:ilvl w:val="0"/>
          <w:numId w:val="1021"/>
        </w:numPr>
        <w:pStyle w:val="Compact"/>
        <w:spacing w:line="360" w:lineRule="auto" w:after="160"/>
      </w:pPr>
      <w:r>
        <w:rPr>
          <w:rFonts w:ascii="Calibri" w:hAnsi="Calibri" w:eastAsia="宋体" w:cs="Calibri"/>
          <w:sz w:val="24"/>
        </w:rPr>
        <w:t xml:space="preserve">BIS / 第三方整理的私人非金融部门信贷/GDP：中国2025Q3约201.4%，美国140.4%，日本172.8%</w:t>
      </w:r>
    </w:p>
    <w:p>
      <w:pPr>
        <w:numPr>
          <w:ilvl w:val="0"/>
          <w:numId w:val="1021"/>
        </w:numPr>
        <w:pStyle w:val="Compact"/>
        <w:spacing w:line="360" w:lineRule="auto" w:after="160"/>
      </w:pPr>
      <w:r>
        <w:rPr>
          <w:rFonts w:ascii="Calibri" w:hAnsi="Calibri" w:eastAsia="宋体" w:cs="Calibri"/>
          <w:sz w:val="24"/>
        </w:rPr>
        <w:t xml:space="preserve">World Bank, World Development Indicators:</w:t>
      </w:r>
    </w:p>
    <w:p>
      <w:pPr>
        <w:numPr>
          <w:ilvl w:val="1"/>
          <w:numId w:val="1022"/>
        </w:numPr>
        <w:pStyle w:val="Compact"/>
        <w:spacing w:line="360" w:lineRule="auto" w:after="160"/>
      </w:pPr>
      <w:r>
        <w:rPr>
          <w:rFonts w:ascii="Calibri" w:hAnsi="Calibri" w:eastAsia="宋体" w:cs="Calibri"/>
          <w:sz w:val="24"/>
        </w:rPr>
        <w:t xml:space="preserve">Domestic credit to private sector (% of GDP),</w:t>
      </w:r>
      <w:r>
        <w:rPr>
          <w:rFonts w:ascii="Calibri" w:hAnsi="Calibri" w:eastAsia="宋体" w:cs="Calibri"/>
          <w:sz w:val="24"/>
        </w:rPr>
        <w:t xml:space="preserve"> </w:t>
      </w:r>
      <w:r>
        <w:rPr>
          <w:rStyle w:val="VerbatimChar"/>
          <w:rFonts w:ascii="Calibri" w:hAnsi="Calibri" w:eastAsia="宋体" w:cs="Calibri"/>
          <w:sz w:val="24"/>
        </w:rPr>
        <w:t xml:space="preserve">FS.AST.PRVT.GD.ZS</w:t>
      </w:r>
      <w:r>
        <w:rPr>
          <w:rFonts w:ascii="Calibri" w:hAnsi="Calibri" w:eastAsia="宋体" w:cs="Calibri"/>
          <w:sz w:val="24"/>
        </w:rPr>
        <w:br/>
      </w:r>
    </w:p>
    <w:p>
      <w:pPr>
        <w:numPr>
          <w:ilvl w:val="1"/>
          <w:numId w:val="1022"/>
        </w:numPr>
        <w:pStyle w:val="Compact"/>
        <w:spacing w:line="360" w:lineRule="auto" w:after="160"/>
      </w:pPr>
      <w:r>
        <w:rPr>
          <w:rFonts w:ascii="Calibri" w:hAnsi="Calibri" w:eastAsia="宋体" w:cs="Calibri"/>
          <w:sz w:val="24"/>
        </w:rPr>
        <w:t xml:space="preserve">Market capitalization of listed domestic companies (% of GDP),</w:t>
      </w:r>
      <w:r>
        <w:rPr>
          <w:rFonts w:ascii="Calibri" w:hAnsi="Calibri" w:eastAsia="宋体" w:cs="Calibri"/>
          <w:sz w:val="24"/>
        </w:rPr>
        <w:t xml:space="preserve"> </w:t>
      </w:r>
      <w:r>
        <w:rPr>
          <w:rStyle w:val="VerbatimChar"/>
          <w:rFonts w:ascii="Calibri" w:hAnsi="Calibri" w:eastAsia="宋体" w:cs="Calibri"/>
          <w:sz w:val="24"/>
        </w:rPr>
        <w:t xml:space="preserve">CM.MKT.LCAP.GD.ZS</w:t>
      </w:r>
      <w:r>
        <w:rPr>
          <w:rFonts w:ascii="Calibri" w:hAnsi="Calibri" w:eastAsia="宋体" w:cs="Calibri"/>
          <w:sz w:val="24"/>
        </w:rPr>
        <w:br/>
      </w:r>
      <w:r>
        <w:rPr>
          <w:rFonts w:ascii="Calibri" w:hAnsi="Calibri" w:eastAsia="宋体" w:cs="Calibri"/>
          <w:sz w:val="24"/>
        </w:rPr>
        <w:t xml:space="preserve">2024年：中国194.2%、62.7%；美国200.9%、216.3%；日本196.8%、156.7%；德国私人信贷（2023）77.88%、股市43.6%</w:t>
      </w:r>
    </w:p>
    <w:p>
      <w:pPr>
        <w:numPr>
          <w:ilvl w:val="0"/>
          <w:numId w:val="1021"/>
        </w:numPr>
        <w:pStyle w:val="Compact"/>
        <w:spacing w:line="360" w:lineRule="auto" w:after="160"/>
      </w:pPr>
      <w:r>
        <w:rPr>
          <w:rFonts w:ascii="Calibri" w:hAnsi="Calibri" w:eastAsia="宋体" w:cs="Calibri"/>
          <w:sz w:val="24"/>
        </w:rPr>
        <w:t xml:space="preserve">IMF / TheGlobalEconomy 转引：China bank assets to GDP，2021年为214.23%</w:t>
      </w:r>
    </w:p>
    <w:p>
      <w:pPr>
        <w:numPr>
          <w:ilvl w:val="0"/>
          <w:numId w:val="1021"/>
        </w:numPr>
        <w:pStyle w:val="Compact"/>
        <w:spacing w:line="360" w:lineRule="auto" w:after="160"/>
      </w:pPr>
      <w:r>
        <w:rPr>
          <w:rFonts w:ascii="Calibri" w:hAnsi="Calibri" w:eastAsia="宋体" w:cs="Calibri"/>
          <w:sz w:val="24"/>
        </w:rPr>
        <w:t xml:space="preserve">FDIC,</w:t>
      </w:r>
      <w:r>
        <w:rPr>
          <w:rFonts w:ascii="Calibri" w:hAnsi="Calibri" w:eastAsia="宋体" w:cs="Calibri"/>
          <w:sz w:val="24"/>
        </w:rPr>
        <w:t xml:space="preserve"> </w:t>
      </w:r>
      <w:r>
        <w:rPr>
          <w:iCs/>
          <w:rFonts w:ascii="Calibri" w:hAnsi="Calibri" w:eastAsia="宋体" w:cs="Calibri"/>
          <w:i/>
          <w:sz w:val="24"/>
        </w:rPr>
        <w:t xml:space="preserve">Quarterly Banking Profile, Fourth Quarter 2025</w:t>
      </w:r>
      <w:r>
        <w:rPr>
          <w:rFonts w:ascii="Calibri" w:hAnsi="Calibri" w:eastAsia="宋体" w:cs="Calibri"/>
          <w:sz w:val="24"/>
        </w:rPr>
        <w:t xml:space="preserve">；</w:t>
      </w:r>
      <w:r>
        <w:rPr>
          <w:iCs/>
          <w:rFonts w:ascii="Calibri" w:hAnsi="Calibri" w:eastAsia="宋体" w:cs="Calibri"/>
          <w:i/>
          <w:sz w:val="24"/>
        </w:rPr>
        <w:t xml:space="preserve">Statistics at a Glance</w:t>
      </w:r>
      <w:r>
        <w:rPr>
          <w:rFonts w:ascii="Calibri" w:hAnsi="Calibri" w:eastAsia="宋体" w:cs="Calibri"/>
          <w:sz w:val="24"/>
        </w:rPr>
        <w:t xml:space="preserve">：参保机构4336家，总资产25.258万亿美元</w:t>
      </w:r>
    </w:p>
    <w:p>
      <w:pPr>
        <w:numPr>
          <w:ilvl w:val="0"/>
          <w:numId w:val="1021"/>
        </w:numPr>
        <w:pStyle w:val="Compact"/>
        <w:spacing w:line="360" w:lineRule="auto" w:after="160"/>
      </w:pPr>
      <w:r>
        <w:rPr>
          <w:rFonts w:ascii="Calibri" w:hAnsi="Calibri" w:eastAsia="宋体" w:cs="Calibri"/>
          <w:sz w:val="24"/>
        </w:rPr>
        <w:t xml:space="preserve">The Banker Database, Top 1000 World Banks 2026（按2025财年一级资本）</w:t>
      </w:r>
    </w:p>
    <w:p>
      <w:pPr>
        <w:numPr>
          <w:ilvl w:val="0"/>
          <w:numId w:val="1021"/>
        </w:numPr>
        <w:pStyle w:val="Compact"/>
        <w:spacing w:line="360" w:lineRule="auto" w:after="160"/>
      </w:pPr>
      <w:r>
        <w:rPr>
          <w:rFonts w:ascii="Calibri" w:hAnsi="Calibri" w:eastAsia="宋体" w:cs="Calibri"/>
          <w:sz w:val="24"/>
        </w:rPr>
        <w:t xml:space="preserve">Bank of England,</w:t>
      </w:r>
      <w:r>
        <w:rPr>
          <w:rFonts w:ascii="Calibri" w:hAnsi="Calibri" w:eastAsia="宋体" w:cs="Calibri"/>
          <w:sz w:val="24"/>
        </w:rPr>
        <w:t xml:space="preserve"> </w:t>
      </w:r>
      <w:r>
        <w:rPr>
          <w:rFonts w:ascii="Calibri" w:hAnsi="Calibri" w:eastAsia="宋体" w:cs="Calibri"/>
          <w:sz w:val="24"/>
        </w:rPr>
        <w:t xml:space="preserve">“</w:t>
      </w:r>
      <w:r>
        <w:rPr>
          <w:rFonts w:ascii="Calibri" w:hAnsi="Calibri" w:eastAsia="宋体" w:cs="Calibri"/>
          <w:sz w:val="24"/>
        </w:rPr>
        <w:t xml:space="preserve">Dealing with a banking crisis: what lessons can be learned from Japan’s experience?</w:t>
      </w:r>
      <w:r>
        <w:rPr>
          <w:rFonts w:ascii="Calibri" w:hAnsi="Calibri" w:eastAsia="宋体" w:cs="Calibri"/>
          <w:sz w:val="24"/>
        </w:rPr>
        <w:t xml:space="preserve">”</w:t>
      </w:r>
      <w:r>
        <w:rPr>
          <w:rFonts w:ascii="Calibri" w:hAnsi="Calibri" w:eastAsia="宋体" w:cs="Calibri"/>
          <w:sz w:val="24"/>
        </w:rPr>
        <w:t xml:space="preserve">,</w:t>
      </w:r>
      <w:r>
        <w:rPr>
          <w:rFonts w:ascii="Calibri" w:hAnsi="Calibri" w:eastAsia="宋体" w:cs="Calibri"/>
          <w:sz w:val="24"/>
        </w:rPr>
        <w:t xml:space="preserve"> </w:t>
      </w:r>
      <w:r>
        <w:rPr>
          <w:iCs/>
          <w:rFonts w:ascii="Calibri" w:hAnsi="Calibri" w:eastAsia="宋体" w:cs="Calibri"/>
          <w:i/>
          <w:sz w:val="24"/>
        </w:rPr>
        <w:t xml:space="preserve">Quarterly Bulletin</w:t>
      </w:r>
      <w:r>
        <w:rPr>
          <w:rFonts w:ascii="Calibri" w:hAnsi="Calibri" w:eastAsia="宋体" w:cs="Calibri"/>
          <w:sz w:val="24"/>
        </w:rPr>
        <w:t xml:space="preserve"> </w:t>
      </w:r>
      <w:r>
        <w:rPr>
          <w:rFonts w:ascii="Calibri" w:hAnsi="Calibri" w:eastAsia="宋体" w:cs="Calibri"/>
          <w:sz w:val="24"/>
        </w:rPr>
        <w:t xml:space="preserve">2014 Q1</w:t>
      </w:r>
    </w:p>
    <w:p>
      <w:pPr>
        <w:numPr>
          <w:ilvl w:val="0"/>
          <w:numId w:val="1021"/>
        </w:numPr>
        <w:pStyle w:val="Compact"/>
        <w:spacing w:line="360" w:lineRule="auto" w:after="160"/>
      </w:pPr>
      <w:r>
        <w:rPr>
          <w:rFonts w:ascii="Calibri" w:hAnsi="Calibri" w:eastAsia="宋体" w:cs="Calibri"/>
          <w:sz w:val="24"/>
        </w:rPr>
        <w:t xml:space="preserve">Hoshi, Takeo &amp; Anil K Kashyap,</w:t>
      </w:r>
      <w:r>
        <w:rPr>
          <w:rFonts w:ascii="Calibri" w:hAnsi="Calibri" w:eastAsia="宋体" w:cs="Calibri"/>
          <w:sz w:val="24"/>
        </w:rPr>
        <w:t xml:space="preserve"> </w:t>
      </w:r>
      <w:r>
        <w:rPr>
          <w:rFonts w:ascii="Calibri" w:hAnsi="Calibri" w:eastAsia="宋体" w:cs="Calibri"/>
          <w:sz w:val="24"/>
        </w:rPr>
        <w:t xml:space="preserve">“</w:t>
      </w:r>
      <w:r>
        <w:rPr>
          <w:rFonts w:ascii="Calibri" w:hAnsi="Calibri" w:eastAsia="宋体" w:cs="Calibri"/>
          <w:sz w:val="24"/>
        </w:rPr>
        <w:t xml:space="preserve">Lessons from Japan’s Banking Crisis, 1991–2005</w:t>
      </w:r>
      <w:r>
        <w:rPr>
          <w:rFonts w:ascii="Calibri" w:hAnsi="Calibri" w:eastAsia="宋体" w:cs="Calibri"/>
          <w:sz w:val="24"/>
        </w:rPr>
        <w:t xml:space="preserve">”</w:t>
      </w:r>
      <w:r>
        <w:rPr>
          <w:rFonts w:ascii="Calibri" w:hAnsi="Calibri" w:eastAsia="宋体" w:cs="Calibri"/>
          <w:sz w:val="24"/>
        </w:rPr>
        <w:t xml:space="preserve">, ADBI Working Paper 222, 2010</w:t>
      </w:r>
    </w:p>
    <w:p>
      <w:pPr>
        <w:numPr>
          <w:ilvl w:val="0"/>
          <w:numId w:val="1021"/>
        </w:numPr>
        <w:pStyle w:val="Compact"/>
        <w:spacing w:line="360" w:lineRule="auto" w:after="160"/>
      </w:pPr>
      <w:r>
        <w:rPr>
          <w:rFonts w:ascii="Calibri" w:hAnsi="Calibri" w:eastAsia="宋体" w:cs="Calibri"/>
          <w:sz w:val="24"/>
        </w:rPr>
        <w:t xml:space="preserve">IMF,</w:t>
      </w:r>
      <w:r>
        <w:rPr>
          <w:rFonts w:ascii="Calibri" w:hAnsi="Calibri" w:eastAsia="宋体" w:cs="Calibri"/>
          <w:sz w:val="24"/>
        </w:rPr>
        <w:t xml:space="preserve"> </w:t>
      </w:r>
      <w:r>
        <w:rPr>
          <w:rFonts w:ascii="Calibri" w:hAnsi="Calibri" w:eastAsia="宋体" w:cs="Calibri"/>
          <w:sz w:val="24"/>
        </w:rPr>
        <w:t xml:space="preserve">“</w:t>
      </w:r>
      <w:r>
        <w:rPr>
          <w:rFonts w:ascii="Calibri" w:hAnsi="Calibri" w:eastAsia="宋体" w:cs="Calibri"/>
          <w:sz w:val="24"/>
        </w:rPr>
        <w:t xml:space="preserve">The Role of KAMCO in Resolving Nonperforming Loans in the Republic of Korea</w:t>
      </w:r>
      <w:r>
        <w:rPr>
          <w:rFonts w:ascii="Calibri" w:hAnsi="Calibri" w:eastAsia="宋体" w:cs="Calibri"/>
          <w:sz w:val="24"/>
        </w:rPr>
        <w:t xml:space="preserve">”</w:t>
      </w:r>
      <w:r>
        <w:rPr>
          <w:rFonts w:ascii="Calibri" w:hAnsi="Calibri" w:eastAsia="宋体" w:cs="Calibri"/>
          <w:sz w:val="24"/>
        </w:rPr>
        <w:t xml:space="preserve">, WP/04/172, 2004；Yale Program on Financial Stability, KAMCO case study, 2021</w:t>
      </w:r>
    </w:p>
    <w:p>
      <w:pPr>
        <w:numPr>
          <w:ilvl w:val="0"/>
          <w:numId w:val="1021"/>
        </w:numPr>
        <w:pStyle w:val="Compact"/>
        <w:spacing w:line="360" w:lineRule="auto" w:after="160"/>
      </w:pPr>
      <w:r>
        <w:rPr>
          <w:rFonts w:ascii="Calibri" w:hAnsi="Calibri" w:eastAsia="宋体" w:cs="Calibri"/>
          <w:sz w:val="24"/>
        </w:rPr>
        <w:t xml:space="preserve">Deutsche Bundesbank / 金融史文献：德国全能银行与三支柱体系；Gerschenkron,</w:t>
      </w:r>
      <w:r>
        <w:rPr>
          <w:rFonts w:ascii="Calibri" w:hAnsi="Calibri" w:eastAsia="宋体" w:cs="Calibri"/>
          <w:sz w:val="24"/>
        </w:rPr>
        <w:t xml:space="preserve"> </w:t>
      </w:r>
      <w:r>
        <w:rPr>
          <w:iCs/>
          <w:rFonts w:ascii="Calibri" w:hAnsi="Calibri" w:eastAsia="宋体" w:cs="Calibri"/>
          <w:i/>
          <w:sz w:val="24"/>
        </w:rPr>
        <w:t xml:space="preserve">Economic Backwardness in Historical Perspective</w:t>
      </w:r>
      <w:r>
        <w:rPr>
          <w:rFonts w:ascii="Calibri" w:hAnsi="Calibri" w:eastAsia="宋体" w:cs="Calibri"/>
          <w:sz w:val="24"/>
        </w:rPr>
        <w:t xml:space="preserve">；Vitols,</w:t>
      </w:r>
      <w:r>
        <w:rPr>
          <w:rFonts w:ascii="Calibri" w:hAnsi="Calibri" w:eastAsia="宋体" w:cs="Calibri"/>
          <w:sz w:val="24"/>
        </w:rPr>
        <w:t xml:space="preserve"> </w:t>
      </w:r>
      <w:r>
        <w:rPr>
          <w:rFonts w:ascii="Calibri" w:hAnsi="Calibri" w:eastAsia="宋体" w:cs="Calibri"/>
          <w:sz w:val="24"/>
        </w:rPr>
        <w:t xml:space="preserve">“</w:t>
      </w:r>
      <w:r>
        <w:rPr>
          <w:rFonts w:ascii="Calibri" w:hAnsi="Calibri" w:eastAsia="宋体" w:cs="Calibri"/>
          <w:sz w:val="24"/>
        </w:rPr>
        <w:t xml:space="preserve">The origins of bank-based and market-based financial systems</w:t>
      </w:r>
      <w:r>
        <w:rPr>
          <w:rFonts w:ascii="Calibri" w:hAnsi="Calibri" w:eastAsia="宋体" w:cs="Calibri"/>
          <w:sz w:val="24"/>
        </w:rPr>
        <w:t xml:space="preserve">”</w:t>
      </w:r>
      <w:r>
        <w:rPr>
          <w:rFonts w:ascii="Calibri" w:hAnsi="Calibri" w:eastAsia="宋体" w:cs="Calibri"/>
          <w:sz w:val="24"/>
        </w:rPr>
        <w:t xml:space="preserve">, WZB, 2001</w:t>
      </w:r>
    </w:p>
    <w:p>
      <w:pPr>
        <w:numPr>
          <w:ilvl w:val="0"/>
          <w:numId w:val="1021"/>
        </w:numPr>
        <w:pStyle w:val="Compact"/>
        <w:spacing w:line="360" w:lineRule="auto" w:after="160"/>
      </w:pPr>
      <w:r>
        <w:rPr>
          <w:rFonts w:ascii="Calibri" w:hAnsi="Calibri" w:eastAsia="宋体" w:cs="Calibri"/>
          <w:sz w:val="24"/>
        </w:rPr>
        <w:t xml:space="preserve">Hugh Patrick,</w:t>
      </w:r>
      <w:r>
        <w:rPr>
          <w:rFonts w:ascii="Calibri" w:hAnsi="Calibri" w:eastAsia="宋体" w:cs="Calibri"/>
          <w:sz w:val="24"/>
        </w:rPr>
        <w:t xml:space="preserve"> </w:t>
      </w:r>
      <w:r>
        <w:rPr>
          <w:rFonts w:ascii="Calibri" w:hAnsi="Calibri" w:eastAsia="宋体" w:cs="Calibri"/>
          <w:sz w:val="24"/>
        </w:rPr>
        <w:t xml:space="preserve">“</w:t>
      </w:r>
      <w:r>
        <w:rPr>
          <w:rFonts w:ascii="Calibri" w:hAnsi="Calibri" w:eastAsia="宋体" w:cs="Calibri"/>
          <w:sz w:val="24"/>
        </w:rPr>
        <w:t xml:space="preserve">How the Japanese financial system and its main bank system have dealt with generic issues of financial development</w:t>
      </w:r>
      <w:r>
        <w:rPr>
          <w:rFonts w:ascii="Calibri" w:hAnsi="Calibri" w:eastAsia="宋体" w:cs="Calibri"/>
          <w:sz w:val="24"/>
        </w:rPr>
        <w:t xml:space="preserve">”</w:t>
      </w:r>
      <w:r>
        <w:rPr>
          <w:rFonts w:ascii="Calibri" w:hAnsi="Calibri" w:eastAsia="宋体" w:cs="Calibri"/>
          <w:sz w:val="24"/>
        </w:rPr>
        <w:t xml:space="preserve">, Columbia Academic Commons</w:t>
      </w:r>
    </w:p>
    <w:bookmarkEnd w:id="55"/>
    <w:bookmarkStart w:id="56" w:name="中文研究与交叉核验材料"/>
    <w:p>
      <w:pPr>
        <w:pStyle w:val="Heading3"/>
        <w:spacing w:before="240" w:after="160" w:line="312" w:lineRule="auto"/>
      </w:pPr>
      <w:r>
        <w:rPr>
          <w:rFonts w:ascii="Calibri" w:hAnsi="Calibri" w:eastAsia="黑体" w:cs="Calibri"/>
          <w:b/>
          <w:color w:val="2E75B6"/>
          <w:sz w:val="25"/>
        </w:rPr>
        <w:t xml:space="preserve">中文研究与交叉核验材料</w:t>
      </w:r>
    </w:p>
    <w:p>
      <w:pPr>
        <w:numPr>
          <w:ilvl w:val="0"/>
          <w:numId w:val="1023"/>
        </w:numPr>
        <w:pStyle w:val="Compact"/>
        <w:spacing w:line="360" w:lineRule="auto" w:after="160"/>
      </w:pPr>
      <w:r>
        <w:rPr>
          <w:rFonts w:ascii="Calibri" w:hAnsi="Calibri" w:eastAsia="宋体" w:cs="Calibri"/>
          <w:sz w:val="24"/>
        </w:rPr>
        <w:t xml:space="preserve">《财经》：《银行中国：百年沉浮，改革重生》（2003年末银行业总资产27.64万亿元；2002年末不良率23.6%；2003年9月末四大行不良率21.38%），http://magazine.caijing.com.cn/20191010/4619841.shtml</w:t>
      </w:r>
    </w:p>
    <w:p>
      <w:pPr>
        <w:numPr>
          <w:ilvl w:val="0"/>
          <w:numId w:val="1023"/>
        </w:numPr>
        <w:pStyle w:val="Compact"/>
        <w:spacing w:line="360" w:lineRule="auto" w:after="160"/>
      </w:pPr>
      <w:r>
        <w:rPr>
          <w:rFonts w:ascii="Calibri" w:hAnsi="Calibri" w:eastAsia="宋体" w:cs="Calibri"/>
          <w:sz w:val="24"/>
        </w:rPr>
        <w:t xml:space="preserve">证券时报/证券之星：2003年末四大行五级分类不良率20.36%</w:t>
      </w:r>
    </w:p>
    <w:p>
      <w:pPr>
        <w:numPr>
          <w:ilvl w:val="0"/>
          <w:numId w:val="1023"/>
        </w:numPr>
        <w:pStyle w:val="Compact"/>
        <w:spacing w:line="360" w:lineRule="auto" w:after="160"/>
      </w:pPr>
      <w:r>
        <w:rPr>
          <w:rFonts w:ascii="Calibri" w:hAnsi="Calibri" w:eastAsia="宋体" w:cs="Calibri"/>
          <w:sz w:val="24"/>
        </w:rPr>
        <w:t xml:space="preserve">界面新闻对AMC的回顾（美林、摩根对1998年坏账率估计；1.4万亿元剥离及6041亿元再贷款、8110亿元金融债）</w:t>
      </w:r>
    </w:p>
    <w:p>
      <w:pPr>
        <w:numPr>
          <w:ilvl w:val="0"/>
          <w:numId w:val="1023"/>
        </w:numPr>
        <w:pStyle w:val="Compact"/>
        <w:spacing w:line="360" w:lineRule="auto" w:after="160"/>
      </w:pPr>
      <w:r>
        <w:rPr>
          <w:rFonts w:ascii="Calibri" w:hAnsi="Calibri" w:eastAsia="宋体" w:cs="Calibri"/>
          <w:sz w:val="24"/>
        </w:rPr>
        <w:t xml:space="preserve">联合资信：《2025年半年度外资银行行业分析》（2024年末外资法人银行资产32874.78亿元，占比0.74%）</w:t>
      </w:r>
    </w:p>
    <w:p>
      <w:pPr>
        <w:numPr>
          <w:ilvl w:val="0"/>
          <w:numId w:val="1023"/>
        </w:numPr>
        <w:pStyle w:val="Compact"/>
        <w:spacing w:line="360" w:lineRule="auto" w:after="160"/>
      </w:pPr>
      <w:r>
        <w:rPr>
          <w:rFonts w:ascii="Calibri" w:hAnsi="Calibri" w:eastAsia="宋体" w:cs="Calibri"/>
          <w:sz w:val="24"/>
        </w:rPr>
        <w:t xml:space="preserve">北京大学国家发展研究院相关讨论：中国银行体制改革的渐进特征与“三个体系、两个真正”</w:t>
      </w:r>
    </w:p>
    <w:p>
      <w:pPr>
        <w:spacing w:line="360" w:lineRule="auto" w:after="160"/>
      </w:pPr>
      <w:r>
        <w:rPr>
          <w:rFonts w:ascii="Calibri" w:hAnsi="Calibri" w:eastAsia="宋体" w:cs="Calibri"/>
          <w:sz w:val="24"/>
        </w:rPr>
        <w:pict>
          <v:rect style="width:0;height:1.5pt" o:hralign="center" o:hrstd="t" o:hr="t"/>
        </w:pict>
      </w:r>
    </w:p>
    <w:bookmarkEnd w:id="56"/>
    <w:bookmarkEnd w:id="57"/>
    <w:bookmarkStart w:id="58" w:name="附录c-使用与局限"/>
    <w:p>
      <w:pPr>
        <w:pStyle w:val="Heading2"/>
        <w:spacing w:before="240" w:after="160" w:line="312" w:lineRule="auto"/>
      </w:pPr>
      <w:r>
        <w:rPr>
          <w:rFonts w:ascii="Calibri" w:hAnsi="Calibri" w:eastAsia="黑体" w:cs="Calibri"/>
          <w:b/>
          <w:color w:val="2E75B6"/>
          <w:sz w:val="28"/>
        </w:rPr>
        <w:t xml:space="preserve">附录C 使用与局限</w:t>
      </w:r>
    </w:p>
    <w:p>
      <w:pPr>
        <w:numPr>
          <w:ilvl w:val="0"/>
          <w:numId w:val="1024"/>
        </w:numPr>
        <w:pStyle w:val="Compact"/>
        <w:spacing w:line="360" w:lineRule="auto" w:after="160"/>
      </w:pPr>
      <w:r>
        <w:rPr>
          <w:rFonts w:ascii="Calibri" w:hAnsi="Calibri" w:eastAsia="宋体" w:cs="Calibri"/>
          <w:sz w:val="24"/>
        </w:rPr>
        <w:t xml:space="preserve">本报告是研究综述与比较分析，不是投资建议或监管评级。</w:t>
      </w:r>
    </w:p>
    <w:p>
      <w:pPr>
        <w:numPr>
          <w:ilvl w:val="0"/>
          <w:numId w:val="1024"/>
        </w:numPr>
        <w:pStyle w:val="Compact"/>
        <w:spacing w:line="360" w:lineRule="auto" w:after="160"/>
      </w:pPr>
      <w:r>
        <w:rPr>
          <w:rFonts w:ascii="Calibri" w:hAnsi="Calibri" w:eastAsia="宋体" w:cs="Calibri"/>
          <w:sz w:val="24"/>
        </w:rPr>
        <w:t xml:space="preserve">2025年部分监管指标来自总局通报的权威转载，若与日后总局网站归档文本有出入，应以总局原文为准。</w:t>
      </w:r>
    </w:p>
    <w:p>
      <w:pPr>
        <w:numPr>
          <w:ilvl w:val="0"/>
          <w:numId w:val="1024"/>
        </w:numPr>
        <w:pStyle w:val="Compact"/>
        <w:spacing w:line="360" w:lineRule="auto" w:after="160"/>
      </w:pPr>
      <w:r>
        <w:rPr>
          <w:rFonts w:ascii="Calibri" w:hAnsi="Calibri" w:eastAsia="宋体" w:cs="Calibri"/>
          <w:sz w:val="24"/>
        </w:rPr>
        <w:t xml:space="preserve">跨国比率受口径、并表范围、汇率和是否含非银金融影响，解释时已尽量标注，仍不宜精确到小数点后的“排名竞赛”。</w:t>
      </w:r>
    </w:p>
    <w:p>
      <w:pPr>
        <w:numPr>
          <w:ilvl w:val="0"/>
          <w:numId w:val="1024"/>
        </w:numPr>
        <w:pStyle w:val="Compact"/>
        <w:spacing w:line="360" w:lineRule="auto" w:after="160"/>
      </w:pPr>
      <w:r>
        <w:rPr>
          <w:rFonts w:ascii="Calibri" w:hAnsi="Calibri" w:eastAsia="宋体" w:cs="Calibri"/>
          <w:sz w:val="24"/>
        </w:rPr>
        <w:t xml:space="preserve">历史不良率在五级分类推广前存在“一逾两呆”与国际口径的不可比；文中凡使用1990年代末估计数，均并列多家来源，不取单一极端值作为“事实”。</w:t>
      </w:r>
    </w:p>
    <w:p>
      <w:pPr>
        <w:pStyle w:val="FirstParagraph"/>
        <w:spacing w:line="360" w:lineRule="auto" w:after="160"/>
      </w:pPr>
      <w:r>
        <w:rPr>
          <w:rFonts w:ascii="Calibri" w:hAnsi="Calibri" w:eastAsia="宋体" w:cs="Calibri"/>
          <w:sz w:val="24"/>
        </w:rPr>
        <w:t xml:space="preserve">（全文完）</w:t>
      </w:r>
    </w:p>
    <w:bookmarkEnd w:id="58"/>
    <w:bookmarkEnd w:id="59"/>
    <w:sectPr w:rsidR="00FC693F" w:rsidRPr="0006063C" w:rsidSect="00034616">
      <w:headerReference w:type="default" r:id="rId9"/>
      <w:footerReference w:type="default" r:id="rId10"/>
      <w:pgSz w:h="16838"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s="Calibri"/>
        <w:color w:val="666666"/>
        <w:sz w:val="18"/>
      </w:rPr>
      <w:t xml:space="preserve">第 </w:t>
    </w:r>
    <w:r>
      <w:rPr>
        <w:rFonts w:ascii="Calibri" w:hAnsi="Calibri" w:eastAsia="宋体" w:cs="Calibri"/>
        <w:sz w:val="18"/>
      </w:rPr>
      <w:fldChar w:fldCharType="begin"/>
      <w:instrText xml:space="preserve"> PAGE </w:instrText>
      <w:fldChar w:fldCharType="separate"/>
      <w:t>1</w:t>
      <w:fldChar w:fldCharType="end"/>
    </w:r>
    <w:r>
      <w:rPr>
        <w:rFonts w:ascii="Calibri" w:hAnsi="Calibri" w:eastAsia="宋体" w:cs="Calibri"/>
        <w:color w:val="666666"/>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宋体" w:cs="Calibri"/>
        <w:color w:val="888888"/>
        <w:sz w:val="18"/>
      </w:rPr>
      <w:t>中国银行业发展阶段研究报告</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1"/>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60" w:lineRule="auto"/>
    </w:pPr>
    <w:rPr>
      <w:rFonts w:ascii="Calibri" w:cs="Calibri" w:eastAsia="宋体" w:hAnsi="Calibri"/>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312" w:lineRule="auto"/>
      <w:outlineLvl w:val="0"/>
    </w:pPr>
    <w:rPr>
      <w:rFonts w:ascii="Calibri" w:asciiTheme="majorHAnsi" w:cs="Calibri" w:cstheme="majorBidi" w:eastAsia="黑体" w:eastAsiaTheme="majorEastAsia" w:hAnsi="Calibri"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keepLines/>
      <w:spacing w:after="160" w:before="280" w:line="312" w:lineRule="auto"/>
      <w:outlineLvl w:val="1"/>
    </w:pPr>
    <w:rPr>
      <w:rFonts w:ascii="Calibri" w:asciiTheme="majorHAnsi" w:cs="Calibri" w:cstheme="majorBidi" w:eastAsia="黑体" w:eastAsiaTheme="majorEastAsia" w:hAnsi="Calibri" w:hAnsiTheme="majorHAnsi"/>
      <w:b/>
      <w:bCs/>
      <w:color w:val="2E75B6"/>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12" w:lineRule="auto"/>
      <w:outlineLvl w:val="2"/>
    </w:pPr>
    <w:rPr>
      <w:rFonts w:ascii="Calibri" w:asciiTheme="majorHAnsi" w:cs="Calibri" w:cstheme="majorBidi" w:eastAsia="黑体" w:eastAsiaTheme="majorEastAsia" w:hAnsi="Calibri" w:hAnsiTheme="majorHAnsi"/>
      <w:b/>
      <w:bCs/>
      <w:color w:val="2E75B6"/>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312" w:lineRule="auto"/>
      <w:contextualSpacing/>
      <w:jc w:val="center"/>
    </w:pPr>
    <w:rPr>
      <w:rFonts w:ascii="Calibri" w:asciiTheme="majorHAnsi" w:cs="Calibri" w:cstheme="majorBidi" w:eastAsia="黑体" w:eastAsiaTheme="majorEastAsia" w:hAnsi="Calibri" w:hAnsiTheme="majorHAnsi"/>
      <w:b/>
      <w:color w:val="1F4E79"/>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before="0" w:line="312" w:lineRule="auto"/>
      <w:jc w:val="center"/>
    </w:pPr>
    <w:rPr>
      <w:rFonts w:ascii="Calibri" w:asciiTheme="majorHAnsi" w:cs="Calibri" w:cstheme="majorBidi" w:eastAsia="楷体" w:eastAsiaTheme="majorEastAsia" w:hAnsi="Calibri" w:hAnsiTheme="majorHAnsi"/>
      <w:b w:val="0"/>
      <w:i/>
      <w:iCs/>
      <w:color w:val="5B5B5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Calibri" w:cs="Calibri" w:eastAsia="宋体" w:hAnsi="Calibri"/>
      <w:b w:val="0"/>
      <w:sz w:val="24"/>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中国银行业发展阶段研究报告</dc:title>
  <dc:creator/>
  <cp:keywords/>
  <dcterms:created xsi:type="dcterms:W3CDTF">2026-08-20T08:40:32Z</dcterms:created>
  <dcterms:modified xsi:type="dcterms:W3CDTF">2026-08-20T08:40:32Z</dcterms:modified>
</cp:coreProperties>
</file>

<file path=docProps/custom.xml><?xml version="1.0" encoding="utf-8"?>
<Properties xmlns="http://schemas.openxmlformats.org/officeDocument/2006/custom-properties" xmlns:vt="http://schemas.openxmlformats.org/officeDocument/2006/docPropsVTypes"/>
</file>