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720" w:before="0" w:after="240"/>
        <w:ind w:firstLine="0"/>
        <w:jc w:val="center"/>
      </w:pPr>
      <w:r>
        <w:rPr>
          <w:rFonts w:ascii="Times New Roman" w:hAnsi="Times New Roman" w:eastAsia="方正小标宋简体" w:cs="Times New Roman"/>
          <w:b/>
          <w:sz w:val="44"/>
          <w:noProof/>
        </w:rPr>
        <w:t>关于浙银金租2026年上半年经营情况的意见建议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2026年上半年，浙银金租营收、利润序时基本达标，但投放偏慢、光伏电费收入下滑，全年创收缺口已经显现，三季度仍可能扩大；不良及后四类资产占比上升，上市公司尾部风险和普惠租赁潜在风险抬头；杠杆、流动性等监管指标贴线运行，增资与分红、核销与拨备相互掣肘。当前主要矛盾，不是指标多与少，而是规模增速与利润增速背离、风险出清与资本约束同步趋紧。现就主要问题及建议明确如下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黑体" w:cs="Times New Roman"/>
          <w:b/>
          <w:sz w:val="32"/>
          <w:noProof/>
        </w:rPr>
        <w:t>一、主要问题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  <w:noProof/>
        </w:rPr>
        <w:t>（一）序时达标难掩全年创收缺口，三季度或将扩大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截至2026年6月末，浙银金租营业收入、净利润完成率分别为49.15%、50.32%，序时看基本达标，但这不能代表全年目标可顺势兑现。据测算，全年营收缺口约2亿元，可能影响税后利润约7500万元，三季度缺口仍有扩大可能。原因集中在两端：一是投放节奏偏慢，上半年累计投放188亿元，对照全年400亿元计划未达预期，二季度净投放明显不足，规模对利润的支撑减弱；二是光伏发电收入下滑，年内辐照偏弱、发电量下降，电费收入相应减少，经营租赁对营收的拉动弱于预算。上述缺口是已经发生的经营事实，不宜再用序时完成率淡化，下半年若以价换量、年末突击补投放，还可能进一步抬高明年重定价压力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  <w:noProof/>
        </w:rPr>
        <w:t>（二）资产质量趋势走弱，新生成与尾部风险上升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上半年，浙银金租不良资产率由年初1.25%升至6月末1.35%，超出预算目标10BP；关注类资产占比由2.85%升至3.77%，后四类资产占比由4.11%升至5.13%；正常类中潜在风险资产5.53亿元，表内问题资产合计40.21亿元。下半年核销需求仍在上升，但总行不允许突破集团预算额外计提减值，加大核销控不良将直接压低拨备率（租赁应收款拨备率约3%），利润、不良、拨备三线已经拧紧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风险结构上，大额不良多为存量老项目，化解进度受时间和其他债权人行为制约。如海盐融创化解方案原先已经批准，后因其他债权人申请破产进入不良，说明存量出清并非金租单边可控。管理层认为涉房风险已基本出清，但金租涉房与银行开发贷逻辑不同，风险点在租金收益能否覆盖还款成本，而非在建工程完工。对“已经出清”的判断，不宜仅依据口述或个别案例，应通过条线检辅和底层资产核验加以证实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更需关注的是新生成和尾部风险。2026年以来，上市公司客户风险明显分化，三房巷、南都电源、富煌钢构等个案显示，以往“时间换空间、暂不进不良”的路径今年已难以维持，尾部客户存在加速劣变可能。监管分类压力同步上升：中林集团被三峡集团托管后面临监管要求调整；富通已进入破产程序，虽合同约定明年还款、原本可不调级态，但按《商业银行金融资产风险分类办法》，同一非零售债务人在各银行逾期超过90天的债务超过20%的，相关资产至少归为次级，监管已连续提示，跟调压力客观存在。此外，普惠租赁、制造业中小客户顺周期下行特征增强，租金覆盖和缓释措施偏弱的客户，可能成为下一批新生成来源。与永赢金租、稠银金租、华融金租等省内同业相比，金租不良率偏高，但应结合自身客群、资产结构和拨备策略客观看待，不宜简单以同业均值为优、为劣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  <w:noProof/>
        </w:rPr>
        <w:t>（三）监管指标贴线运行，增资分红与资本占用对冲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截至2026年6月末，浙银金租财务杠杆倍数9.71倍，突破预警值（9倍）、逼近10倍红线；流动性覆盖率100.57%，低于预警值（120%），逼近100%红线；杠杆率9.96%，突破预警值（10%）；核心一级资本充足率10.88%，接近预警值（10.5%）。即使年内增资13.91亿元落地，但同步实施2023、2024年度利润分红6.85亿元，再叠加核销上升、风险加权资产消耗，预计财务杠杆倍数仅能小幅回落，仍将高于预警值。董事会上，股东既希望加快增资，又提出利润增速与规模增速同步、分红力度加大。资本边补边抽的压力已经大于“缺一笔增资”本身。个别监管达标类指标完成难度较大，已在做监管沟通，但不宜把沟通当成指标可以自然改善的依据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黑体" w:cs="Times New Roman"/>
          <w:b/>
          <w:sz w:val="32"/>
          <w:noProof/>
        </w:rPr>
        <w:t>二、主要建议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建议浙银金租锚定管理立行、服务优行、科技兴行、人才强行“四行”战略路径，发挥“融资+融物”特色，深化母子协同和银租联动，坚持深耕浙江、服务“两新”，不简单套用行业均值，立足自身业务结构打造特色竞争力，切实发挥集团重要利润中心作用。当前工作应从面上铺开转向抓住三件实事：把利润、不良、拨备和资本放在同一张平衡表上安排；把专业化板块做成可定价、可风控的能力；把风险判断从逻辑推演转到名单管理和实地验证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  <w:noProof/>
        </w:rPr>
        <w:t>（一）统筹利润、不良与拨备，守住资本内生底线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现阶段可按“保净利润、控不良率，阶段性容忍拨备率波动”作安排，但必须把边界讲清楚：拨备松动是应对核销节奏的暂时措施，不能变成全年减提；总行预算约束下，不得以突破集团减值预算换账面好看。核销要与收回、利润和资本规划联动，避免用一次性核销把不良“做回去”、把拨备和利润矛盾后移到四季度或明年。增资获批后应尽快落地，同时对分红节奏与资本占用作同步评估，防止股东回报要求侵蚀刚刚补上的资本。落实监管降本增效要求，优化资产负债和定价，巩固负债成本优势，以可持续利润增厚留存，真正形成内生增长。四季度扩表必须受资本约束，风资消耗要与项目质量和收益率挂钩，不宜为冲千亿规模过度占用风险资本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  <w:noProof/>
        </w:rPr>
        <w:t>（二）做实专业化板块，把客群和投放节奏做稳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坚持“向稳向优向新”的客群原则，把专业化板块建设从概念落到资产。航空等长周期资产应用其低波动、久期匹配的特点稳定基本盘；光伏及经营租赁须把辐照、电费和残值波动写入方案和预算，不能只在事后用“气候因素”解释缺口；厂商租赁、直租应提高与母行对公信贷的互补性，减少可替代的回租堆量；普惠租赁要单独设置准入、缓释和催收标准，不能与大项目同一套风控。牢固树立“低风险、均收益”理念，用好“五策一体”“银租联动”，与母行对齐行业和客户画像，提升优质客户粘性。投放上要纠正“一季度透支、二季度空窗、四季度补量”的节奏，月末集中投放应压降，规模进度服从质量和资本约束。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  <w:noProof/>
        </w:rPr>
        <w:t>（三）严控新生成风险，对重点客户下沉验证、加快存量出清</w:t>
      </w:r>
    </w:p>
    <w:p>
      <w:pPr>
        <w:widowControl/>
        <w:spacing w:lineRule="exact" w:line="60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  <w:noProof/>
        </w:rPr>
        <w:t>风险工作不能停在老项目叙事上。一是守住新生成。把好准入关口，筑牢主体信用与租赁物双重保障，控制集中度，前瞻做好跨境业务防控；对上市公司客户建立名单化管理，重点跟踪业绩恶化、股价和再融资受阻、互保及诉讼变化，防止尾部风险由“可观察”转为“已违约”；对普惠租赁和制造业中小客户提高缓释要求，以租金覆盖、逾期迁徙为前置信号，改变对顺周期客户“时间换空间”的路径依赖。二是做实地验证。10月条线检辅应带着问题下去：涉房项目核对租金是否覆盖还款，与分行交叉客户要补齐风险信息，管理层乐观判断须有底层资产和一线数据支撑，避免被个案反驳后推翻整体结论。三是按监管规则及时调级。对中林集团、富通等已出现托管、破产或他行不良占比超标的客户，按分类办法跟调，减少滞后。四是加快存量出清。重点推进文旅、商业地产、构筑物等大额风险清收处置，核销后收回要落到户，向清收要效益，不能把“颗粒归仓”停在预测数上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