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Rule="exact" w:line="720"/>
        <w:jc w:val="center"/>
      </w:pPr>
      <w:r>
        <w:rPr>
          <w:rFonts w:ascii="Times New Roman" w:hAnsi="Times New Roman" w:eastAsia="黑体" w:cs="Times New Roman"/>
          <w:b/>
          <w:sz w:val="44"/>
        </w:rPr>
        <w:t>浙商银行2026—2030年分支机构发展规划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为深入贯彻全行“五五”发展战略，统筹考虑总体规划目标、存量网点效能和监管准入政策，立足当前监管政策窗口，加快省内网点布局，进一步提升市场空间大、网均效能高的重点区域网点密度，稳步推进一级分行、二级分行设立和支行建设，兼顾其他区域分行布局需求，适度撤并低效网点，持续优化机构布局，制定本规划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2026年至2030年，全行规划净新增网点130家，其中省内净新增44家、省外净新增86家，到2030年末各级网点总数达到500家（不含小企业信贷中心、资金营运中心等分行级专营机构）。各分行辖内规划数量已经明确，作为本规划期内机构发展的控制数。区县层面具体布局仍有沟通空间，由分行结合当地市场资源和监管准入实际，在本规划确定的导向范围内提出方案，与总行沟通后确定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现将有关安排明确如下。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一、总体安排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本规划坚持“省内加快布局、重点区域加密、其他区域兼顾、低效网点优化”的总体原则。着力推进一级分行、二级分行规划落地，稳步推进支行建设；优先支持市场空间大、网均效能高、综合贡献突出的重点分行提升网点密度；对展业环境受限、网均效能持续偏低的分行，以存量提质为主，必要时撤并低效网点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机构安排为：新设一级分行4家、二级分行7家；省内新设支行44家（含在筹1家）；省外新设支行78家（含在筹14家），撤并低效支行3家。以上安排与全行2030年末网点总数500家的目标相衔接，各分行要按规划数量推进，不得擅自突破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二、一级分行、二级分行规划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（一）新设一级分行4家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规划期内推进省会及重点区域一级分行建设，设立乌鲁木齐分行、海口分行、昆明分行、雄安分行等4家一级分行。相关分行（筹备组）要按照总行统一部署，抓紧推进选址、报批和开业准备。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（二）新设二级分行7家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规划期内设立泉州分行、赣州分行、菏泽分行、芜湖分行、榆林分行、马鞍山分行、宜宾分行等7家地市二级分行。管辖分行要切实履行筹备主体责任，做好监管沟通、人员配置和开业运营衔接。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三、省内支行规划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省内新设支行44家（含在筹1家），到2030年末省内网点数量达到167家。重点支持杭州、宁波、绍兴等网均水平高、市场空间大的分行提升网点密度，同时安排温州、台州、嘉兴、金华、湖州等分行适度补点。具体安排如下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（一）杭州分行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杭州作为浙江省会和总行大本营所在地，财富管理与总部经济资源集聚，网均规模居省内首位、辖内支行密度相对不足。规划新设支行18家，到2030年末网点数量达到48家，重点提升余杭、上城、拱墅、西湖、萧山等存款超5000亿元区域网点密度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（二）宁波分行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宁波作为长三角重要中心城市和现代海洋城市，制造业基础扎实、外贸活跃，现有网点数量与当地市场容量和同业布局差距较大。规划新设支行10家，到2030年末网点数量达到30家，重点提升鄞州、海曙、北仑等存款超3000亿元区域网点密度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（三）绍兴分行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绍兴县域经济发达、小微企业活跃，分行网均效益居省内前列。规划新设支行4家，到2030年末网点数量达到14家，重点提升越城、上虞等存款超3000亿元区域网点密度。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（四）省内其他分行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温州、台州、嘉兴、金华、湖州等分行规划新设支行合计12家（含在筹1家），到2030年末网点数量分别达到15家、13家、10家、14家、8家。衢州、丽水、舟山分行以存量网点提质为主，到2030年末网点数量分别保持5家、6家、4家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上述区县（市）为布局导向，不作为选址的最终清单。各分行要在规划数量内，结合街区经济、客群资源和监管准入条件，提出区县层面布局方案，与总行沟通确定。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四、省外支行规划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规划期内省外新设支行78家、撤并3家，净新增75家；加上新设一级分行4家、二级分行7家，省外净新增网点86家，到2030年末省外网点数量达到333家。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（一）重点分行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对上海、北京、南京、苏州、广州、深圳等网均效能高、市场空间大的分行加大布局力度，规划新设支行52家，推动覆盖辖内GDP、存款规模超千亿元区（县），并提升存款余额3000亿元以上区（县）的网点密度。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1.上海分行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上海作为全国经济、金融、贸易、航运和科创中心，网均效能引领全行，市辖区尚未全覆盖。规划新设支行10家，到2030年末网点数量达到27家，加快填补虹口、宝山、青浦等空白区域，提升浦东、黄浦、静安、徐汇、杨浦、闵行等存款超5000亿元区域网点密度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2.南京分行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江苏经济总量领先、发达地市和百强县众多，南京分行营收贡献突出，部分强市、强县覆盖不足。规划新设支行11家，到2030年末网点数量达到46家，重点在南京、无锡、镇江、扬州等城市存款超2000亿元的同城强区、强县增设网点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3.苏州分行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苏州制造业规模居全国地级市首位，辖内重点市辖区和头部强县目前均仅有1个网点。规划新设支行6家，到2030年末网点数量达到17家，重点在吴江、吴中、昆山、常熟、张家港等存款超5000亿元区域增设网点。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4.北京分行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北京集聚央国企总部、金融机构总部和高价值客群，分行作为北方中心网均规模优势明显。规划新设支行6家，到2030年末网点数量达到30家，重点提升东城、西城、海淀等存款规模超万亿元市辖区网点密度。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5.广州分行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广州作为国家中心城市，市辖区尚未全覆盖或覆盖不足。规划新设支行10家，到2030年末网点数量达到29家，加快覆盖白云、南沙等GDP超2000亿元空白区域，重点提升黄埔、天河、越秀等存款万亿元级区域网点密度。</w:t>
      </w:r>
    </w:p>
    <w:p>
      <w:pPr>
        <w:spacing w:before="120" w:after="40" w:lineRule="exact" w:line="560"/>
        <w:jc w:val="left"/>
      </w:pPr>
      <w:r>
        <w:rPr>
          <w:rFonts w:ascii="Times New Roman" w:hAnsi="Times New Roman" w:eastAsia="楷体" w:cs="Times New Roman"/>
          <w:b/>
          <w:sz w:val="32"/>
        </w:rPr>
        <w:t>6.深圳分行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深圳科技创新与高净值客群资源全国领先，半数以上市辖区存款超万亿元。规划新设支行9家，到2030年末网点数量达到25家，重点提升南山、福田、宝安等存款超万亿元市辖区网点数量。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（二）其他分行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济南、福州、合肥、成都、青岛、武汉、太原等分行规划新设支行合计12家，用于提升辖内重点区域覆盖。各分行要在总行已明确的规划数量内，围绕GDP、存款规模较大的区（县）提出布局方案。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西安、南昌、合肥、成都、福州、济南等分行要同步落实本规划确定的二级分行设立任务，做好与支行布局的统筹。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（三）在筹支行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已在筹支行14家，分布在上海、南京、青岛、广州、长沙、济南、武汉、合肥、南宁、郑州、呼和浩特等分行辖内。相关分行要加快推进开业，确保按期纳入规划期末网点总量。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（四）低效网点撤并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期内撤并贵阳、兰州、沈阳分行辖内低效支行各1家，共3家。上述分行要对照网点效能，研究提出撤并对象和人员、业务安置方案，报总行审定后实施。确因展业环境变化需要扩大撤并范围的，由分行报告，总行统筹研究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未列入新增规划的省外分行，以存量网点提质和结构优化为主，原则上不新增网点。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省外重点分行所列区县（市）为布局导向。具体到区县的选址由分行结合市场资源和监管准入条件，在规划数量内与总行沟通确定。</w:t>
      </w:r>
    </w:p>
    <w:p>
      <w:pPr>
        <w:spacing w:before="240" w:after="120" w:lineRule="exact" w:line="600"/>
        <w:jc w:val="left"/>
      </w:pPr>
      <w:r>
        <w:rPr>
          <w:rFonts w:ascii="Times New Roman" w:hAnsi="Times New Roman" w:eastAsia="黑体" w:cs="Times New Roman"/>
          <w:b/>
          <w:sz w:val="32"/>
        </w:rPr>
        <w:t>五、工作要求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规划落地既要看新增，也要看质效。各分行要在稳步推进网点建设、持续优化网点布局的同时，主动对接监管、做强重点分行、深挖存量潜力，严格控制机构和运营成本。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（一）主动对接监管，抓好规划落地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当前监管对网点准入总体保持从紧管控。各分行要把监管沟通作为规划落地的前置工作，加强与属地监管的常态化汇报，前瞻把握政策导向，用好准入窗口。浙江、上海、江苏、广东、北京等重点区域分行要主要负责人亲自过问，明确专人跟踪报批，确保规划项目成熟一个、申报一个、落地一个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（二）发挥大行挑大梁作用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上海、北京、南京、苏州、广州、深圳、杭州、宁波、绍兴等分行市场空间大、网均效能高、综合贡献突出，要切实承担“大行挑大梁”责任，按规划加快网点布局落地，持续提升网均效能和综合贡献，发挥对全行发展的带动作用。省外重点分行要充分挖掘当地市场潜力，做强做优，与浙江大本营形成协同发展。其他分行要立足自身定位，把规划内项目做实、把存量网点做优，不简单比规模、比数量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（三）深挖存量潜力，提升网点质效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新增布局与存量提质并重。各分行要加强营销队伍建设，优化人员结构，推动网均、人均指标稳步改善。对存款、营收持续低于全行平均水平的网点，要制定限期提升方案；对长期低效、扭亏无望的网点，主动研究迁址或撤并，腾挪机构资源。分行本级营销团队要提升对公、零售协同能力，防止“行强点弱、点多效低”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（四）合理配置人员，严控建设成本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新设网点人员配置要精干高效，优先通过大学生培养、分行内部人员结构调整解决中后台需求，开业初期营销团队可按总行人力资源政策引进急需人才。新设和装修改造网点要推进小型化、智能化，合理控制租赁面积，提高智能机具使用率，实行综合柜员制，降低场所和运营成本。具体编制、薪酬和运营模式按总行人力资源、运营管理、财务管理等部门有关制度执行。</w:t>
      </w:r>
    </w:p>
    <w:p>
      <w:pPr>
        <w:spacing w:before="160" w:after="80" w:lineRule="exact" w:line="560"/>
        <w:jc w:val="left"/>
      </w:pPr>
      <w:r>
        <w:rPr>
          <w:rFonts w:ascii="Times New Roman" w:hAnsi="Times New Roman" w:eastAsia="黑体" w:cs="Times New Roman"/>
          <w:b/>
          <w:sz w:val="32"/>
        </w:rPr>
        <w:t>（五）加强组织实施，实行动态管理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各分行要按照本规划确定的数量和布局导向，抓紧研究提出辖内区县布局方案，明确项目排序、选址区域和监管沟通安排，报总行发展规划部。规划数量原则上不得突破；区县层面在导向范围内可与总行沟通调整。因监管政策变化、城市规划调整或市场环境发生重大变化确需优化的，由分行书面报告，总行在全行规划总量内统筹调剂。总行对规划执行情况开展跟踪评估，作为机构管理的重要依据。</w:t>
      </w:r>
    </w:p>
    <w:p>
      <w:pPr>
        <w:spacing w:before="0" w:after="0" w:lineRule="exact" w:line="560"/>
        <w:jc w:val="both"/>
        <w:ind w:firstLineChars="200" w:firstLine="640"/>
      </w:pPr>
      <w:r>
        <w:rPr>
          <w:rFonts w:ascii="Times New Roman" w:hAnsi="Times New Roman" w:eastAsia="仿宋" w:cs="Times New Roman"/>
          <w:b w:val="0"/>
          <w:sz w:val="32"/>
        </w:rPr>
        <w:t>本规划由总行发展规划部负责解释。</w:t>
      </w:r>
    </w:p>
    <w:p>
      <w:pPr>
        <w:spacing w:before="360" w:after="0" w:lineRule="exact" w:line="560"/>
        <w:jc w:val="left"/>
      </w:pPr>
      <w:r>
        <w:rPr>
          <w:rFonts w:ascii="Times New Roman" w:hAnsi="Times New Roman" w:eastAsia="仿宋" w:cs="Times New Roman"/>
          <w:b w:val="0"/>
          <w:sz w:val="32"/>
        </w:rPr>
        <w:t>附件：2026—2030年网点规划汇总表</w:t>
      </w:r>
    </w:p>
    <w:p>
      <w:pPr>
        <w:spacing w:before="120" w:after="0" w:lineRule="exact" w:line="560"/>
        <w:jc w:val="right"/>
      </w:pPr>
      <w:r>
        <w:rPr>
          <w:rFonts w:ascii="Times New Roman" w:hAnsi="Times New Roman" w:eastAsia="仿宋" w:cs="Times New Roman"/>
          <w:b w:val="0"/>
          <w:sz w:val="32"/>
        </w:rPr>
        <w:t>发展规划部</w:t>
      </w:r>
    </w:p>
    <w:p>
      <w:pPr>
        <w:spacing w:before="120" w:after="0" w:lineRule="exact" w:line="560"/>
        <w:jc w:val="right"/>
      </w:pPr>
      <w:r>
        <w:rPr>
          <w:rFonts w:ascii="Times New Roman" w:hAnsi="Times New Roman" w:eastAsia="仿宋" w:cs="Times New Roman"/>
          <w:b w:val="0"/>
          <w:sz w:val="32"/>
        </w:rPr>
        <w:t>2026年6月</w:t>
      </w:r>
    </w:p>
    <w:p>
      <w:r>
        <w:br w:type="page"/>
      </w:r>
    </w:p>
    <w:p>
      <w:pPr>
        <w:spacing w:before="240" w:after="240" w:lineRule="exact" w:line="720"/>
        <w:jc w:val="center"/>
      </w:pPr>
      <w:r>
        <w:rPr>
          <w:rFonts w:ascii="Times New Roman" w:hAnsi="Times New Roman" w:eastAsia="黑体" w:cs="Times New Roman"/>
          <w:b/>
          <w:sz w:val="32"/>
        </w:rPr>
        <w:t>附件</w:t>
      </w:r>
    </w:p>
    <w:p>
      <w:pPr>
        <w:spacing w:before="240" w:after="240" w:lineRule="exact" w:line="720"/>
        <w:jc w:val="center"/>
      </w:pPr>
      <w:r>
        <w:rPr>
          <w:rFonts w:ascii="Times New Roman" w:hAnsi="Times New Roman" w:eastAsia="黑体" w:cs="Times New Roman"/>
          <w:b/>
          <w:sz w:val="36"/>
        </w:rPr>
        <w:t>2026—2030年网点规划汇总表</w:t>
      </w:r>
    </w:p>
    <w:p>
      <w:pPr>
        <w:spacing w:before="120" w:after="80" w:lineRule="exact" w:line="400"/>
        <w:jc w:val="center"/>
      </w:pPr>
      <w:r>
        <w:rPr>
          <w:rFonts w:ascii="Times New Roman" w:hAnsi="Times New Roman" w:eastAsia="黑体" w:cs="Times New Roman"/>
          <w:b/>
          <w:sz w:val="24"/>
        </w:rPr>
        <w:t>表1  一级分行、二级分行规划表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360"/>
        <w:gridCol w:w="1927"/>
        <w:gridCol w:w="1360"/>
        <w:gridCol w:w="3061"/>
      </w:tblGrid>
      <w:tr>
        <w:trPr>
          <w:cantSplit/>
          <w:tblHeader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机构类型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机构名称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规划安排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管辖关系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乌鲁木齐分行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总行直接管理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海口分行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总行直接管理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昆明分行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总行直接管理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雄安分行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总行直接管理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泉州分行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福州分行管辖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赣州分行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南昌分行管辖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菏泽分行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济南分行管辖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芜湖分行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合肥分行管辖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榆林分行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西安分行管辖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马鞍山分行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合肥分行管辖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二级分行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宜宾分行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成都分行管辖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合计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—</w:t>
            </w:r>
          </w:p>
        </w:tc>
        <w:tc>
          <w:tcPr>
            <w:tcW w:type="dxa" w:w="192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一级分行4家、二级分行7家</w:t>
            </w:r>
          </w:p>
        </w:tc>
        <w:tc>
          <w:tcPr>
            <w:tcW w:type="dxa" w:w="1360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新设11家</w:t>
            </w:r>
          </w:p>
        </w:tc>
        <w:tc>
          <w:tcPr>
            <w:tcW w:type="dxa" w:w="306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—</w:t>
            </w:r>
          </w:p>
        </w:tc>
      </w:tr>
    </w:tbl>
    <w:p>
      <w:pPr>
        <w:spacing w:before="40" w:after="160" w:lineRule="exact" w:line="360"/>
        <w:jc w:val="left"/>
      </w:pPr>
      <w:r>
        <w:rPr>
          <w:rFonts w:ascii="Times New Roman" w:hAnsi="Times New Roman" w:eastAsia="仿宋" w:cs="Times New Roman"/>
          <w:b w:val="0"/>
          <w:sz w:val="21"/>
        </w:rPr>
        <w:t>注：二级分行计入管辖一级分行2030年末网点总量。</w:t>
      </w:r>
    </w:p>
    <w:p>
      <w:pPr>
        <w:spacing w:before="120" w:after="80" w:lineRule="exact" w:line="400"/>
        <w:jc w:val="center"/>
      </w:pPr>
      <w:r>
        <w:rPr>
          <w:rFonts w:ascii="Times New Roman" w:hAnsi="Times New Roman" w:eastAsia="黑体" w:cs="Times New Roman"/>
          <w:b/>
          <w:sz w:val="24"/>
        </w:rPr>
        <w:t>表2  省内各分行网点规划表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814"/>
        <w:gridCol w:w="1814"/>
        <w:gridCol w:w="3288"/>
      </w:tblGrid>
      <w:tr>
        <w:trPr>
          <w:cantSplit/>
          <w:tblHeader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分行名称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规划新设支行（家）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2030年末网点（家）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布局导向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杭州分行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48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余杭、上城、拱墅、西湖、萧山等存款超5000亿元区域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宁波分行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鄞州、海曙、北仑等存款超3000亿元区域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绍兴分行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越城、上虞等存款超3000亿元区域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温州分行</w:t>
            </w:r>
          </w:p>
        </w:tc>
        <w:tc>
          <w:tcPr>
            <w:tcW w:type="dxa" w:w="1814"/>
            <w:vMerge w:val="restart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合计12家</w:t>
              <w:br/>
              <w:t>（含在筹1家）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由分行结合实际与总行沟通确定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台州分行</w:t>
            </w:r>
          </w:p>
        </w:tc>
        <w:tc>
          <w:tcPr>
            <w:tcW w:type="dxa" w:w="1814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/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由分行结合实际与总行沟通确定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嘉兴分行</w:t>
            </w:r>
          </w:p>
        </w:tc>
        <w:tc>
          <w:tcPr>
            <w:tcW w:type="dxa" w:w="1814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/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由分行结合实际与总行沟通确定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金华分行</w:t>
            </w:r>
          </w:p>
        </w:tc>
        <w:tc>
          <w:tcPr>
            <w:tcW w:type="dxa" w:w="1814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/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由分行结合实际与总行沟通确定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湖州分行</w:t>
            </w:r>
          </w:p>
        </w:tc>
        <w:tc>
          <w:tcPr>
            <w:tcW w:type="dxa" w:w="1814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/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由分行结合实际与总行沟通确定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衢州分行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以存量提质为主，原则上不新增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丽水分行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以存量提质为主，原则上不新增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舟山分行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以存量提质为主，原则上不新增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省内合计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44</w:t>
            </w:r>
          </w:p>
        </w:tc>
        <w:tc>
          <w:tcPr>
            <w:tcW w:type="dxa" w:w="181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167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区县布局为导向，具体选址与总行沟通确定</w:t>
            </w:r>
          </w:p>
        </w:tc>
      </w:tr>
    </w:tbl>
    <w:p>
      <w:pPr>
        <w:spacing w:before="40" w:after="160" w:lineRule="exact" w:line="360"/>
        <w:jc w:val="left"/>
      </w:pPr>
      <w:r>
        <w:rPr>
          <w:rFonts w:ascii="Times New Roman" w:hAnsi="Times New Roman" w:eastAsia="仿宋" w:cs="Times New Roman"/>
          <w:b w:val="0"/>
          <w:sz w:val="21"/>
        </w:rPr>
        <w:t>注：1.温州、台州、嘉兴、金华、湖州等5家分行规划新设支行合计12家（含在筹1家），各分行具体数量按总行已明确安排执行。2.布局导向不作为区县选址最终清单。</w:t>
      </w:r>
    </w:p>
    <w:p>
      <w:pPr>
        <w:spacing w:before="120" w:after="80" w:lineRule="exact" w:line="400"/>
        <w:jc w:val="center"/>
      </w:pPr>
      <w:r>
        <w:rPr>
          <w:rFonts w:ascii="Times New Roman" w:hAnsi="Times New Roman" w:eastAsia="黑体" w:cs="Times New Roman"/>
          <w:b/>
          <w:sz w:val="24"/>
        </w:rPr>
        <w:t>表3  省外各分行网点规划表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041"/>
        <w:gridCol w:w="1587"/>
        <w:gridCol w:w="3288"/>
      </w:tblGrid>
      <w:tr>
        <w:trPr>
          <w:cantSplit/>
          <w:tblHeader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分行名称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规划新设支行（家）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2030年末网点（家）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left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布局导向及备注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上海分行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填补虹口、宝山、青浦等空白；提升浦东、黄浦、静安、徐汇、杨浦、闵行等；含在筹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南京分行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46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南京、无锡、镇江、扬州等城市存款超2000亿元同城强区、强县；含在筹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苏州分行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吴江、吴中、昆山、常熟、张家港等存款超5000亿元区域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北京分行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东城、西城、海淀等存款超万亿元市辖区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广州分行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29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覆盖白云、南沙；提升黄埔、天河、越秀等；含在筹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深圳分行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南山、福田、宝安等存款超万亿元市辖区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重点分行小计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52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174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上述6家重点分行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济南分行</w:t>
            </w:r>
          </w:p>
        </w:tc>
        <w:tc>
          <w:tcPr>
            <w:tcW w:type="dxa" w:w="2041"/>
            <w:vMerge w:val="restart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合计12家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适当提升辖内支行布局；含在筹；新设菏泽二级分行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福州分行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适当提升辖内支行布局；新设泉州二级分行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合肥分行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适当提升辖内支行布局；含在筹；新设芜湖、马鞍山二级分行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成都分行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适当提升辖内支行布局；新设宜宾二级分行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青岛分行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适当提升辖内支行布局；含在筹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武汉分行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适当提升辖内支行布局；含在筹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太原分行</w:t>
            </w:r>
          </w:p>
        </w:tc>
        <w:tc>
          <w:tcPr>
            <w:tcW w:type="dxa" w:w="2041"/>
            <w:vMerge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/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适当提升辖内支行布局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其他可批分行小计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73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上述7家分行新设支行合计12家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长沙分行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在筹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推进在筹支行开业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南宁分行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在筹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推进在筹支行开业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郑州分行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在筹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推进在筹支行开业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呼和浩特分行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在筹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推进在筹支行开业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西安分行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新设榆林二级分行；支行以存量提质为主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重庆分行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以存量提质为主，原则上不新增支行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天津分行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以存量提质为主，原则上不新增支行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南昌分行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新设赣州二级分行；支行以存量提质为主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沈阳分行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撤并1家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撤并辖内低效支行1家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兰州分行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撤并1家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撤并辖内低效支行1家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贵阳分行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撤并1家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撤并辖内低效支行1家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乌鲁木齐分行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新设一级分行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规划新设一级分行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海口分行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新设一级分行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规划新设一级分行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昆明分行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新设一级分行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规划新设一级分行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雄安分行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新设一级分行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规划新设一级分行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省外合计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新设支行78、撤并3；一级4、二级7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333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净新增86家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全行合计</w:t>
            </w:r>
          </w:p>
        </w:tc>
        <w:tc>
          <w:tcPr>
            <w:tcW w:type="dxa" w:w="204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净新增130</w:t>
            </w:r>
          </w:p>
        </w:tc>
        <w:tc>
          <w:tcPr>
            <w:tcW w:type="dxa" w:w="1587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500</w:t>
            </w:r>
          </w:p>
        </w:tc>
        <w:tc>
          <w:tcPr>
            <w:tcW w:type="dxa" w:w="3288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D6E3F0" w:val="clea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不含2家分行级专营机构</w:t>
            </w:r>
          </w:p>
        </w:tc>
      </w:tr>
    </w:tbl>
    <w:p>
      <w:pPr>
        <w:spacing w:before="40" w:after="160" w:lineRule="exact" w:line="360"/>
        <w:jc w:val="left"/>
      </w:pPr>
      <w:r>
        <w:rPr>
          <w:rFonts w:ascii="Times New Roman" w:hAnsi="Times New Roman" w:eastAsia="仿宋" w:cs="Times New Roman"/>
          <w:b w:val="0"/>
          <w:sz w:val="21"/>
        </w:rPr>
        <w:t>注：1.省外新设支行78家=重点分行52家+其他可批分行12家+在筹14家；撤并3家；净新增75家。2.济南、福州、合肥、成都、青岛、武汉、太原等7家分行规划新设支行合计12家，各分行具体数量按总行已明确安排执行。3.在筹14家分布在上海、南京、青岛、广州、长沙、济南、武汉、合肥、南宁、郑州、呼和浩特等分行，表中“含在筹”表示该行规划新设与在筹一并纳入2030年末总量。4.2030年末网点数量含一级分行、二级分行。5.布局导向不作为区县选址最终清单。</w:t>
      </w:r>
    </w:p>
    <w:p>
      <w:pPr>
        <w:spacing w:before="120" w:after="80" w:lineRule="exact" w:line="400"/>
        <w:jc w:val="center"/>
      </w:pPr>
      <w:r>
        <w:rPr>
          <w:rFonts w:ascii="Times New Roman" w:hAnsi="Times New Roman" w:eastAsia="黑体" w:cs="Times New Roman"/>
          <w:b/>
          <w:sz w:val="24"/>
        </w:rPr>
        <w:t>表4  规划总量平衡表</w:t>
      </w: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省内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省外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1F4E79" w:val="clear"/>
          </w:tcPr>
          <w:p>
            <w:pPr>
              <w:spacing w:before="40" w:after="40" w:line="276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全行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2025年末网点数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123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247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370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新设一级分行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新设二级分行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新设支行（含在筹）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44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78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122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其中：在筹支行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撤并支行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净新增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44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86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2030年末网点数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167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333</w:t>
            </w:r>
          </w:p>
        </w:tc>
        <w:tc>
          <w:tcPr>
            <w:tcW w:type="dxa" w:w="1984"/>
            <w:tcBorders>
              <w:top w:val="single" w:sz="4" w:space="0" w:color="5B7C99"/>
              <w:left w:val="single" w:sz="4" w:space="0" w:color="5B7C99"/>
              <w:bottom w:val="single" w:sz="4" w:space="0" w:color="5B7C99"/>
              <w:right w:val="single" w:sz="4" w:space="0" w:color="5B7C99"/>
            </w:tcBorders>
            <w:vAlign w:val="center"/>
            <w:shd w:fill="F4F7FB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500</w:t>
            </w:r>
          </w:p>
        </w:tc>
      </w:tr>
    </w:tbl>
    <w:p>
      <w:pPr>
        <w:spacing w:before="40" w:after="160" w:lineRule="exact" w:line="360"/>
        <w:jc w:val="left"/>
      </w:pPr>
      <w:r>
        <w:rPr>
          <w:rFonts w:ascii="Times New Roman" w:hAnsi="Times New Roman" w:eastAsia="仿宋" w:cs="Times New Roman"/>
          <w:b w:val="0"/>
          <w:sz w:val="21"/>
        </w:rPr>
        <w:t>注：2025年末、2030年末网点数均不含小企业信贷中心、资金营运中心等2家分行级专营机构。</w:t>
      </w:r>
    </w:p>
    <w:sectPr w:rsidR="00FC693F" w:rsidRPr="0006063C" w:rsidSect="00034616">
      <w:footerReference w:type="default" r:id="rId9"/>
      <w:pgSz w:w="11906" w:h="16838"/>
      <w:pgMar w:top="1587" w:right="1474" w:bottom="1474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 w:cs="Times New Roman"/>
        <w:b w:val="0"/>
        <w:sz w:val="21"/>
      </w:rPr>
      <w:t xml:space="preserve">— </w:t>
    </w:r>
    <w:r>
      <w:rPr>
        <w:rFonts w:ascii="Times New Roman" w:hAnsi="Times New Roman" w:eastAsia="仿宋" w:cs="Times New Roman"/>
        <w:b w:val="0"/>
        <w:sz w:val="21"/>
      </w:rPr>
      <w:fldChar w:fldCharType="begin"/>
      <w:instrText xml:space="preserve"> PAGE </w:instrText>
      <w:fldChar w:fldCharType="end"/>
    </w:r>
    <w:r>
      <w:rPr>
        <w:rFonts w:ascii="Times New Roman" w:hAnsi="Times New Roman" w:eastAsia="仿宋" w:cs="Times New Roman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