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400" w:lineRule="exact"/>
        <w:ind w:firstLine="0"/>
        <w:jc w:val="right"/>
      </w:pPr>
      <w:r>
        <w:rPr>
          <w:rFonts w:ascii="Times New Roman" w:hAnsi="Times New Roman" w:eastAsia="黑体"/>
          <w:b w:val="0"/>
          <w:sz w:val="24"/>
        </w:rPr>
        <w:t>内部资料  注意保密</w:t>
      </w:r>
    </w:p>
    <w:p>
      <w:pPr>
        <w:spacing w:before="240" w:after="320" w:line="640" w:lineRule="exact"/>
        <w:ind w:firstLine="0"/>
        <w:jc w:val="center"/>
      </w:pPr>
      <w:r>
        <w:rPr>
          <w:rFonts w:ascii="Times New Roman" w:hAnsi="Times New Roman" w:eastAsia="方正小标宋简体"/>
          <w:b/>
          <w:sz w:val="44"/>
        </w:rPr>
        <w:t>关于浙银理财2026年上半年经营管理情况的剖析及工作建议</w:t>
      </w:r>
    </w:p>
    <w:p>
      <w:pPr>
        <w:spacing w:before="0" w:after="120" w:line="560" w:lineRule="exact"/>
        <w:ind w:firstLine="0"/>
        <w:jc w:val="left"/>
      </w:pPr>
      <w:r>
        <w:rPr>
          <w:rFonts w:ascii="Times New Roman" w:hAnsi="Times New Roman" w:eastAsia="仿宋"/>
          <w:b w:val="0"/>
          <w:sz w:val="32"/>
        </w:rPr>
        <w:t>行领导：</w:t>
      </w:r>
    </w:p>
    <w:p>
      <w:pPr>
        <w:spacing w:before="0" w:after="0" w:line="560" w:lineRule="exact"/>
        <w:ind w:firstLine="420"/>
        <w:jc w:val="both"/>
      </w:pPr>
      <w:r>
        <w:rPr>
          <w:rFonts w:ascii="Times New Roman" w:hAnsi="Times New Roman" w:eastAsia="仿宋"/>
          <w:b w:val="0"/>
          <w:sz w:val="32"/>
        </w:rPr>
        <w:t>为贯彻落实母行半年度工作会议精神，切实履行总行对理财子公司“引领、赋能、管控”职责，发展规划部会同计划财务、风险管理、合规、零售、公司等条线，对浙银理财2026年上半年述职材料、月度经营报告、监管情况通报、2025年度评价意见以及计财部半年度经营分析等各方资料作了系统对照。总体上看，公司开业第二年承压前行，渠道拓展和集团协同有亮点，但核心经营指标与序时进度缺口较大，增长结构、盈利模式、投研能力和合规根基均暴露出需要从源头加以矫正的问题。现将剖析意见及工作建议报告如下。</w:t>
      </w:r>
    </w:p>
    <w:p>
      <w:pPr>
        <w:spacing w:before="0" w:after="0" w:line="560" w:lineRule="exact"/>
        <w:ind w:firstLine="420"/>
        <w:jc w:val="both"/>
      </w:pPr>
      <w:r>
        <w:rPr>
          <w:rFonts w:ascii="Times New Roman" w:hAnsi="Times New Roman" w:eastAsia="仿宋"/>
          <w:b w:val="0"/>
          <w:sz w:val="32"/>
        </w:rPr>
        <w:t>需要首先说明的是，对子公司半年度经营的审视，不宜停留在“指标有没有完成”这一层。舒总在金租评价中明确的导向，同样适用于理财子公司：看经营，不能只看规模进退，要看专业能力是否在长；不能只看协同投放，要看独立风控、独立定价和独立获客是否在强；不能把市场波动当作解释一切的理由，要区分共性压力与个性差距；发展必须服从风险和合规，政绩必须经得起监管评级和完整周期的检验。按照这一标尺衡量，浙银理财上半年“站稳了脚跟”的判断可以成立，但“能力在积累、模式在成型、质量在改善”的判断还为时尚早。</w:t>
      </w:r>
    </w:p>
    <w:p>
      <w:pPr>
        <w:spacing w:before="240" w:after="120" w:line="560" w:lineRule="exact"/>
        <w:ind w:firstLine="0"/>
        <w:jc w:val="center"/>
      </w:pPr>
      <w:r>
        <w:rPr>
          <w:rFonts w:ascii="Times New Roman" w:hAnsi="Times New Roman" w:eastAsia="黑体"/>
          <w:b w:val="0"/>
          <w:sz w:val="32"/>
        </w:rPr>
        <w:t>一、基本判断：成绩是阶段性的，结构是脆弱的，能力是欠账的</w:t>
      </w:r>
    </w:p>
    <w:p>
      <w:pPr>
        <w:spacing w:before="0" w:after="0" w:line="560" w:lineRule="exact"/>
        <w:ind w:firstLine="420"/>
        <w:jc w:val="both"/>
      </w:pPr>
      <w:r>
        <w:rPr>
          <w:rFonts w:ascii="Times New Roman" w:hAnsi="Times New Roman" w:eastAsia="仿宋"/>
          <w:b w:val="0"/>
          <w:sz w:val="32"/>
        </w:rPr>
        <w:t>应当客观肯定上半年的工作。面对债市震荡、权益和商品大幅波动、行业费率内卷和季末流动性收紧，公司守住了规模“浮出水面”的底线，6月末理财产品余额1847.17亿元，较年初增加22.60亿元；行外代销130.50亿元，较年初增长96%，准入机构111家、签约88家，浙江农商行社覆盖率显著提升；累计投放母行客户资产321.06亿元，其中省内非标投放占比59.5%，较年初提高近10个百分点；“吴越杯”主题产品净增超81亿元；一季度“纯固收”“固收+”投资能力在股份制理财子中分列第3、第2。这些情况说明，这支队伍能够打仗，也说明母行综合经营的制度安排正在产生实际贡献。</w:t>
      </w:r>
    </w:p>
    <w:p>
      <w:pPr>
        <w:spacing w:before="0" w:after="0" w:line="560" w:lineRule="exact"/>
        <w:ind w:firstLine="420"/>
        <w:jc w:val="both"/>
      </w:pPr>
      <w:r>
        <w:rPr>
          <w:rFonts w:ascii="Times New Roman" w:hAnsi="Times New Roman" w:eastAsia="仿宋"/>
          <w:b w:val="0"/>
          <w:sz w:val="32"/>
        </w:rPr>
        <w:t>但把上述亮点放到行业坐标和母行战略要求中去衡量，基本判断应当更冷静一些。股份行理财子上半年规模整体增长3.9%，广银理财增速高达38%，招银、信银、光大、浦银等主要依靠固收增强和混合类产品贡献增量；城商行中上银、北银增速在10%以上。本公司规模仅增1.24%，在股份制理财子中仅好于兴银、平安，与“高于行业平均的综合发展增速”要求相去甚远。更需要引起重视的是三个“背离”：</w:t>
      </w:r>
    </w:p>
    <w:p>
      <w:pPr>
        <w:spacing w:before="0" w:after="0" w:line="560" w:lineRule="exact"/>
        <w:ind w:firstLine="420"/>
        <w:jc w:val="both"/>
      </w:pPr>
      <w:r>
        <w:rPr>
          <w:rFonts w:ascii="Times New Roman" w:hAnsi="Times New Roman" w:eastAsia="仿宋"/>
          <w:b w:val="0"/>
          <w:sz w:val="32"/>
        </w:rPr>
        <w:t>一是规模与结构背离。账面微增22.60亿元，掩盖了主渠道失血：母行渠道余额1668亿元，较年初仅增约9亿元，其中母行零售较年初下降约26亿元；同业理财下降32亿元；直销渠道因上年年末同业赎回下降约50亿元。真正的增量几乎全部来自行外代销（+64亿元）和部分对公、最短持有期产品。增长靠“外”，失血在“内”，这不是健康的开局形态。</w:t>
      </w:r>
    </w:p>
    <w:p>
      <w:pPr>
        <w:spacing w:before="0" w:after="0" w:line="560" w:lineRule="exact"/>
        <w:ind w:firstLine="420"/>
        <w:jc w:val="both"/>
      </w:pPr>
      <w:r>
        <w:rPr>
          <w:rFonts w:ascii="Times New Roman" w:hAnsi="Times New Roman" w:eastAsia="仿宋"/>
          <w:b w:val="0"/>
          <w:sz w:val="32"/>
        </w:rPr>
        <w:t>二是业绩与保有量背离。1至5月，开放式产品期限匹配收益分位居市场前30%的规模占比由20.8%升至75.7%，一度处于同业前列；但同期规模并未同步扩张，2月更是错过行业修复窗口。6月市场波动后，该占比回落至35.6%，季末各渠道赎回超145亿元，母行渠道下旬赎回116亿元，创近五年二季度末回撤新高。“有阶段性好产品，没有稳定的保有量”，说明投研改善尚未转化为渠道信任和客户黏性。</w:t>
      </w:r>
    </w:p>
    <w:p>
      <w:pPr>
        <w:spacing w:before="0" w:after="0" w:line="560" w:lineRule="exact"/>
        <w:ind w:firstLine="420"/>
        <w:jc w:val="both"/>
      </w:pPr>
      <w:r>
        <w:rPr>
          <w:rFonts w:ascii="Times New Roman" w:hAnsi="Times New Roman" w:eastAsia="仿宋"/>
          <w:b w:val="0"/>
          <w:sz w:val="32"/>
        </w:rPr>
        <w:t>三是规模与效益背离。上半年实现营收1.59亿元、手续费净收入1.37亿元，预算完成率分别为44.4%、42.4%，慢于序时；手续费同比下降0.43亿元、降幅24%，其中业绩报酬同比下降92%。公司账面净利润0.42亿元，与2025年全年0.88亿元大体相当，并未因“完整年度”而出现盈利能力跃升。全量产品加权管理费率16.4bp，综合费率26.1bp，低于同业约8.8bp；新发产品综合费率19.7bp，低于同业约5.1bp。“规模勉强持平、收入明显下滑”，是当前经营最需要正视的矛盾。</w:t>
      </w:r>
    </w:p>
    <w:p>
      <w:pPr>
        <w:spacing w:before="0" w:after="0" w:line="560" w:lineRule="exact"/>
        <w:ind w:firstLine="420"/>
        <w:jc w:val="both"/>
      </w:pPr>
      <w:r>
        <w:rPr>
          <w:rFonts w:ascii="Times New Roman" w:hAnsi="Times New Roman" w:eastAsia="仿宋"/>
          <w:b w:val="0"/>
          <w:sz w:val="32"/>
        </w:rPr>
        <w:t>把三个背离连起来看，本质不是“市场不好”这一句话能够概括的。行业下行是共性，本公司“主渠道失血、费率下行、非标受困、权益空白、合规承压”是个性。公司仍处在从总行资管部门向持牌理财公司转换的过程中，部门制理财的路径依赖（非标增厚收益、母行渠道销售、协同投放换资源）仍强于公司制资管应有的能力结构（多资产配置、产品谱系、渠道经营、净值管理和合规内生）。2026年是开业后第一个完整年度，也是五年规划的定调之年。若下半年仍以“要政策、扩非标、降费率、冲时点”应对缺口，则有可能把开业红利和母行资源消耗在低质量规模上，错过真正的能力建设窗口。</w:t>
      </w:r>
    </w:p>
    <w:p>
      <w:pPr>
        <w:spacing w:before="240" w:after="120" w:line="560" w:lineRule="exact"/>
        <w:ind w:firstLine="0"/>
        <w:jc w:val="center"/>
      </w:pPr>
      <w:r>
        <w:rPr>
          <w:rFonts w:ascii="Times New Roman" w:hAnsi="Times New Roman" w:eastAsia="黑体"/>
          <w:b w:val="0"/>
          <w:sz w:val="32"/>
        </w:rPr>
        <w:t>二、问题剖析：透过指标看模式，透过协同看能力</w:t>
      </w:r>
    </w:p>
    <w:p>
      <w:pPr>
        <w:spacing w:before="160" w:after="80" w:line="560" w:lineRule="exact"/>
        <w:ind w:firstLine="0"/>
        <w:jc w:val="left"/>
      </w:pPr>
      <w:r>
        <w:rPr>
          <w:rFonts w:ascii="Times New Roman" w:hAnsi="Times New Roman" w:eastAsia="黑体"/>
          <w:b w:val="0"/>
          <w:sz w:val="32"/>
        </w:rPr>
        <w:t>（一）主阵地失血，增长质量不高，母行零售货架上出现“自家产品让位”</w:t>
      </w:r>
    </w:p>
    <w:p>
      <w:pPr>
        <w:spacing w:before="0" w:after="0" w:line="560" w:lineRule="exact"/>
        <w:ind w:firstLine="420"/>
        <w:jc w:val="both"/>
      </w:pPr>
      <w:r>
        <w:rPr>
          <w:rFonts w:ascii="Times New Roman" w:hAnsi="Times New Roman" w:eastAsia="仿宋"/>
          <w:b w:val="0"/>
          <w:sz w:val="32"/>
        </w:rPr>
        <w:t>理财子公司的基本盘首先是母行客群。国有理财子母行销售占比约80%，股份制和城商理财子约60%，本公司仍高达90%。高度依赖本身不是问题，问题在于：依赖度没有转化为保有量的稳定性。6月末母行零售理财（零售金融部口径）约1426亿元，较年初下降24亿元；而同期母行财富代销货架上，信托产品增加56.1亿元、他行理财增加36.8亿元、资管计划增加20.3亿元，三类合计增加113亿元。这三类正是含非标产品的主要替代。换言之，母行零售AUM在增长，增长被积存金和其他代销产品拿走，浙银理财不仅没有分享母行财富管理扩容，还在自己的主场让出了份额。</w:t>
      </w:r>
    </w:p>
    <w:p>
      <w:pPr>
        <w:spacing w:before="0" w:after="0" w:line="560" w:lineRule="exact"/>
        <w:ind w:firstLine="420"/>
        <w:jc w:val="both"/>
      </w:pPr>
      <w:r>
        <w:rPr>
          <w:rFonts w:ascii="Times New Roman" w:hAnsi="Times New Roman" w:eastAsia="仿宋"/>
          <w:b w:val="0"/>
          <w:sz w:val="32"/>
        </w:rPr>
        <w:t>这一现象不能简单归因为“季末冲存”。冲存是季末几天的事，零售较年初下降、2月未能跟随行业回升、现金管理类较年初下降约101亿元、涌金纯债开放式下降约56亿元，是持续一个季度以上的趋势。一线对净值波动的担忧、主题产品减费让利后的不可持续、T+0等场景功能迟迟未能面客、手机银行露出和柜面销售补齐偏慢，叠加对公理财激励政策上半年长期不明，共同造成“能卖的时候不敢加力、该守的时候守不住”。楼董事长在半年度讲话中指出的“对母行渠道经营深度不够、应对季末冲击准备不足、与母行相关部门协同不够紧密”，是符合实际的。从总行角度看，还要再问一句：公司是否真正把母行零售当成必须守住的基本盘，而不是把“行外高增长”当作可以对冲主渠道下滑的成绩？行外代销占比7%，行业30%、股份制理财子39%，空间确实很大；但行外不能替代行内。主场失守、客场补量，不是综合经营，是结构漂移。</w:t>
      </w:r>
    </w:p>
    <w:p>
      <w:pPr>
        <w:spacing w:before="160" w:after="80" w:line="560" w:lineRule="exact"/>
        <w:ind w:firstLine="0"/>
        <w:jc w:val="left"/>
      </w:pPr>
      <w:r>
        <w:rPr>
          <w:rFonts w:ascii="Times New Roman" w:hAnsi="Times New Roman" w:eastAsia="黑体"/>
          <w:b w:val="0"/>
          <w:sz w:val="32"/>
        </w:rPr>
        <w:t>（二）“有产品、无转化”，母子协同仍停在资源供给，尚未形成经营闭环</w:t>
      </w:r>
    </w:p>
    <w:p>
      <w:pPr>
        <w:spacing w:before="0" w:after="0" w:line="560" w:lineRule="exact"/>
        <w:ind w:firstLine="420"/>
        <w:jc w:val="both"/>
      </w:pPr>
      <w:r>
        <w:rPr>
          <w:rFonts w:ascii="Times New Roman" w:hAnsi="Times New Roman" w:eastAsia="仿宋"/>
          <w:b w:val="0"/>
          <w:sz w:val="32"/>
        </w:rPr>
        <w:t>翁总在条线意见中指出，理财子面临的核心问题，是如何在拥有好产品的基础上，有效配置本行资产与外部资产，以应对市场波动；并强调不应局限于当下困境，要更多关注未来空间。这一判断是准确的。上半年前五个月，公司固收策略产品业绩分位显著改善，吴越杯、代发工资、深耕浙江等主题产品发行70余款、金额88亿元，按理具备“用业绩换规模”的窗口。但窗口没有转化成保有量。根子在于协同机制是“供给型”而非“经营型”：</w:t>
      </w:r>
    </w:p>
    <w:p>
      <w:pPr>
        <w:spacing w:before="0" w:after="0" w:line="560" w:lineRule="exact"/>
        <w:ind w:firstLine="420"/>
        <w:jc w:val="both"/>
      </w:pPr>
      <w:r>
        <w:rPr>
          <w:rFonts w:ascii="Times New Roman" w:hAnsi="Times New Roman" w:eastAsia="仿宋"/>
          <w:b w:val="0"/>
          <w:sz w:val="32"/>
        </w:rPr>
        <w:t>资产端，公司上半年投放母行客户资产321亿元，对集团客户和资本工具发行的支持是实打实的。但非标占比1月末一度升至14.7%，紧贴董事会风险偏好15%的上限，并已引起监管关注；含非标的富春系列成为规模引擎的同时，也把“做大分母”变成了发行和投放的前提条件。于是出现一个自我循环：要服务母行非标和资本工具，就要做大不含非标的产品规模；不含非标产品上不去，非标额度就卡住；额度一卡住，高收益资产组织受阻，产品竞争力又下降。这不是资产配置问题，是经营模式把非标当成了收益和协同的“总开关”。</w:t>
      </w:r>
    </w:p>
    <w:p>
      <w:pPr>
        <w:spacing w:before="0" w:after="0" w:line="560" w:lineRule="exact"/>
        <w:ind w:firstLine="420"/>
        <w:jc w:val="both"/>
      </w:pPr>
      <w:r>
        <w:rPr>
          <w:rFonts w:ascii="Times New Roman" w:hAnsi="Times New Roman" w:eastAsia="仿宋"/>
          <w:b w:val="0"/>
          <w:sz w:val="32"/>
        </w:rPr>
        <w:t>负债端，母行在代销费率（5—10bp，低于他行10—20bp）和理财经理考核挂钩（本行理财按35bp、他行仅5—20bp）上给予了远超同业的政策倾斜。这是孵化期应有的支持，但政策红利没有变成规模红利。对公理财折算存款等政策衔接不及时，分行积极性减弱，6月对公理财单月下降39亿元，其中不乏奇瑞、快手等大型客户因内部安排集中赎回，说明机构理财的稳定性、契约安排和流动性管理仍偏弱。协同如果主要体现为“母行给政策、给资产、给客户，子公司要规模、要减费、要调考核”，则协同会异化为路径依赖。按照金租评价的同一导向，协同不能替代自身专业能力。在理财子身上同样成立：能投放母行资产，不等于会经营母行客户；能拿到考核倾斜，不等于能在货架上赢过信托和他行理财。</w:t>
      </w:r>
    </w:p>
    <w:p>
      <w:pPr>
        <w:spacing w:before="160" w:after="80" w:line="560" w:lineRule="exact"/>
        <w:ind w:firstLine="0"/>
        <w:jc w:val="left"/>
      </w:pPr>
      <w:r>
        <w:rPr>
          <w:rFonts w:ascii="Times New Roman" w:hAnsi="Times New Roman" w:eastAsia="黑体"/>
          <w:b w:val="0"/>
          <w:sz w:val="32"/>
        </w:rPr>
        <w:t>（三）费率剪刀差正在塑造不可持续的盈利模式，“减费让利”有被当成增长手段的倾向</w:t>
      </w:r>
    </w:p>
    <w:p>
      <w:pPr>
        <w:spacing w:before="0" w:after="0" w:line="560" w:lineRule="exact"/>
        <w:ind w:firstLine="420"/>
        <w:jc w:val="both"/>
      </w:pPr>
      <w:r>
        <w:rPr>
          <w:rFonts w:ascii="Times New Roman" w:hAnsi="Times New Roman" w:eastAsia="仿宋"/>
          <w:b w:val="0"/>
          <w:sz w:val="32"/>
        </w:rPr>
        <w:t>上半年手续费同比下降24%，表面是费率内卷和规模不及预期，深层是产品结构与定价策略出了问题。开放式产品平均管理费率18.6bp，封闭式仅11.7bp；开放式较年初下降55亿元，封闭式增加78亿元。开放式每少100亿元，约需新增封闭式160亿元才能对冲管理费缺口。存量产品平均管理费率22.9bp，新发产品仅10.9bp；资金流出费率18.6bp，流入费率11.7bp。这是典型的“高费率存量到期、低费率增量承接”。计财部测算，综合费率每下行1bp，影响存量约1800亿元规模的收入约1700万元。若下半年继续以10bp左右新发费率冲规模，即使年末勉强接近2300亿元，营收缺口仍可能扩大。</w:t>
      </w:r>
    </w:p>
    <w:p>
      <w:pPr>
        <w:spacing w:before="0" w:after="0" w:line="560" w:lineRule="exact"/>
        <w:ind w:firstLine="420"/>
        <w:jc w:val="both"/>
      </w:pPr>
      <w:r>
        <w:rPr>
          <w:rFonts w:ascii="Times New Roman" w:hAnsi="Times New Roman" w:eastAsia="仿宋"/>
          <w:b w:val="0"/>
          <w:sz w:val="32"/>
        </w:rPr>
        <w:t>更需要警惕的是，减费正在从“阶段性营销工具”变成“弥补能力不足的常规手段”。吴越杯、深耕浙江等主题产品靠减费推动发行；现管类直销份额管理费低至1bp；为协同母行资本工具换量，长久期债券在产品端形成净值压力，反过来又抑制销售和费率。公司已三次调升约330亿元产品费率、静态增厚收入约1800万元，说明费率管理开始有意识，但5至6月管理费率再度下行，全年压力很大。对标同业，现管类、固收增强类综合费率分别低于同业最低水平1.2bp、4.6bp。定价低于同业又不能稳定胜出同业的收益，客户为什么要长期留在本公司？</w:t>
      </w:r>
    </w:p>
    <w:p>
      <w:pPr>
        <w:spacing w:before="0" w:after="0" w:line="560" w:lineRule="exact"/>
        <w:ind w:firstLine="420"/>
        <w:jc w:val="both"/>
      </w:pPr>
      <w:r>
        <w:rPr>
          <w:rFonts w:ascii="Times New Roman" w:hAnsi="Times New Roman" w:eastAsia="仿宋"/>
          <w:b w:val="0"/>
          <w:sz w:val="32"/>
        </w:rPr>
        <w:t>理财公司进入“真净值化、低利率、强监管”的三重约束后，能活下来的是“中等偏高且可解释的收益+匹配的费率”，而不是“更低的费率+更不稳的净值”。用费率换规模，短期可以美化保有量，中期必然伤害ROE和人才吸引力，长期会把公司锁死在低附加值通道角色上。这与“关注未来空间”的要求是相反的。</w:t>
      </w:r>
    </w:p>
    <w:p>
      <w:pPr>
        <w:spacing w:before="160" w:after="80" w:line="560" w:lineRule="exact"/>
        <w:ind w:firstLine="0"/>
        <w:jc w:val="left"/>
      </w:pPr>
      <w:r>
        <w:rPr>
          <w:rFonts w:ascii="Times New Roman" w:hAnsi="Times New Roman" w:eastAsia="黑体"/>
          <w:b w:val="0"/>
          <w:sz w:val="32"/>
        </w:rPr>
        <w:t>（四）资产配置仍是“非标偏高、权益近乎空白”，公司制资管的能力结构尚未建立</w:t>
      </w:r>
    </w:p>
    <w:p>
      <w:pPr>
        <w:spacing w:before="0" w:after="0" w:line="560" w:lineRule="exact"/>
        <w:ind w:firstLine="420"/>
        <w:jc w:val="both"/>
      </w:pPr>
      <w:r>
        <w:rPr>
          <w:rFonts w:ascii="Times New Roman" w:hAnsi="Times New Roman" w:eastAsia="仿宋"/>
          <w:b w:val="0"/>
          <w:sz w:val="32"/>
        </w:rPr>
        <w:t>6月末，公司债券类资产（含存单）占比60.35%，明显高于同业；非标债权约12%，约为行业平均5.1%的两倍，也高于国有、股份、城商理财子6%左右的水平；现金及银行存款15.86%，低于同业20%至28%的区间；权益类资产仅0.05%，同业普遍在1.3%至3.4%。监管2025年通报已明确指出：非标占比显著偏高，AA及以下（含无评级）融资人占比46.6%，开放式产品高流动性资产占比仅2.4%。上半年非标占比虽回落至12.3%附近，但“结构特征”没有变：固收多、现管少、权益少、非标重。</w:t>
      </w:r>
    </w:p>
    <w:p>
      <w:pPr>
        <w:spacing w:before="0" w:after="0" w:line="560" w:lineRule="exact"/>
        <w:ind w:firstLine="420"/>
        <w:jc w:val="both"/>
      </w:pPr>
      <w:r>
        <w:rPr>
          <w:rFonts w:ascii="Times New Roman" w:hAnsi="Times New Roman" w:eastAsia="仿宋"/>
          <w:b w:val="0"/>
          <w:sz w:val="32"/>
        </w:rPr>
        <w:t>这一结构与行业增量来源是错位的。今年股份行理财子中增长较好的机构，增量主要来自固收增强和混合类；本公司固收增强及混合类上半年新增约88亿元，有进步，但支撑手段主要是打新、FOF和委外，而不是自主权益和多资产能力。6月末投资合作机构规模1004亿元、占总规模54.3%，平均管理费率5.2bp；多策略、权益部门合作机构费率占产品管理费的比例仍然偏高。委外作为能力建设的“桥”是必要的，作为商业模式的“路”则是危险的——规模在自己账上，能力在别人家里，费率还要分出去。固收投资部6月日均规模进度仅18%、管理费进度39%；权益、多策略规模进度过半，但费率显著低于核定水平，管理费进度约30%。部门间“有规模的缺费率、有费率的缺规模”，说明产品谱系、投资授权和考核尚未咬合。</w:t>
      </w:r>
    </w:p>
    <w:p>
      <w:pPr>
        <w:spacing w:before="0" w:after="0" w:line="560" w:lineRule="exact"/>
        <w:ind w:firstLine="420"/>
        <w:jc w:val="both"/>
      </w:pPr>
      <w:r>
        <w:rPr>
          <w:rFonts w:ascii="Times New Roman" w:hAnsi="Times New Roman" w:eastAsia="仿宋"/>
          <w:b w:val="0"/>
          <w:sz w:val="32"/>
        </w:rPr>
        <w:t>前瞻地看，低利率环境下，纯票息策略的空间会继续收窄；若不能在可转债、红利、行业主题、REITs、指数增强等方向形成可复制的超额，所谓“固收+”只能停留在营销概念。人才方面，量化、权益等关键岗位仍在招聘，校园招聘拟录用12人，远水解不了近渴。没有与战略匹配的投研队伍，五年规划写得再完整，落地的仍会是非标和短债。金租评价把专业化作为安身立命之本，理财子的专业化就是投研。投研上不去，渠道拓得越宽，越是把波动和不稳定性输送给更多客户。</w:t>
      </w:r>
    </w:p>
    <w:p>
      <w:pPr>
        <w:spacing w:before="160" w:after="80" w:line="560" w:lineRule="exact"/>
        <w:ind w:firstLine="0"/>
        <w:jc w:val="left"/>
      </w:pPr>
      <w:r>
        <w:rPr>
          <w:rFonts w:ascii="Times New Roman" w:hAnsi="Times New Roman" w:eastAsia="黑体"/>
          <w:b w:val="0"/>
          <w:sz w:val="32"/>
        </w:rPr>
        <w:t>（五）对监管问题的认识仍偏“迎检应对”，合规内控尚未成为经营的内生约束</w:t>
      </w:r>
    </w:p>
    <w:p>
      <w:pPr>
        <w:spacing w:before="0" w:after="0" w:line="560" w:lineRule="exact"/>
        <w:ind w:firstLine="420"/>
        <w:jc w:val="both"/>
      </w:pPr>
      <w:r>
        <w:rPr>
          <w:rFonts w:ascii="Times New Roman" w:hAnsi="Times New Roman" w:eastAsia="仿宋"/>
          <w:b w:val="0"/>
          <w:sz w:val="32"/>
        </w:rPr>
        <w:t>2025年监管通报在总体肯定的同时，明确点出投资运作、风险管理与内控合规、投资者权益保护三方面问题，包括非标管控不严、产品信息登记差错、整改台账不完整、清算期资金孳息管理不规范等。2026年上半年现场检查标准更高、挖掘更深。据公司6月报告，检查组已出具两批共56份事实确认书（沟通版），涉及29类问题，其中风险资产回表、超范围投资、经营独立性、风险限额突破等可能面临较重定性。这已经不是“新机构经验不足”可以轻轻带过的阶段。</w:t>
      </w:r>
    </w:p>
    <w:p>
      <w:pPr>
        <w:spacing w:before="0" w:after="0" w:line="560" w:lineRule="exact"/>
        <w:ind w:firstLine="420"/>
        <w:jc w:val="both"/>
      </w:pPr>
      <w:r>
        <w:rPr>
          <w:rFonts w:ascii="Times New Roman" w:hAnsi="Times New Roman" w:eastAsia="仿宋"/>
          <w:b w:val="0"/>
          <w:sz w:val="32"/>
        </w:rPr>
        <w:t>需要纠正一种表述上的倾向：把监管检查说成“牵制了正常经营节奏”。检查当然占用资源，但检查揭示的是经营方式本身。限额可以“逼近再沟通”、产品可以“错登再补正”、孳息可以“截留再整改”，说明内控的第一道防线没有在业务发生时生效。理财公司的生命线是投资者信任和监管评级。开业第二年若在独立性、超范围、限额、投资者权益上形成实质性负面评价，对后续资格申请、渠道准入、同业合作的影响，会远大于半年少做一百亿规模。舒总在金租评价中把风险合规放在发展前面，不是套话。对理财子而言，整改必须见人、见制、见长期机制，而不能止于“解释沟通、降低影响”。尤其是经营独立性问题，直接关系到母子协同的合法边界：协同必须市场化、可审计、可隔离；不能把母行资产投放、资本工具换量做成事实上的利益输送或风险隐匿。</w:t>
      </w:r>
    </w:p>
    <w:p>
      <w:pPr>
        <w:spacing w:before="160" w:after="80" w:line="560" w:lineRule="exact"/>
        <w:ind w:firstLine="0"/>
        <w:jc w:val="left"/>
      </w:pPr>
      <w:r>
        <w:rPr>
          <w:rFonts w:ascii="Times New Roman" w:hAnsi="Times New Roman" w:eastAsia="黑体"/>
          <w:b w:val="0"/>
          <w:sz w:val="32"/>
        </w:rPr>
        <w:t>（六）主观差距被外部叙事稀释，攻坚的颗粒度不够</w:t>
      </w:r>
    </w:p>
    <w:p>
      <w:pPr>
        <w:spacing w:before="0" w:after="0" w:line="560" w:lineRule="exact"/>
        <w:ind w:firstLine="420"/>
        <w:jc w:val="both"/>
      </w:pPr>
      <w:r>
        <w:rPr>
          <w:rFonts w:ascii="Times New Roman" w:hAnsi="Times New Roman" w:eastAsia="仿宋"/>
          <w:b w:val="0"/>
          <w:sz w:val="32"/>
        </w:rPr>
        <w:t>公司自查列出了规模营收落后、投研不足、渠道“外增内降”、监管压力、数智化不够等五方面问题，楼董事长进一步指出攻坚力度不足、渠道效能释放不足、创新不足、产品闭环未形成、人才滞后等。这些问题都存在。从总行管理部门角度看，还要防止“问题清单很全、归因过于外部化”。</w:t>
      </w:r>
    </w:p>
    <w:p>
      <w:pPr>
        <w:spacing w:before="0" w:after="0" w:line="560" w:lineRule="exact"/>
        <w:ind w:firstLine="420"/>
        <w:jc w:val="both"/>
      </w:pPr>
      <w:r>
        <w:rPr>
          <w:rFonts w:ascii="Times New Roman" w:hAnsi="Times New Roman" w:eastAsia="仿宋"/>
          <w:b w:val="0"/>
          <w:sz w:val="32"/>
        </w:rPr>
        <w:t>同样的上半年，股份行理财子整体正增长，头部机构靠固收增强和混合类拿到了增量；本公司2月没有抓住行业回升，5至6月行外和零售增长同时放缓，6月业绩分位快速回吐。市场波动、开门红存款分流、费率内卷，是所有理财子都面对的。别人能做的结构迁移，我们更多还在用非标和减费应对；别人能做的渠道深耕，我们还停在准入和协议；别人能做的投研转化，我们报告写了不少，产品端“舒适区”仍在传统固收。大客户拓展偏弱、资金来源稳定性不足、开放式产品减费偏随意、对公政策等协调事项久拖不决，这些都不是市场决定的。第一个完整年度，最怕的不是指标落后，而是把落后解释成“环境如此”，从而把下半年的努力方向继续放在要政策、要调考核、要母行让利上。</w:t>
      </w:r>
    </w:p>
    <w:p>
      <w:pPr>
        <w:spacing w:before="240" w:after="120" w:line="560" w:lineRule="exact"/>
        <w:ind w:firstLine="0"/>
        <w:jc w:val="center"/>
      </w:pPr>
      <w:r>
        <w:rPr>
          <w:rFonts w:ascii="Times New Roman" w:hAnsi="Times New Roman" w:eastAsia="黑体"/>
          <w:b w:val="0"/>
          <w:sz w:val="32"/>
        </w:rPr>
        <w:t>三、趋势研判：行业进入存量博弈，窗口期比指标更珍贵</w:t>
      </w:r>
    </w:p>
    <w:p>
      <w:pPr>
        <w:spacing w:before="0" w:after="0" w:line="560" w:lineRule="exact"/>
        <w:ind w:firstLine="420"/>
        <w:jc w:val="both"/>
      </w:pPr>
      <w:r>
        <w:rPr>
          <w:rFonts w:ascii="Times New Roman" w:hAnsi="Times New Roman" w:eastAsia="仿宋"/>
          <w:b w:val="0"/>
          <w:sz w:val="32"/>
        </w:rPr>
        <w:t>向前看，有几条趋势已经比较清楚，应当作为总行对理财子管控的前提，而不是作为子公司解释差距的借口。</w:t>
      </w:r>
    </w:p>
    <w:p>
      <w:pPr>
        <w:spacing w:before="0" w:after="0" w:line="560" w:lineRule="exact"/>
        <w:ind w:firstLine="420"/>
        <w:jc w:val="both"/>
      </w:pPr>
      <w:r>
        <w:rPr>
          <w:rFonts w:ascii="Times New Roman" w:hAnsi="Times New Roman" w:eastAsia="仿宋"/>
          <w:b w:val="0"/>
          <w:sz w:val="32"/>
        </w:rPr>
        <w:t>第一，理财行业的主矛盾已经从“规模扩张”转为“真净值化条件下的能力竞争”。2026年上半年全市场理财规模仅增约0.9%，公募、私募仍在分流。低利率叠加监管收紧，靠拉长久期、下沉信用、抬高非标来维持“类刚兑体验”的空间会越来越小。未来两三年，监管评级、信息披露、销售合规会把机构分成“可拓展资格的”和“被限制资格的”。对开业仅一年半的公司，评级和现场检查的“首印效应”会持续影响渠道和同业信任。</w:t>
      </w:r>
    </w:p>
    <w:p>
      <w:pPr>
        <w:spacing w:before="0" w:after="0" w:line="560" w:lineRule="exact"/>
        <w:ind w:firstLine="420"/>
        <w:jc w:val="both"/>
      </w:pPr>
      <w:r>
        <w:rPr>
          <w:rFonts w:ascii="Times New Roman" w:hAnsi="Times New Roman" w:eastAsia="仿宋"/>
          <w:b w:val="0"/>
          <w:sz w:val="32"/>
        </w:rPr>
        <w:t>第二，母行财富货架正在发生不可逆的多元化。积存金、信托、他行理财、基金已经证明，母行零售客户并不天然属于浙银理财。若不能在稳健低波、场景结算、权益增强三条产品线上形成可感知差异，35bp的考核倾斜也挡不住货架迁移。T+0、质押入池、柜面销售、财资平台等基础设施拖得越久，现金类和短端客户流失越难逆转。</w:t>
      </w:r>
    </w:p>
    <w:p>
      <w:pPr>
        <w:spacing w:before="0" w:after="0" w:line="560" w:lineRule="exact"/>
        <w:ind w:firstLine="420"/>
        <w:jc w:val="both"/>
      </w:pPr>
      <w:r>
        <w:rPr>
          <w:rFonts w:ascii="Times New Roman" w:hAnsi="Times New Roman" w:eastAsia="仿宋"/>
          <w:b w:val="0"/>
          <w:sz w:val="32"/>
        </w:rPr>
        <w:t>第三，2026年下半年如果简单锚定2300亿元年目标强冲，风险在于“用错误的方法完成正确的任务”。按计财部测算，下半年需新增约453亿元规模、再实现约1.99亿元营收；若新发费率维持10bp、开放式继续被封闭式替换，营收缺口会大于规模缺口。更严重的是，强冲规模最便捷的三个阀门——提高非标、降低费率、放松内部限额——恰恰是监管和现场检查最敏感的三个阀门。正确的政绩观，是宁可规模慢一点，也不能在整改期留下新的实质性问题。</w:t>
      </w:r>
    </w:p>
    <w:p>
      <w:pPr>
        <w:spacing w:before="0" w:after="0" w:line="560" w:lineRule="exact"/>
        <w:ind w:firstLine="420"/>
        <w:jc w:val="both"/>
      </w:pPr>
      <w:r>
        <w:rPr>
          <w:rFonts w:ascii="Times New Roman" w:hAnsi="Times New Roman" w:eastAsia="仿宋"/>
          <w:b w:val="0"/>
          <w:sz w:val="32"/>
        </w:rPr>
        <w:t>第四，本公司真正的未来空间，不在与招银、广银比绝对规模，而在把“深耕浙江+母行综合经营+信用研究与非标质量+稳健低波产品”做成可识别的标签。浙江客群、省内产业、母行战略客户、农商渠道，是多数全国性理财子拿不到的禀赋。把禀赋做成能力，需要的是三年的投研和系统投入，不是半年的营销战役。五年规划若仍以“规模进位”为第一叙事，而不把投资能力、回撤控制和监管评级写进硬约束，则规划本身会把公司带偏。</w:t>
      </w:r>
    </w:p>
    <w:p>
      <w:pPr>
        <w:spacing w:before="240" w:after="120" w:line="560" w:lineRule="exact"/>
        <w:ind w:firstLine="0"/>
        <w:jc w:val="center"/>
      </w:pPr>
      <w:r>
        <w:rPr>
          <w:rFonts w:ascii="Times New Roman" w:hAnsi="Times New Roman" w:eastAsia="黑体"/>
          <w:b w:val="0"/>
          <w:sz w:val="32"/>
        </w:rPr>
        <w:t>四、工作建议</w:t>
      </w:r>
    </w:p>
    <w:p>
      <w:pPr>
        <w:spacing w:before="0" w:after="0" w:line="560" w:lineRule="exact"/>
        <w:ind w:firstLine="420"/>
        <w:jc w:val="both"/>
      </w:pPr>
      <w:r>
        <w:rPr>
          <w:rFonts w:ascii="Times New Roman" w:hAnsi="Times New Roman" w:eastAsia="仿宋"/>
          <w:b w:val="0"/>
          <w:sz w:val="32"/>
        </w:rPr>
        <w:t>建议按照“先定坐标、再补能力、严守底线、优化协同”的顺序推进，避免下半年只在指标层面加码。</w:t>
      </w:r>
    </w:p>
    <w:p>
      <w:pPr>
        <w:spacing w:before="160" w:after="80" w:line="560" w:lineRule="exact"/>
        <w:ind w:firstLine="0"/>
        <w:jc w:val="left"/>
      </w:pPr>
      <w:r>
        <w:rPr>
          <w:rFonts w:ascii="Times New Roman" w:hAnsi="Times New Roman" w:eastAsia="黑体"/>
          <w:b w:val="0"/>
          <w:sz w:val="32"/>
        </w:rPr>
        <w:t>（一）对浙银理财：把第一个完整年度用在“定模式”而不是“贴指标”</w:t>
      </w:r>
    </w:p>
    <w:p>
      <w:pPr>
        <w:spacing w:before="0" w:after="0" w:line="560" w:lineRule="exact"/>
        <w:ind w:firstLine="420"/>
        <w:jc w:val="both"/>
      </w:pPr>
      <w:r>
        <w:rPr>
          <w:rFonts w:ascii="Times New Roman" w:hAnsi="Times New Roman" w:eastAsia="仿宋"/>
          <w:b w:val="0"/>
          <w:sz w:val="32"/>
        </w:rPr>
        <w:t>1. 尽快明确可执行的战略坐标，防止“什么都做、什么都不强”。建议公司在三季度内向母行报送五年规划框架，用不超过三句话讲清：对客户提供什么不可替代的产品体验，对集团贡献什么不可替代的综合价值，对同业形成什么可感知的差异。建议明确“有所为有所不为”：做强稳健低波的固收和最短持有期产品，做实有超额的固收增强，做精服务浙江和母行战略客户的定制；不把现金类做成亏损引流，不把高弹性权益做成没有投研支撑的营销口号，不把非标做成规模和收益的总开关。年度规模目标可在复盘后评估是否需要结构性调整，但调整必须经母行同意，不能把缺口默认用费率和非标去补。</w:t>
      </w:r>
    </w:p>
    <w:p>
      <w:pPr>
        <w:spacing w:before="0" w:after="0" w:line="560" w:lineRule="exact"/>
        <w:ind w:firstLine="420"/>
        <w:jc w:val="both"/>
      </w:pPr>
      <w:r>
        <w:rPr>
          <w:rFonts w:ascii="Times New Roman" w:hAnsi="Times New Roman" w:eastAsia="仿宋"/>
          <w:b w:val="0"/>
          <w:sz w:val="32"/>
        </w:rPr>
        <w:t>2. 把投研从“报告产出+委外组装”转到“可归因的超额能力”。建议对标金租评价所强调的专业化导向，列出权益、转债、REITs、量化、信用下沉与出清等关键能力的“自主比例、人员配置、系统工具、风险限额”四张清单，明确2026年底和2027年底必须内化到什么程度。委外规模占比应设定下降路径，合作机构费率继续压降，严禁“用高费率SPV购买表面业绩”。产品业绩评价必须闭环到货架进出、投资经理任用和费率权限，不能再出现“分位很好、规模不长、回撤一来迅速掉队”。6月业绩分位回吐，要做复盘，见策略、见纪律、见责任人。</w:t>
      </w:r>
    </w:p>
    <w:p>
      <w:pPr>
        <w:spacing w:before="0" w:after="0" w:line="560" w:lineRule="exact"/>
        <w:ind w:firstLine="420"/>
        <w:jc w:val="both"/>
      </w:pPr>
      <w:r>
        <w:rPr>
          <w:rFonts w:ascii="Times New Roman" w:hAnsi="Times New Roman" w:eastAsia="仿宋"/>
          <w:b w:val="0"/>
          <w:sz w:val="32"/>
        </w:rPr>
        <w:t>3. 用“做大分母、做稳净值、做厚流动性”替换“做高非标”。不含非标的开放式、日开、现管（在符合监管和定价原则前提下）是非标业务的前提，不是非标业务的剩余。建议设定非标占比、AA及以下占比、单一融资人集中度、开放式产品高流动性资产占比四条内控红线，原则上只减不增，并与监管通报整改一并交董事会审议。富春、庆春等含非标产品要按到期节奏优化，避免高比例非标产品成为销售习惯。对母行资产的支持，优先通过标准化债券、资本工具市场化投资和优质省内项目实现，把有限非标额度用在真正服务浙江实体、风险可穿透的项目上。</w:t>
      </w:r>
    </w:p>
    <w:p>
      <w:pPr>
        <w:spacing w:before="0" w:after="0" w:line="560" w:lineRule="exact"/>
        <w:ind w:firstLine="420"/>
        <w:jc w:val="both"/>
      </w:pPr>
      <w:r>
        <w:rPr>
          <w:rFonts w:ascii="Times New Roman" w:hAnsi="Times New Roman" w:eastAsia="仿宋"/>
          <w:b w:val="0"/>
          <w:sz w:val="32"/>
        </w:rPr>
        <w:t>4. 渠道策略从“准入竞赛”转向“产能经营”，主场必须止跌。行外111家准入已经处在股份行理财子第二年的较好水平，下半年的主要矛盾不是再报一批省外农商，而是把浙江农商、民生、微众、网商等已准入渠道做成可复制的保有量。对母行零售，要提出“止跌—回升”的分月路径，把现金类和涌金系列的流失作为专项，而不是用封闭式对冲了事；对母行对公，要解决大客户赎回无预案、定制产品无法沉淀的问题，建立机构客户合约期限、流动性安排和质押入池的标准动作。减费让利必须设定触发条件和退出时点，开放式产品原则上不得再以牺牲费率换规模。</w:t>
      </w:r>
    </w:p>
    <w:p>
      <w:pPr>
        <w:spacing w:before="0" w:after="0" w:line="560" w:lineRule="exact"/>
        <w:ind w:firstLine="420"/>
        <w:jc w:val="both"/>
      </w:pPr>
      <w:r>
        <w:rPr>
          <w:rFonts w:ascii="Times New Roman" w:hAnsi="Times New Roman" w:eastAsia="仿宋"/>
          <w:b w:val="0"/>
          <w:sz w:val="32"/>
        </w:rPr>
        <w:t>5. 把现场检查“后半篇文章”做成治理工程。建议公司党委把监管通报和现场检查问题作为下半年党建与经营的共同议题，整改台账覆盖非现场提示、日常监管和现场事实确认的全部问题，做到“问题、根源、制度、系统、责任人、问责”六对应。对可能涉及独立性、超范围、限额突破、投资者权益的问题，不得以“沟通降低影响”为第一目标，而以“定性可控、整改彻底、同类问题不再发生”为第一目标。登记数据、估值、销售适当性、清算孳息、关联交易，要作为内控评价的否决项。同时加快制度、授权、限额、信评预警的线上化，避免内控停留在发文层面。</w:t>
      </w:r>
    </w:p>
    <w:p>
      <w:pPr>
        <w:spacing w:before="160" w:after="80" w:line="560" w:lineRule="exact"/>
        <w:ind w:firstLine="0"/>
        <w:jc w:val="left"/>
      </w:pPr>
      <w:r>
        <w:rPr>
          <w:rFonts w:ascii="Times New Roman" w:hAnsi="Times New Roman" w:eastAsia="黑体"/>
          <w:b w:val="0"/>
          <w:sz w:val="32"/>
        </w:rPr>
        <w:t>（二）对总行：赋能要有约束，管控要有穿透，协同要算总账</w:t>
      </w:r>
    </w:p>
    <w:p>
      <w:pPr>
        <w:spacing w:before="0" w:after="0" w:line="560" w:lineRule="exact"/>
        <w:ind w:firstLine="420"/>
        <w:jc w:val="both"/>
      </w:pPr>
      <w:r>
        <w:rPr>
          <w:rFonts w:ascii="Times New Roman" w:hAnsi="Times New Roman" w:eastAsia="仿宋"/>
          <w:b w:val="0"/>
          <w:sz w:val="32"/>
        </w:rPr>
        <w:t>1. 协同政策从“无条件输血”转为“有约束的赋能”。零售35bp考核挂钩、对公理财激励、代销10bp分发，是孵化期的必要安排，但必须与子公司产品业绩、母行渠道保有量、合规评价挂钩。建议明确：母行倾斜政策以子公司主渠道规模止跌回升、综合费率不再系统性低于同业、监管整改按期闭环为前提；对公理财折算或绩效激励尽快予以明确，避免政策空窗打击一线，但激励应更多导向不含非标、净值稳健、期限匹配的产品，而不是导向冲时点的对公搬家资金。行外代销协同方案应加快出台，同时防止子公司把主要精力继续放在“要政策”上。</w:t>
      </w:r>
    </w:p>
    <w:p>
      <w:pPr>
        <w:spacing w:before="0" w:after="0" w:line="560" w:lineRule="exact"/>
        <w:ind w:firstLine="420"/>
        <w:jc w:val="both"/>
      </w:pPr>
      <w:r>
        <w:rPr>
          <w:rFonts w:ascii="Times New Roman" w:hAnsi="Times New Roman" w:eastAsia="仿宋"/>
          <w:b w:val="0"/>
          <w:sz w:val="32"/>
        </w:rPr>
        <w:t>2. 建立对理财子的穿透式管控，落实“强总行”的管控职责。建议由发展规划部牵头，计划财务、风险、合规、审计参与，按季向行领导报送理财子“规模质量、费率与经济利润、非标与流动性、投研自主率、监管整改、母行货架份额”六张看板，改变目前主要依赖子公司月报自我叙述的状况。对标金租管理经验，对实质性突破风险偏好、监管限额或整改逾期的，应启动母行层面的质询，而不是等到年度评价再算总账。高管履职、薪酬延期与追索，要与监管评价和投资者投诉挂钩。</w:t>
      </w:r>
    </w:p>
    <w:p>
      <w:pPr>
        <w:spacing w:before="0" w:after="0" w:line="560" w:lineRule="exact"/>
        <w:ind w:firstLine="420"/>
        <w:jc w:val="both"/>
      </w:pPr>
      <w:r>
        <w:rPr>
          <w:rFonts w:ascii="Times New Roman" w:hAnsi="Times New Roman" w:eastAsia="仿宋"/>
          <w:b w:val="0"/>
          <w:sz w:val="32"/>
        </w:rPr>
        <w:t>3. 算清集团综合账，避免“子公司报表好看、集团价值受损”。上半年支付母行销售费约7290万元、托管费约2300万元，投放母行资产321亿元，资本工具56.7亿元，综合贡献是客观存在的。但也要看到：减费让利、资本工具换量对产品净值的侵蚀、长久期互持在波动市中的亏损，最终会回到母行客户体验和子公司中收上。建议资产负债、计财、投行、理财子共同建立“协同事项经济资本与客户价值”评估，对明显伤害产品净值的换量业务设定上限。母行财富货架应保证本行理财公平露出，但露出的前提是业绩和风险等级匹配，不能回到“行政性保规模”。</w:t>
      </w:r>
    </w:p>
    <w:p>
      <w:pPr>
        <w:spacing w:before="0" w:after="0" w:line="560" w:lineRule="exact"/>
        <w:ind w:firstLine="420"/>
        <w:jc w:val="both"/>
      </w:pPr>
      <w:r>
        <w:rPr>
          <w:rFonts w:ascii="Times New Roman" w:hAnsi="Times New Roman" w:eastAsia="仿宋"/>
          <w:b w:val="0"/>
          <w:sz w:val="32"/>
        </w:rPr>
        <w:t>4. 加快关键基础设施，同时分清责任边界。T+0增鑫宝、理财质押入池、柜面销售、代理总账户等，确实存在母行侧进度制约，相关条线应按节点倒排，避免把窗口期耗在系统联调上。但也必须明确：场景和系统是条件，不是规模落后的主因；主因仍是产品体验、渠道经营和季末流动性安排。基础设施补齐后，若主渠道份额仍在下降，则应在考核上动真格。</w:t>
      </w:r>
    </w:p>
    <w:p>
      <w:pPr>
        <w:spacing w:before="240" w:after="120" w:line="560" w:lineRule="exact"/>
        <w:ind w:firstLine="0"/>
        <w:jc w:val="center"/>
      </w:pPr>
      <w:r>
        <w:rPr>
          <w:rFonts w:ascii="Times New Roman" w:hAnsi="Times New Roman" w:eastAsia="黑体"/>
          <w:b w:val="0"/>
          <w:sz w:val="32"/>
        </w:rPr>
        <w:t>五、提请行领导关注的几个事项</w:t>
      </w:r>
    </w:p>
    <w:p>
      <w:pPr>
        <w:spacing w:before="0" w:after="0" w:line="560" w:lineRule="exact"/>
        <w:ind w:firstLine="420"/>
        <w:jc w:val="both"/>
      </w:pPr>
      <w:r>
        <w:rPr>
          <w:rFonts w:ascii="Times New Roman" w:hAnsi="Times New Roman" w:eastAsia="仿宋"/>
          <w:b w:val="0"/>
          <w:sz w:val="32"/>
        </w:rPr>
        <w:t>一是下半年规模目标与整改周期如何平衡。若坚持2300亿元不变，需同步明确非标、费率、限额三条不可突破的红线，防止目标倒逼违规。是否对全年规模或中收作结构性调整，建议在三季度经营分析时专题研究。</w:t>
      </w:r>
    </w:p>
    <w:p>
      <w:pPr>
        <w:spacing w:before="0" w:after="0" w:line="560" w:lineRule="exact"/>
        <w:ind w:firstLine="420"/>
        <w:jc w:val="both"/>
      </w:pPr>
      <w:r>
        <w:rPr>
          <w:rFonts w:ascii="Times New Roman" w:hAnsi="Times New Roman" w:eastAsia="仿宋"/>
          <w:b w:val="0"/>
          <w:sz w:val="32"/>
        </w:rPr>
        <w:t>二是现场检查可能的监管评级影响。一旦独立性、超范围、限额等问题定性较重，将直接约束后续资格和渠道。建议总行合规与风险管理条线提前介入，统一母子应对口径，严控知悉范围。</w:t>
      </w:r>
    </w:p>
    <w:p>
      <w:pPr>
        <w:spacing w:before="0" w:after="0" w:line="560" w:lineRule="exact"/>
        <w:ind w:firstLine="420"/>
        <w:jc w:val="both"/>
      </w:pPr>
      <w:r>
        <w:rPr>
          <w:rFonts w:ascii="Times New Roman" w:hAnsi="Times New Roman" w:eastAsia="仿宋"/>
          <w:b w:val="0"/>
          <w:sz w:val="32"/>
        </w:rPr>
        <w:t>三是理财子党委书记、董事长仍为拟任状态，公司治理“三会一层”与母行管控如何更好衔接，关系到独立性和协同效率。建议结合监管意见，加快履职到位和董事会专业委员会实质运作。</w:t>
      </w:r>
    </w:p>
    <w:p>
      <w:pPr>
        <w:spacing w:before="0" w:after="0" w:line="560" w:lineRule="exact"/>
        <w:ind w:firstLine="420"/>
        <w:jc w:val="both"/>
      </w:pPr>
      <w:r>
        <w:rPr>
          <w:rFonts w:ascii="Times New Roman" w:hAnsi="Times New Roman" w:eastAsia="仿宋"/>
          <w:b w:val="0"/>
          <w:sz w:val="32"/>
        </w:rPr>
        <w:t>四是母行零售货架上他行理财与信托对自家理财的替代，已经不是苗头。是否在财富管理策略上明确“本行理财作为稳健低波的主配置、其他产品作为补充”的导向，需要零售条线与理财子共同回答。</w:t>
      </w:r>
    </w:p>
    <w:p>
      <w:pPr>
        <w:spacing w:before="0" w:after="0" w:line="560" w:lineRule="exact"/>
        <w:ind w:firstLine="420"/>
        <w:jc w:val="both"/>
      </w:pPr>
      <w:r>
        <w:rPr>
          <w:rFonts w:ascii="Times New Roman" w:hAnsi="Times New Roman" w:eastAsia="仿宋"/>
          <w:b w:val="0"/>
          <w:sz w:val="32"/>
        </w:rPr>
        <w:t>综上，浙银理财上半年不是没有作为，而是作为尚未变成可持续的经营能力；不是没有协同，而是协同尚未变成可独立创造客户价值的专业能力；不是没有认识问题，而是对问题的归因仍偏外部、偏短期。开业第二年，最有价值的工作不是把规模从1847亿元“抬”到某一个整数，而是把模式从“部门理财”真正转成“公司资管”。建议按上述意见，由理财子在两周内形成下半年攻坚与整改一体方案，发展规划部会同相关条线跟踪督办，按季向行领导报告。</w:t>
      </w:r>
    </w:p>
    <w:p>
      <w:pPr>
        <w:spacing w:before="0" w:after="0" w:line="560" w:lineRule="exact"/>
        <w:ind w:firstLine="420"/>
        <w:jc w:val="both"/>
      </w:pPr>
      <w:r>
        <w:rPr>
          <w:rFonts w:ascii="Times New Roman" w:hAnsi="Times New Roman" w:eastAsia="仿宋"/>
          <w:b w:val="0"/>
          <w:sz w:val="32"/>
        </w:rPr>
        <w:t>妥否，请审示。</w:t>
      </w:r>
    </w:p>
    <w:p>
      <w:pPr>
        <w:spacing w:before="240" w:after="0" w:line="560" w:lineRule="exact"/>
        <w:ind w:firstLine="0"/>
        <w:jc w:val="left"/>
      </w:pPr>
      <w:r>
        <w:rPr>
          <w:rFonts w:ascii="Times New Roman" w:hAnsi="Times New Roman" w:eastAsia="仿宋"/>
          <w:b w:val="0"/>
          <w:sz w:val="32"/>
        </w:rPr>
        <w:t>附件：1.浙银理财2026年上半年主要经营数据对照表</w:t>
      </w:r>
    </w:p>
    <w:p>
      <w:pPr>
        <w:spacing w:before="0" w:after="0" w:line="560" w:lineRule="exact"/>
        <w:ind w:firstLine="0"/>
        <w:jc w:val="left"/>
      </w:pPr>
      <w:r>
        <w:rPr>
          <w:rFonts w:ascii="Times New Roman" w:hAnsi="Times New Roman" w:eastAsia="仿宋"/>
          <w:b w:val="0"/>
          <w:sz w:val="32"/>
        </w:rPr>
        <w:t xml:space="preserve">        2.监管关注与现场检查问题要点（内部掌握）</w:t>
      </w:r>
    </w:p>
    <w:p>
      <w:pPr>
        <w:spacing w:before="480" w:after="0" w:line="560" w:lineRule="exact"/>
        <w:ind w:firstLine="0"/>
        <w:jc w:val="right"/>
      </w:pPr>
      <w:r>
        <w:rPr>
          <w:rFonts w:ascii="Times New Roman" w:hAnsi="Times New Roman" w:eastAsia="仿宋"/>
          <w:b w:val="0"/>
          <w:sz w:val="32"/>
        </w:rPr>
        <w:t>发展规划部</w:t>
      </w:r>
    </w:p>
    <w:p>
      <w:pPr>
        <w:spacing w:before="0" w:after="0" w:line="560" w:lineRule="exact"/>
        <w:ind w:firstLine="0"/>
        <w:jc w:val="right"/>
      </w:pPr>
      <w:r>
        <w:rPr>
          <w:rFonts w:ascii="Times New Roman" w:hAnsi="Times New Roman" w:eastAsia="仿宋"/>
          <w:b w:val="0"/>
          <w:sz w:val="32"/>
        </w:rPr>
        <w:t>2026年9月2日</w:t>
      </w:r>
    </w:p>
    <w:p>
      <w:r>
        <w:br w:type="page"/>
      </w:r>
    </w:p>
    <w:p>
      <w:pPr>
        <w:spacing w:before="0" w:after="120" w:line="560" w:lineRule="exact"/>
        <w:ind w:firstLine="0"/>
        <w:jc w:val="center"/>
      </w:pPr>
      <w:r>
        <w:rPr>
          <w:rFonts w:ascii="Times New Roman" w:hAnsi="Times New Roman" w:eastAsia="黑体"/>
          <w:b w:val="0"/>
          <w:sz w:val="32"/>
        </w:rPr>
        <w:t>附件1</w:t>
      </w:r>
    </w:p>
    <w:p>
      <w:pPr>
        <w:spacing w:before="0" w:after="240" w:line="560" w:lineRule="exact"/>
        <w:ind w:firstLine="0"/>
        <w:jc w:val="center"/>
      </w:pPr>
      <w:r>
        <w:rPr>
          <w:rFonts w:ascii="Times New Roman" w:hAnsi="Times New Roman" w:eastAsia="黑体"/>
          <w:b w:val="0"/>
          <w:sz w:val="32"/>
        </w:rPr>
        <w:t>浙银理财2026年上半年主要经营数据对照表</w:t>
      </w:r>
    </w:p>
    <w:tbl>
      <w:tblPr>
        <w:tblStyle w:val="TableGrid"/>
        <w:tblW w:type="auto" w:w="0"/>
        <w:tblLook w:firstColumn="1" w:firstRow="1" w:lastColumn="0" w:lastRow="0" w:noHBand="0" w:noVBand="1" w:val="04A0"/>
      </w:tblPr>
      <w:tblGrid>
        <w:gridCol w:w="1769"/>
        <w:gridCol w:w="1769"/>
        <w:gridCol w:w="1769"/>
        <w:gridCol w:w="1769"/>
        <w:gridCol w:w="1769"/>
      </w:tblGrid>
      <w:tr>
        <w:tc>
          <w:tcPr>
            <w:tcW w:type="dxa" w:w="1769"/>
          </w:tcPr>
          <w:p>
            <w:pPr>
              <w:jc w:val="center"/>
            </w:pPr>
            <w:r/>
            <w:r>
              <w:rPr>
                <w:rFonts w:ascii="Times New Roman" w:hAnsi="Times New Roman" w:eastAsia="黑体"/>
                <w:b/>
                <w:sz w:val="21"/>
              </w:rPr>
              <w:t>指标</w:t>
            </w:r>
          </w:p>
        </w:tc>
        <w:tc>
          <w:tcPr>
            <w:tcW w:type="dxa" w:w="1769"/>
          </w:tcPr>
          <w:p>
            <w:pPr>
              <w:jc w:val="center"/>
            </w:pPr>
            <w:r/>
            <w:r>
              <w:rPr>
                <w:rFonts w:ascii="Times New Roman" w:hAnsi="Times New Roman" w:eastAsia="黑体"/>
                <w:b/>
                <w:sz w:val="21"/>
              </w:rPr>
              <w:t>2025年末</w:t>
            </w:r>
          </w:p>
        </w:tc>
        <w:tc>
          <w:tcPr>
            <w:tcW w:type="dxa" w:w="1769"/>
          </w:tcPr>
          <w:p>
            <w:pPr>
              <w:jc w:val="center"/>
            </w:pPr>
            <w:r/>
            <w:r>
              <w:rPr>
                <w:rFonts w:ascii="Times New Roman" w:hAnsi="Times New Roman" w:eastAsia="黑体"/>
                <w:b/>
                <w:sz w:val="21"/>
              </w:rPr>
              <w:t>2026年6月末</w:t>
            </w:r>
          </w:p>
        </w:tc>
        <w:tc>
          <w:tcPr>
            <w:tcW w:type="dxa" w:w="1769"/>
          </w:tcPr>
          <w:p>
            <w:pPr>
              <w:jc w:val="center"/>
            </w:pPr>
            <w:r/>
            <w:r>
              <w:rPr>
                <w:rFonts w:ascii="Times New Roman" w:hAnsi="Times New Roman" w:eastAsia="黑体"/>
                <w:b/>
                <w:sz w:val="21"/>
              </w:rPr>
              <w:t>年度目标/对标</w:t>
            </w:r>
          </w:p>
        </w:tc>
        <w:tc>
          <w:tcPr>
            <w:tcW w:type="dxa" w:w="1769"/>
          </w:tcPr>
          <w:p>
            <w:pPr>
              <w:jc w:val="center"/>
            </w:pPr>
            <w:r/>
            <w:r>
              <w:rPr>
                <w:rFonts w:ascii="Times New Roman" w:hAnsi="Times New Roman" w:eastAsia="黑体"/>
                <w:b/>
                <w:sz w:val="21"/>
              </w:rPr>
              <w:t>简要判断</w:t>
            </w:r>
          </w:p>
        </w:tc>
      </w:tr>
      <w:tr>
        <w:tc>
          <w:tcPr>
            <w:tcW w:type="dxa" w:w="1769"/>
          </w:tcPr>
          <w:p>
            <w:pPr>
              <w:jc w:val="left"/>
            </w:pPr>
            <w:r/>
            <w:r>
              <w:rPr>
                <w:rFonts w:ascii="Times New Roman" w:hAnsi="Times New Roman" w:eastAsia="仿宋"/>
                <w:b w:val="0"/>
                <w:sz w:val="18"/>
              </w:rPr>
              <w:t>理财产品余额</w:t>
            </w:r>
          </w:p>
        </w:tc>
        <w:tc>
          <w:tcPr>
            <w:tcW w:type="dxa" w:w="1769"/>
          </w:tcPr>
          <w:p>
            <w:pPr>
              <w:jc w:val="left"/>
            </w:pPr>
            <w:r/>
            <w:r>
              <w:rPr>
                <w:rFonts w:ascii="Times New Roman" w:hAnsi="Times New Roman" w:eastAsia="仿宋"/>
                <w:b w:val="0"/>
                <w:sz w:val="18"/>
              </w:rPr>
              <w:t>1825亿元</w:t>
            </w:r>
          </w:p>
        </w:tc>
        <w:tc>
          <w:tcPr>
            <w:tcW w:type="dxa" w:w="1769"/>
          </w:tcPr>
          <w:p>
            <w:pPr>
              <w:jc w:val="left"/>
            </w:pPr>
            <w:r/>
            <w:r>
              <w:rPr>
                <w:rFonts w:ascii="Times New Roman" w:hAnsi="Times New Roman" w:eastAsia="仿宋"/>
                <w:b w:val="0"/>
                <w:sz w:val="18"/>
              </w:rPr>
              <w:t>1847.17亿元（+22.60亿元，+1.24%）</w:t>
            </w:r>
          </w:p>
        </w:tc>
        <w:tc>
          <w:tcPr>
            <w:tcW w:type="dxa" w:w="1769"/>
          </w:tcPr>
          <w:p>
            <w:pPr>
              <w:jc w:val="left"/>
            </w:pPr>
            <w:r/>
            <w:r>
              <w:rPr>
                <w:rFonts w:ascii="Times New Roman" w:hAnsi="Times New Roman" w:eastAsia="仿宋"/>
                <w:b w:val="0"/>
                <w:sz w:val="18"/>
              </w:rPr>
              <w:t>全年2300亿元；半年序时约2000亿元</w:t>
            </w:r>
          </w:p>
        </w:tc>
        <w:tc>
          <w:tcPr>
            <w:tcW w:type="dxa" w:w="1769"/>
          </w:tcPr>
          <w:p>
            <w:pPr>
              <w:jc w:val="left"/>
            </w:pPr>
            <w:r/>
            <w:r>
              <w:rPr>
                <w:rFonts w:ascii="Times New Roman" w:hAnsi="Times New Roman" w:eastAsia="仿宋"/>
                <w:b w:val="0"/>
                <w:sz w:val="18"/>
              </w:rPr>
              <w:t>艰难浮出水面，增量完成率低</w:t>
            </w:r>
          </w:p>
        </w:tc>
      </w:tr>
      <w:tr>
        <w:tc>
          <w:tcPr>
            <w:tcW w:type="dxa" w:w="1769"/>
          </w:tcPr>
          <w:p>
            <w:pPr>
              <w:jc w:val="left"/>
            </w:pPr>
            <w:r/>
            <w:r>
              <w:rPr>
                <w:rFonts w:ascii="Times New Roman" w:hAnsi="Times New Roman" w:eastAsia="仿宋"/>
                <w:b w:val="0"/>
                <w:sz w:val="18"/>
              </w:rPr>
              <w:t>母行渠道规模</w:t>
            </w:r>
          </w:p>
        </w:tc>
        <w:tc>
          <w:tcPr>
            <w:tcW w:type="dxa" w:w="1769"/>
          </w:tcPr>
          <w:p>
            <w:pPr>
              <w:jc w:val="left"/>
            </w:pPr>
            <w:r/>
            <w:r>
              <w:rPr>
                <w:rFonts w:ascii="Times New Roman" w:hAnsi="Times New Roman" w:eastAsia="仿宋"/>
                <w:b w:val="0"/>
                <w:sz w:val="18"/>
              </w:rPr>
              <w:t>约1659亿元</w:t>
            </w:r>
          </w:p>
        </w:tc>
        <w:tc>
          <w:tcPr>
            <w:tcW w:type="dxa" w:w="1769"/>
          </w:tcPr>
          <w:p>
            <w:pPr>
              <w:jc w:val="left"/>
            </w:pPr>
            <w:r/>
            <w:r>
              <w:rPr>
                <w:rFonts w:ascii="Times New Roman" w:hAnsi="Times New Roman" w:eastAsia="仿宋"/>
                <w:b w:val="0"/>
                <w:sz w:val="18"/>
              </w:rPr>
              <w:t>约1668亿元（+9亿元），占比90%</w:t>
            </w:r>
          </w:p>
        </w:tc>
        <w:tc>
          <w:tcPr>
            <w:tcW w:type="dxa" w:w="1769"/>
          </w:tcPr>
          <w:p>
            <w:pPr>
              <w:jc w:val="left"/>
            </w:pPr>
            <w:r/>
            <w:r>
              <w:rPr>
                <w:rFonts w:ascii="Times New Roman" w:hAnsi="Times New Roman" w:eastAsia="仿宋"/>
                <w:b w:val="0"/>
                <w:sz w:val="18"/>
              </w:rPr>
              <w:t>股份/城商理财子母行占比约60%</w:t>
            </w:r>
          </w:p>
        </w:tc>
        <w:tc>
          <w:tcPr>
            <w:tcW w:type="dxa" w:w="1769"/>
          </w:tcPr>
          <w:p>
            <w:pPr>
              <w:jc w:val="left"/>
            </w:pPr>
            <w:r/>
            <w:r>
              <w:rPr>
                <w:rFonts w:ascii="Times New Roman" w:hAnsi="Times New Roman" w:eastAsia="仿宋"/>
                <w:b w:val="0"/>
                <w:sz w:val="18"/>
              </w:rPr>
              <w:t>高度依赖且主渠道几乎不增长</w:t>
            </w:r>
          </w:p>
        </w:tc>
      </w:tr>
      <w:tr>
        <w:tc>
          <w:tcPr>
            <w:tcW w:type="dxa" w:w="1769"/>
          </w:tcPr>
          <w:p>
            <w:pPr>
              <w:jc w:val="left"/>
            </w:pPr>
            <w:r/>
            <w:r>
              <w:rPr>
                <w:rFonts w:ascii="Times New Roman" w:hAnsi="Times New Roman" w:eastAsia="仿宋"/>
                <w:b w:val="0"/>
                <w:sz w:val="18"/>
              </w:rPr>
              <w:t>母行零售理财</w:t>
            </w:r>
          </w:p>
        </w:tc>
        <w:tc>
          <w:tcPr>
            <w:tcW w:type="dxa" w:w="1769"/>
          </w:tcPr>
          <w:p>
            <w:pPr>
              <w:jc w:val="left"/>
            </w:pPr>
            <w:r/>
            <w:r>
              <w:rPr>
                <w:rFonts w:ascii="Times New Roman" w:hAnsi="Times New Roman" w:eastAsia="仿宋"/>
                <w:b w:val="0"/>
                <w:sz w:val="18"/>
              </w:rPr>
              <w:t>约1450亿元</w:t>
            </w:r>
          </w:p>
        </w:tc>
        <w:tc>
          <w:tcPr>
            <w:tcW w:type="dxa" w:w="1769"/>
          </w:tcPr>
          <w:p>
            <w:pPr>
              <w:jc w:val="left"/>
            </w:pPr>
            <w:r/>
            <w:r>
              <w:rPr>
                <w:rFonts w:ascii="Times New Roman" w:hAnsi="Times New Roman" w:eastAsia="仿宋"/>
                <w:b w:val="0"/>
                <w:sz w:val="18"/>
              </w:rPr>
              <w:t>约1423—1426亿元（较年初-24至-26亿元）</w:t>
            </w:r>
          </w:p>
        </w:tc>
        <w:tc>
          <w:tcPr>
            <w:tcW w:type="dxa" w:w="1769"/>
          </w:tcPr>
          <w:p>
            <w:pPr>
              <w:jc w:val="left"/>
            </w:pPr>
            <w:r/>
            <w:r>
              <w:rPr>
                <w:rFonts w:ascii="Times New Roman" w:hAnsi="Times New Roman" w:eastAsia="仿宋"/>
                <w:b w:val="0"/>
                <w:sz w:val="18"/>
              </w:rPr>
              <w:t>零售作为基本盘应止跌回升</w:t>
            </w:r>
          </w:p>
        </w:tc>
        <w:tc>
          <w:tcPr>
            <w:tcW w:type="dxa" w:w="1769"/>
          </w:tcPr>
          <w:p>
            <w:pPr>
              <w:jc w:val="left"/>
            </w:pPr>
            <w:r/>
            <w:r>
              <w:rPr>
                <w:rFonts w:ascii="Times New Roman" w:hAnsi="Times New Roman" w:eastAsia="仿宋"/>
                <w:b w:val="0"/>
                <w:sz w:val="18"/>
              </w:rPr>
              <w:t>主场失血</w:t>
            </w:r>
          </w:p>
        </w:tc>
      </w:tr>
      <w:tr>
        <w:tc>
          <w:tcPr>
            <w:tcW w:type="dxa" w:w="1769"/>
          </w:tcPr>
          <w:p>
            <w:pPr>
              <w:jc w:val="left"/>
            </w:pPr>
            <w:r/>
            <w:r>
              <w:rPr>
                <w:rFonts w:ascii="Times New Roman" w:hAnsi="Times New Roman" w:eastAsia="仿宋"/>
                <w:b w:val="0"/>
                <w:sz w:val="18"/>
              </w:rPr>
              <w:t>行外代销</w:t>
            </w:r>
          </w:p>
        </w:tc>
        <w:tc>
          <w:tcPr>
            <w:tcW w:type="dxa" w:w="1769"/>
          </w:tcPr>
          <w:p>
            <w:pPr>
              <w:jc w:val="left"/>
            </w:pPr>
            <w:r/>
            <w:r>
              <w:rPr>
                <w:rFonts w:ascii="Times New Roman" w:hAnsi="Times New Roman" w:eastAsia="仿宋"/>
                <w:b w:val="0"/>
                <w:sz w:val="18"/>
              </w:rPr>
              <w:t>66亿元</w:t>
            </w:r>
          </w:p>
        </w:tc>
        <w:tc>
          <w:tcPr>
            <w:tcW w:type="dxa" w:w="1769"/>
          </w:tcPr>
          <w:p>
            <w:pPr>
              <w:jc w:val="left"/>
            </w:pPr>
            <w:r/>
            <w:r>
              <w:rPr>
                <w:rFonts w:ascii="Times New Roman" w:hAnsi="Times New Roman" w:eastAsia="仿宋"/>
                <w:b w:val="0"/>
                <w:sz w:val="18"/>
              </w:rPr>
              <w:t>130.50亿元（+64亿元，+96%），占比7%</w:t>
            </w:r>
          </w:p>
        </w:tc>
        <w:tc>
          <w:tcPr>
            <w:tcW w:type="dxa" w:w="1769"/>
          </w:tcPr>
          <w:p>
            <w:pPr>
              <w:jc w:val="left"/>
            </w:pPr>
            <w:r/>
            <w:r>
              <w:rPr>
                <w:rFonts w:ascii="Times New Roman" w:hAnsi="Times New Roman" w:eastAsia="仿宋"/>
                <w:b w:val="0"/>
                <w:sz w:val="18"/>
              </w:rPr>
              <w:t>行业约30%，股份理财子约39%</w:t>
            </w:r>
          </w:p>
        </w:tc>
        <w:tc>
          <w:tcPr>
            <w:tcW w:type="dxa" w:w="1769"/>
          </w:tcPr>
          <w:p>
            <w:pPr>
              <w:jc w:val="left"/>
            </w:pPr>
            <w:r/>
            <w:r>
              <w:rPr>
                <w:rFonts w:ascii="Times New Roman" w:hAnsi="Times New Roman" w:eastAsia="仿宋"/>
                <w:b w:val="0"/>
                <w:sz w:val="18"/>
              </w:rPr>
              <w:t>数量扩张快，产能和占比仍低</w:t>
            </w:r>
          </w:p>
        </w:tc>
      </w:tr>
      <w:tr>
        <w:tc>
          <w:tcPr>
            <w:tcW w:type="dxa" w:w="1769"/>
          </w:tcPr>
          <w:p>
            <w:pPr>
              <w:jc w:val="left"/>
            </w:pPr>
            <w:r/>
            <w:r>
              <w:rPr>
                <w:rFonts w:ascii="Times New Roman" w:hAnsi="Times New Roman" w:eastAsia="仿宋"/>
                <w:b w:val="0"/>
                <w:sz w:val="18"/>
              </w:rPr>
              <w:t>对公/同业/直销</w:t>
            </w:r>
          </w:p>
        </w:tc>
        <w:tc>
          <w:tcPr>
            <w:tcW w:type="dxa" w:w="1769"/>
          </w:tcPr>
          <w:p>
            <w:pPr>
              <w:jc w:val="left"/>
            </w:pPr>
            <w:r/>
            <w:r>
              <w:rPr>
                <w:rFonts w:ascii="Times New Roman" w:hAnsi="Times New Roman" w:eastAsia="仿宋"/>
                <w:b w:val="0"/>
                <w:sz w:val="18"/>
              </w:rPr>
              <w:t>对公325亿元（全口径）</w:t>
            </w:r>
          </w:p>
        </w:tc>
        <w:tc>
          <w:tcPr>
            <w:tcW w:type="dxa" w:w="1769"/>
          </w:tcPr>
          <w:p>
            <w:pPr>
              <w:jc w:val="left"/>
            </w:pPr>
            <w:r/>
            <w:r>
              <w:rPr>
                <w:rFonts w:ascii="Times New Roman" w:hAnsi="Times New Roman" w:eastAsia="仿宋"/>
                <w:b w:val="0"/>
                <w:sz w:val="18"/>
              </w:rPr>
              <w:t>全口径对公约223亿元；同业87亿元（-32）；直销49亿元（-50）</w:t>
            </w:r>
          </w:p>
        </w:tc>
        <w:tc>
          <w:tcPr>
            <w:tcW w:type="dxa" w:w="1769"/>
          </w:tcPr>
          <w:p>
            <w:pPr>
              <w:jc w:val="left"/>
            </w:pPr>
            <w:r/>
            <w:r>
              <w:rPr>
                <w:rFonts w:ascii="Times New Roman" w:hAnsi="Times New Roman" w:eastAsia="仿宋"/>
                <w:b w:val="0"/>
                <w:sz w:val="18"/>
              </w:rPr>
              <w:t>机构理财全年约375—400亿元</w:t>
            </w:r>
          </w:p>
        </w:tc>
        <w:tc>
          <w:tcPr>
            <w:tcW w:type="dxa" w:w="1769"/>
          </w:tcPr>
          <w:p>
            <w:pPr>
              <w:jc w:val="left"/>
            </w:pPr>
            <w:r/>
            <w:r>
              <w:rPr>
                <w:rFonts w:ascii="Times New Roman" w:hAnsi="Times New Roman" w:eastAsia="仿宋"/>
                <w:b w:val="0"/>
                <w:sz w:val="18"/>
              </w:rPr>
              <w:t>对公不稳，同业和直销拖累</w:t>
            </w:r>
          </w:p>
        </w:tc>
      </w:tr>
      <w:tr>
        <w:tc>
          <w:tcPr>
            <w:tcW w:type="dxa" w:w="1769"/>
          </w:tcPr>
          <w:p>
            <w:pPr>
              <w:jc w:val="left"/>
            </w:pPr>
            <w:r/>
            <w:r>
              <w:rPr>
                <w:rFonts w:ascii="Times New Roman" w:hAnsi="Times New Roman" w:eastAsia="仿宋"/>
                <w:b w:val="0"/>
                <w:sz w:val="18"/>
              </w:rPr>
              <w:t>营业收入</w:t>
            </w:r>
          </w:p>
        </w:tc>
        <w:tc>
          <w:tcPr>
            <w:tcW w:type="dxa" w:w="1769"/>
          </w:tcPr>
          <w:p>
            <w:pPr>
              <w:jc w:val="left"/>
            </w:pPr>
            <w:r/>
            <w:r>
              <w:rPr>
                <w:rFonts w:ascii="Times New Roman" w:hAnsi="Times New Roman" w:eastAsia="仿宋"/>
                <w:b w:val="0"/>
                <w:sz w:val="18"/>
              </w:rPr>
              <w:t>账面3.05亿元（全年）</w:t>
            </w:r>
          </w:p>
        </w:tc>
        <w:tc>
          <w:tcPr>
            <w:tcW w:type="dxa" w:w="1769"/>
          </w:tcPr>
          <w:p>
            <w:pPr>
              <w:jc w:val="left"/>
            </w:pPr>
            <w:r/>
            <w:r>
              <w:rPr>
                <w:rFonts w:ascii="Times New Roman" w:hAnsi="Times New Roman" w:eastAsia="仿宋"/>
                <w:b w:val="0"/>
                <w:sz w:val="18"/>
              </w:rPr>
              <w:t>1.59亿元，完成率44.4%</w:t>
            </w:r>
          </w:p>
        </w:tc>
        <w:tc>
          <w:tcPr>
            <w:tcW w:type="dxa" w:w="1769"/>
          </w:tcPr>
          <w:p>
            <w:pPr>
              <w:jc w:val="left"/>
            </w:pPr>
            <w:r/>
            <w:r>
              <w:rPr>
                <w:rFonts w:ascii="Times New Roman" w:hAnsi="Times New Roman" w:eastAsia="仿宋"/>
                <w:b w:val="0"/>
                <w:sz w:val="18"/>
              </w:rPr>
              <w:t>全年3.58亿元</w:t>
            </w:r>
          </w:p>
        </w:tc>
        <w:tc>
          <w:tcPr>
            <w:tcW w:type="dxa" w:w="1769"/>
          </w:tcPr>
          <w:p>
            <w:pPr>
              <w:jc w:val="left"/>
            </w:pPr>
            <w:r/>
            <w:r>
              <w:rPr>
                <w:rFonts w:ascii="Times New Roman" w:hAnsi="Times New Roman" w:eastAsia="仿宋"/>
                <w:b w:val="0"/>
                <w:sz w:val="18"/>
              </w:rPr>
              <w:t>慢于序时</w:t>
            </w:r>
          </w:p>
        </w:tc>
      </w:tr>
      <w:tr>
        <w:tc>
          <w:tcPr>
            <w:tcW w:type="dxa" w:w="1769"/>
          </w:tcPr>
          <w:p>
            <w:pPr>
              <w:jc w:val="left"/>
            </w:pPr>
            <w:r/>
            <w:r>
              <w:rPr>
                <w:rFonts w:ascii="Times New Roman" w:hAnsi="Times New Roman" w:eastAsia="仿宋"/>
                <w:b w:val="0"/>
                <w:sz w:val="18"/>
              </w:rPr>
              <w:t>手续费净收入</w:t>
            </w:r>
          </w:p>
        </w:tc>
        <w:tc>
          <w:tcPr>
            <w:tcW w:type="dxa" w:w="1769"/>
          </w:tcPr>
          <w:p>
            <w:pPr>
              <w:jc w:val="left"/>
            </w:pPr>
            <w:r/>
            <w:r>
              <w:rPr>
                <w:rFonts w:ascii="Times New Roman" w:hAnsi="Times New Roman" w:eastAsia="仿宋"/>
                <w:b w:val="0"/>
                <w:sz w:val="18"/>
              </w:rPr>
              <w:t>—</w:t>
            </w:r>
          </w:p>
        </w:tc>
        <w:tc>
          <w:tcPr>
            <w:tcW w:type="dxa" w:w="1769"/>
          </w:tcPr>
          <w:p>
            <w:pPr>
              <w:jc w:val="left"/>
            </w:pPr>
            <w:r/>
            <w:r>
              <w:rPr>
                <w:rFonts w:ascii="Times New Roman" w:hAnsi="Times New Roman" w:eastAsia="仿宋"/>
                <w:b w:val="0"/>
                <w:sz w:val="18"/>
              </w:rPr>
              <w:t>1.37亿元，完成率42.4%，同比-24%</w:t>
            </w:r>
          </w:p>
        </w:tc>
        <w:tc>
          <w:tcPr>
            <w:tcW w:type="dxa" w:w="1769"/>
          </w:tcPr>
          <w:p>
            <w:pPr>
              <w:jc w:val="left"/>
            </w:pPr>
            <w:r/>
            <w:r>
              <w:rPr>
                <w:rFonts w:ascii="Times New Roman" w:hAnsi="Times New Roman" w:eastAsia="仿宋"/>
                <w:b w:val="0"/>
                <w:sz w:val="18"/>
              </w:rPr>
              <w:t>全年3.23亿元（较上年+24%）</w:t>
            </w:r>
          </w:p>
        </w:tc>
        <w:tc>
          <w:tcPr>
            <w:tcW w:type="dxa" w:w="1769"/>
          </w:tcPr>
          <w:p>
            <w:pPr>
              <w:jc w:val="left"/>
            </w:pPr>
            <w:r/>
            <w:r>
              <w:rPr>
                <w:rFonts w:ascii="Times New Roman" w:hAnsi="Times New Roman" w:eastAsia="仿宋"/>
                <w:b w:val="0"/>
                <w:sz w:val="18"/>
              </w:rPr>
              <w:t>规模涨、收入降</w:t>
            </w:r>
          </w:p>
        </w:tc>
      </w:tr>
      <w:tr>
        <w:tc>
          <w:tcPr>
            <w:tcW w:type="dxa" w:w="1769"/>
          </w:tcPr>
          <w:p>
            <w:pPr>
              <w:jc w:val="left"/>
            </w:pPr>
            <w:r/>
            <w:r>
              <w:rPr>
                <w:rFonts w:ascii="Times New Roman" w:hAnsi="Times New Roman" w:eastAsia="仿宋"/>
                <w:b w:val="0"/>
                <w:sz w:val="18"/>
              </w:rPr>
              <w:t>净利润</w:t>
            </w:r>
          </w:p>
        </w:tc>
        <w:tc>
          <w:tcPr>
            <w:tcW w:type="dxa" w:w="1769"/>
          </w:tcPr>
          <w:p>
            <w:pPr>
              <w:jc w:val="left"/>
            </w:pPr>
            <w:r/>
            <w:r>
              <w:rPr>
                <w:rFonts w:ascii="Times New Roman" w:hAnsi="Times New Roman" w:eastAsia="仿宋"/>
                <w:b w:val="0"/>
                <w:sz w:val="18"/>
              </w:rPr>
              <w:t>0.88亿元</w:t>
            </w:r>
          </w:p>
        </w:tc>
        <w:tc>
          <w:tcPr>
            <w:tcW w:type="dxa" w:w="1769"/>
          </w:tcPr>
          <w:p>
            <w:pPr>
              <w:jc w:val="left"/>
            </w:pPr>
            <w:r/>
            <w:r>
              <w:rPr>
                <w:rFonts w:ascii="Times New Roman" w:hAnsi="Times New Roman" w:eastAsia="仿宋"/>
                <w:b w:val="0"/>
                <w:sz w:val="18"/>
              </w:rPr>
              <w:t>0.42亿元</w:t>
            </w:r>
          </w:p>
        </w:tc>
        <w:tc>
          <w:tcPr>
            <w:tcW w:type="dxa" w:w="1769"/>
          </w:tcPr>
          <w:p>
            <w:pPr>
              <w:jc w:val="left"/>
            </w:pPr>
            <w:r/>
            <w:r>
              <w:rPr>
                <w:rFonts w:ascii="Times New Roman" w:hAnsi="Times New Roman" w:eastAsia="仿宋"/>
                <w:b w:val="0"/>
                <w:sz w:val="18"/>
              </w:rPr>
              <w:t>人均创利仍显著低于杭银理财等</w:t>
            </w:r>
          </w:p>
        </w:tc>
        <w:tc>
          <w:tcPr>
            <w:tcW w:type="dxa" w:w="1769"/>
          </w:tcPr>
          <w:p>
            <w:pPr>
              <w:jc w:val="left"/>
            </w:pPr>
            <w:r/>
            <w:r>
              <w:rPr>
                <w:rFonts w:ascii="Times New Roman" w:hAnsi="Times New Roman" w:eastAsia="仿宋"/>
                <w:b w:val="0"/>
                <w:sz w:val="18"/>
              </w:rPr>
              <w:t>盈利能力未跃升</w:t>
            </w:r>
          </w:p>
        </w:tc>
      </w:tr>
      <w:tr>
        <w:tc>
          <w:tcPr>
            <w:tcW w:type="dxa" w:w="1769"/>
          </w:tcPr>
          <w:p>
            <w:pPr>
              <w:jc w:val="left"/>
            </w:pPr>
            <w:r/>
            <w:r>
              <w:rPr>
                <w:rFonts w:ascii="Times New Roman" w:hAnsi="Times New Roman" w:eastAsia="仿宋"/>
                <w:b w:val="0"/>
                <w:sz w:val="18"/>
              </w:rPr>
              <w:t>综合费率/管理费率</w:t>
            </w:r>
          </w:p>
        </w:tc>
        <w:tc>
          <w:tcPr>
            <w:tcW w:type="dxa" w:w="1769"/>
          </w:tcPr>
          <w:p>
            <w:pPr>
              <w:jc w:val="left"/>
            </w:pPr>
            <w:r/>
            <w:r>
              <w:rPr>
                <w:rFonts w:ascii="Times New Roman" w:hAnsi="Times New Roman" w:eastAsia="仿宋"/>
                <w:b w:val="0"/>
                <w:sz w:val="18"/>
              </w:rPr>
              <w:t>—</w:t>
            </w:r>
          </w:p>
        </w:tc>
        <w:tc>
          <w:tcPr>
            <w:tcW w:type="dxa" w:w="1769"/>
          </w:tcPr>
          <w:p>
            <w:pPr>
              <w:jc w:val="left"/>
            </w:pPr>
            <w:r/>
            <w:r>
              <w:rPr>
                <w:rFonts w:ascii="Times New Roman" w:hAnsi="Times New Roman" w:eastAsia="仿宋"/>
                <w:b w:val="0"/>
                <w:sz w:val="18"/>
              </w:rPr>
              <w:t>综合费率26.1bp（低于同业8.8bp）；全量管理费率16.4bp；新发综合费率19.7bp</w:t>
            </w:r>
          </w:p>
        </w:tc>
        <w:tc>
          <w:tcPr>
            <w:tcW w:type="dxa" w:w="1769"/>
          </w:tcPr>
          <w:p>
            <w:pPr>
              <w:jc w:val="left"/>
            </w:pPr>
            <w:r/>
            <w:r>
              <w:rPr>
                <w:rFonts w:ascii="Times New Roman" w:hAnsi="Times New Roman" w:eastAsia="仿宋"/>
                <w:b w:val="0"/>
                <w:sz w:val="18"/>
              </w:rPr>
              <w:t>对标同业中等水平</w:t>
            </w:r>
          </w:p>
        </w:tc>
        <w:tc>
          <w:tcPr>
            <w:tcW w:type="dxa" w:w="1769"/>
          </w:tcPr>
          <w:p>
            <w:pPr>
              <w:jc w:val="left"/>
            </w:pPr>
            <w:r/>
            <w:r>
              <w:rPr>
                <w:rFonts w:ascii="Times New Roman" w:hAnsi="Times New Roman" w:eastAsia="仿宋"/>
                <w:b w:val="0"/>
                <w:sz w:val="18"/>
              </w:rPr>
              <w:t>定价能力弱，存量高费率被稀释</w:t>
            </w:r>
          </w:p>
        </w:tc>
      </w:tr>
      <w:tr>
        <w:tc>
          <w:tcPr>
            <w:tcW w:type="dxa" w:w="1769"/>
          </w:tcPr>
          <w:p>
            <w:pPr>
              <w:jc w:val="left"/>
            </w:pPr>
            <w:r/>
            <w:r>
              <w:rPr>
                <w:rFonts w:ascii="Times New Roman" w:hAnsi="Times New Roman" w:eastAsia="仿宋"/>
                <w:b w:val="0"/>
                <w:sz w:val="18"/>
              </w:rPr>
              <w:t>非标占比</w:t>
            </w:r>
          </w:p>
        </w:tc>
        <w:tc>
          <w:tcPr>
            <w:tcW w:type="dxa" w:w="1769"/>
          </w:tcPr>
          <w:p>
            <w:pPr>
              <w:jc w:val="left"/>
            </w:pPr>
            <w:r/>
            <w:r>
              <w:rPr>
                <w:rFonts w:ascii="Times New Roman" w:hAnsi="Times New Roman" w:eastAsia="仿宋"/>
                <w:b w:val="0"/>
                <w:sz w:val="18"/>
              </w:rPr>
              <w:t>12.4%（监管口径）</w:t>
            </w:r>
          </w:p>
        </w:tc>
        <w:tc>
          <w:tcPr>
            <w:tcW w:type="dxa" w:w="1769"/>
          </w:tcPr>
          <w:p>
            <w:pPr>
              <w:jc w:val="left"/>
            </w:pPr>
            <w:r/>
            <w:r>
              <w:rPr>
                <w:rFonts w:ascii="Times New Roman" w:hAnsi="Times New Roman" w:eastAsia="仿宋"/>
                <w:b w:val="0"/>
                <w:sz w:val="18"/>
              </w:rPr>
              <w:t>约12.3%（1月曾达14.7%，贴近15%偏好上限）</w:t>
            </w:r>
          </w:p>
        </w:tc>
        <w:tc>
          <w:tcPr>
            <w:tcW w:type="dxa" w:w="1769"/>
          </w:tcPr>
          <w:p>
            <w:pPr>
              <w:jc w:val="left"/>
            </w:pPr>
            <w:r/>
            <w:r>
              <w:rPr>
                <w:rFonts w:ascii="Times New Roman" w:hAnsi="Times New Roman" w:eastAsia="仿宋"/>
                <w:b w:val="0"/>
                <w:sz w:val="18"/>
              </w:rPr>
              <w:t>行业约5.1%</w:t>
            </w:r>
          </w:p>
        </w:tc>
        <w:tc>
          <w:tcPr>
            <w:tcW w:type="dxa" w:w="1769"/>
          </w:tcPr>
          <w:p>
            <w:pPr>
              <w:jc w:val="left"/>
            </w:pPr>
            <w:r/>
            <w:r>
              <w:rPr>
                <w:rFonts w:ascii="Times New Roman" w:hAnsi="Times New Roman" w:eastAsia="仿宋"/>
                <w:b w:val="0"/>
                <w:sz w:val="18"/>
              </w:rPr>
              <w:t>结构约束未解除</w:t>
            </w:r>
          </w:p>
        </w:tc>
      </w:tr>
      <w:tr>
        <w:tc>
          <w:tcPr>
            <w:tcW w:type="dxa" w:w="1769"/>
          </w:tcPr>
          <w:p>
            <w:pPr>
              <w:jc w:val="left"/>
            </w:pPr>
            <w:r/>
            <w:r>
              <w:rPr>
                <w:rFonts w:ascii="Times New Roman" w:hAnsi="Times New Roman" w:eastAsia="仿宋"/>
                <w:b w:val="0"/>
                <w:sz w:val="18"/>
              </w:rPr>
              <w:t>权益类资产</w:t>
            </w:r>
          </w:p>
        </w:tc>
        <w:tc>
          <w:tcPr>
            <w:tcW w:type="dxa" w:w="1769"/>
          </w:tcPr>
          <w:p>
            <w:pPr>
              <w:jc w:val="left"/>
            </w:pPr>
            <w:r/>
            <w:r>
              <w:rPr>
                <w:rFonts w:ascii="Times New Roman" w:hAnsi="Times New Roman" w:eastAsia="仿宋"/>
                <w:b w:val="0"/>
                <w:sz w:val="18"/>
              </w:rPr>
              <w:t>—</w:t>
            </w:r>
          </w:p>
        </w:tc>
        <w:tc>
          <w:tcPr>
            <w:tcW w:type="dxa" w:w="1769"/>
          </w:tcPr>
          <w:p>
            <w:pPr>
              <w:jc w:val="left"/>
            </w:pPr>
            <w:r/>
            <w:r>
              <w:rPr>
                <w:rFonts w:ascii="Times New Roman" w:hAnsi="Times New Roman" w:eastAsia="仿宋"/>
                <w:b w:val="0"/>
                <w:sz w:val="18"/>
              </w:rPr>
              <w:t>约0.05%</w:t>
            </w:r>
          </w:p>
        </w:tc>
        <w:tc>
          <w:tcPr>
            <w:tcW w:type="dxa" w:w="1769"/>
          </w:tcPr>
          <w:p>
            <w:pPr>
              <w:jc w:val="left"/>
            </w:pPr>
            <w:r/>
            <w:r>
              <w:rPr>
                <w:rFonts w:ascii="Times New Roman" w:hAnsi="Times New Roman" w:eastAsia="仿宋"/>
                <w:b w:val="0"/>
                <w:sz w:val="18"/>
              </w:rPr>
              <w:t>同业约1.3%—3.4%</w:t>
            </w:r>
          </w:p>
        </w:tc>
        <w:tc>
          <w:tcPr>
            <w:tcW w:type="dxa" w:w="1769"/>
          </w:tcPr>
          <w:p>
            <w:pPr>
              <w:jc w:val="left"/>
            </w:pPr>
            <w:r/>
            <w:r>
              <w:rPr>
                <w:rFonts w:ascii="Times New Roman" w:hAnsi="Times New Roman" w:eastAsia="仿宋"/>
                <w:b w:val="0"/>
                <w:sz w:val="18"/>
              </w:rPr>
              <w:t>多资产能力近乎空白</w:t>
            </w:r>
          </w:p>
        </w:tc>
      </w:tr>
      <w:tr>
        <w:tc>
          <w:tcPr>
            <w:tcW w:type="dxa" w:w="1769"/>
          </w:tcPr>
          <w:p>
            <w:pPr>
              <w:jc w:val="left"/>
            </w:pPr>
            <w:r/>
            <w:r>
              <w:rPr>
                <w:rFonts w:ascii="Times New Roman" w:hAnsi="Times New Roman" w:eastAsia="仿宋"/>
                <w:b w:val="0"/>
                <w:sz w:val="18"/>
              </w:rPr>
              <w:t>委外/合作机构</w:t>
            </w:r>
          </w:p>
        </w:tc>
        <w:tc>
          <w:tcPr>
            <w:tcW w:type="dxa" w:w="1769"/>
          </w:tcPr>
          <w:p>
            <w:pPr>
              <w:jc w:val="left"/>
            </w:pPr>
            <w:r/>
            <w:r>
              <w:rPr>
                <w:rFonts w:ascii="Times New Roman" w:hAnsi="Times New Roman" w:eastAsia="仿宋"/>
                <w:b w:val="0"/>
                <w:sz w:val="18"/>
              </w:rPr>
              <w:t>—</w:t>
            </w:r>
          </w:p>
        </w:tc>
        <w:tc>
          <w:tcPr>
            <w:tcW w:type="dxa" w:w="1769"/>
          </w:tcPr>
          <w:p>
            <w:pPr>
              <w:jc w:val="left"/>
            </w:pPr>
            <w:r/>
            <w:r>
              <w:rPr>
                <w:rFonts w:ascii="Times New Roman" w:hAnsi="Times New Roman" w:eastAsia="仿宋"/>
                <w:b w:val="0"/>
                <w:sz w:val="18"/>
              </w:rPr>
              <w:t>1004亿元，占总规模54.3%</w:t>
            </w:r>
          </w:p>
        </w:tc>
        <w:tc>
          <w:tcPr>
            <w:tcW w:type="dxa" w:w="1769"/>
          </w:tcPr>
          <w:p>
            <w:pPr>
              <w:jc w:val="left"/>
            </w:pPr>
            <w:r/>
            <w:r>
              <w:rPr>
                <w:rFonts w:ascii="Times New Roman" w:hAnsi="Times New Roman" w:eastAsia="仿宋"/>
                <w:b w:val="0"/>
                <w:sz w:val="18"/>
              </w:rPr>
              <w:t>应逐步内化核心能力</w:t>
            </w:r>
          </w:p>
        </w:tc>
        <w:tc>
          <w:tcPr>
            <w:tcW w:type="dxa" w:w="1769"/>
          </w:tcPr>
          <w:p>
            <w:pPr>
              <w:jc w:val="left"/>
            </w:pPr>
            <w:r/>
            <w:r>
              <w:rPr>
                <w:rFonts w:ascii="Times New Roman" w:hAnsi="Times New Roman" w:eastAsia="仿宋"/>
                <w:b w:val="0"/>
                <w:sz w:val="18"/>
              </w:rPr>
              <w:t>能力外置偏高</w:t>
            </w:r>
          </w:p>
        </w:tc>
      </w:tr>
      <w:tr>
        <w:tc>
          <w:tcPr>
            <w:tcW w:type="dxa" w:w="1769"/>
          </w:tcPr>
          <w:p>
            <w:pPr>
              <w:jc w:val="left"/>
            </w:pPr>
            <w:r/>
            <w:r>
              <w:rPr>
                <w:rFonts w:ascii="Times New Roman" w:hAnsi="Times New Roman" w:eastAsia="仿宋"/>
                <w:b w:val="0"/>
                <w:sz w:val="18"/>
              </w:rPr>
              <w:t>开放式业绩分位（前30%规模占比）</w:t>
            </w:r>
          </w:p>
        </w:tc>
        <w:tc>
          <w:tcPr>
            <w:tcW w:type="dxa" w:w="1769"/>
          </w:tcPr>
          <w:p>
            <w:pPr>
              <w:jc w:val="left"/>
            </w:pPr>
            <w:r/>
            <w:r>
              <w:rPr>
                <w:rFonts w:ascii="Times New Roman" w:hAnsi="Times New Roman" w:eastAsia="仿宋"/>
                <w:b w:val="0"/>
                <w:sz w:val="18"/>
              </w:rPr>
              <w:t>—</w:t>
            </w:r>
          </w:p>
        </w:tc>
        <w:tc>
          <w:tcPr>
            <w:tcW w:type="dxa" w:w="1769"/>
          </w:tcPr>
          <w:p>
            <w:pPr>
              <w:jc w:val="left"/>
            </w:pPr>
            <w:r/>
            <w:r>
              <w:rPr>
                <w:rFonts w:ascii="Times New Roman" w:hAnsi="Times New Roman" w:eastAsia="仿宋"/>
                <w:b w:val="0"/>
                <w:sz w:val="18"/>
              </w:rPr>
              <w:t>1月20.8%→5月75.7%→6月35.6%</w:t>
            </w:r>
          </w:p>
        </w:tc>
        <w:tc>
          <w:tcPr>
            <w:tcW w:type="dxa" w:w="1769"/>
          </w:tcPr>
          <w:p>
            <w:pPr>
              <w:jc w:val="left"/>
            </w:pPr>
            <w:r/>
            <w:r>
              <w:rPr>
                <w:rFonts w:ascii="Times New Roman" w:hAnsi="Times New Roman" w:eastAsia="仿宋"/>
                <w:b w:val="0"/>
                <w:sz w:val="18"/>
              </w:rPr>
              <w:t>可持续的中等偏高</w:t>
            </w:r>
          </w:p>
        </w:tc>
        <w:tc>
          <w:tcPr>
            <w:tcW w:type="dxa" w:w="1769"/>
          </w:tcPr>
          <w:p>
            <w:pPr>
              <w:jc w:val="left"/>
            </w:pPr>
            <w:r/>
            <w:r>
              <w:rPr>
                <w:rFonts w:ascii="Times New Roman" w:hAnsi="Times New Roman" w:eastAsia="仿宋"/>
                <w:b w:val="0"/>
                <w:sz w:val="18"/>
              </w:rPr>
              <w:t>改善不稳，6月快速回吐</w:t>
            </w:r>
          </w:p>
        </w:tc>
      </w:tr>
      <w:tr>
        <w:tc>
          <w:tcPr>
            <w:tcW w:type="dxa" w:w="1769"/>
          </w:tcPr>
          <w:p>
            <w:pPr>
              <w:jc w:val="left"/>
            </w:pPr>
            <w:r/>
            <w:r>
              <w:rPr>
                <w:rFonts w:ascii="Times New Roman" w:hAnsi="Times New Roman" w:eastAsia="仿宋"/>
                <w:b w:val="0"/>
                <w:sz w:val="18"/>
              </w:rPr>
              <w:t>集团协同投放</w:t>
            </w:r>
          </w:p>
        </w:tc>
        <w:tc>
          <w:tcPr>
            <w:tcW w:type="dxa" w:w="1769"/>
          </w:tcPr>
          <w:p>
            <w:pPr>
              <w:jc w:val="left"/>
            </w:pPr>
            <w:r/>
            <w:r>
              <w:rPr>
                <w:rFonts w:ascii="Times New Roman" w:hAnsi="Times New Roman" w:eastAsia="仿宋"/>
                <w:b w:val="0"/>
                <w:sz w:val="18"/>
              </w:rPr>
              <w:t>全年677亿元</w:t>
            </w:r>
          </w:p>
        </w:tc>
        <w:tc>
          <w:tcPr>
            <w:tcW w:type="dxa" w:w="1769"/>
          </w:tcPr>
          <w:p>
            <w:pPr>
              <w:jc w:val="left"/>
            </w:pPr>
            <w:r/>
            <w:r>
              <w:rPr>
                <w:rFonts w:ascii="Times New Roman" w:hAnsi="Times New Roman" w:eastAsia="仿宋"/>
                <w:b w:val="0"/>
                <w:sz w:val="18"/>
              </w:rPr>
              <w:t>上半年321亿元（标债246.6、非标74.5）；资本工具56.7亿元</w:t>
            </w:r>
          </w:p>
        </w:tc>
        <w:tc>
          <w:tcPr>
            <w:tcW w:type="dxa" w:w="1769"/>
          </w:tcPr>
          <w:p>
            <w:pPr>
              <w:jc w:val="left"/>
            </w:pPr>
            <w:r/>
            <w:r>
              <w:rPr>
                <w:rFonts w:ascii="Times New Roman" w:hAnsi="Times New Roman" w:eastAsia="仿宋"/>
                <w:b w:val="0"/>
                <w:sz w:val="18"/>
              </w:rPr>
              <w:t>服务母行与浙江实体</w:t>
            </w:r>
          </w:p>
        </w:tc>
        <w:tc>
          <w:tcPr>
            <w:tcW w:type="dxa" w:w="1769"/>
          </w:tcPr>
          <w:p>
            <w:pPr>
              <w:jc w:val="left"/>
            </w:pPr>
            <w:r/>
            <w:r>
              <w:rPr>
                <w:rFonts w:ascii="Times New Roman" w:hAnsi="Times New Roman" w:eastAsia="仿宋"/>
                <w:b w:val="0"/>
                <w:sz w:val="18"/>
              </w:rPr>
              <w:t>协同有量，需转向质量和独立性</w:t>
            </w:r>
          </w:p>
        </w:tc>
      </w:tr>
      <w:tr>
        <w:tc>
          <w:tcPr>
            <w:tcW w:type="dxa" w:w="1769"/>
          </w:tcPr>
          <w:p>
            <w:pPr>
              <w:jc w:val="left"/>
            </w:pPr>
            <w:r/>
            <w:r>
              <w:rPr>
                <w:rFonts w:ascii="Times New Roman" w:hAnsi="Times New Roman" w:eastAsia="仿宋"/>
                <w:b w:val="0"/>
                <w:sz w:val="18"/>
              </w:rPr>
              <w:t>员工及人均</w:t>
            </w:r>
          </w:p>
        </w:tc>
        <w:tc>
          <w:tcPr>
            <w:tcW w:type="dxa" w:w="1769"/>
          </w:tcPr>
          <w:p>
            <w:pPr>
              <w:jc w:val="left"/>
            </w:pPr>
            <w:r/>
            <w:r>
              <w:rPr>
                <w:rFonts w:ascii="Times New Roman" w:hAnsi="Times New Roman" w:eastAsia="仿宋"/>
                <w:b w:val="0"/>
                <w:sz w:val="18"/>
              </w:rPr>
              <w:t>人均营收184万元、人均创利54万元</w:t>
            </w:r>
          </w:p>
        </w:tc>
        <w:tc>
          <w:tcPr>
            <w:tcW w:type="dxa" w:w="1769"/>
          </w:tcPr>
          <w:p>
            <w:pPr>
              <w:jc w:val="left"/>
            </w:pPr>
            <w:r/>
            <w:r>
              <w:rPr>
                <w:rFonts w:ascii="Times New Roman" w:hAnsi="Times New Roman" w:eastAsia="仿宋"/>
                <w:b w:val="0"/>
                <w:sz w:val="18"/>
              </w:rPr>
              <w:t>员工约162人；上半年净利润0.42亿元</w:t>
            </w:r>
          </w:p>
        </w:tc>
        <w:tc>
          <w:tcPr>
            <w:tcW w:type="dxa" w:w="1769"/>
          </w:tcPr>
          <w:p>
            <w:pPr>
              <w:jc w:val="left"/>
            </w:pPr>
            <w:r/>
            <w:r>
              <w:rPr>
                <w:rFonts w:ascii="Times New Roman" w:hAnsi="Times New Roman" w:eastAsia="仿宋"/>
                <w:b w:val="0"/>
                <w:sz w:val="18"/>
              </w:rPr>
              <w:t>杭银理财2024年末人均营收649万元、创利400万元</w:t>
            </w:r>
          </w:p>
        </w:tc>
        <w:tc>
          <w:tcPr>
            <w:tcW w:type="dxa" w:w="1769"/>
          </w:tcPr>
          <w:p>
            <w:pPr>
              <w:jc w:val="left"/>
            </w:pPr>
            <w:r/>
            <w:r>
              <w:rPr>
                <w:rFonts w:ascii="Times New Roman" w:hAnsi="Times New Roman" w:eastAsia="仿宋"/>
                <w:b w:val="0"/>
                <w:sz w:val="18"/>
              </w:rPr>
              <w:t>价值创造能力差距大</w:t>
            </w:r>
          </w:p>
        </w:tc>
      </w:tr>
    </w:tbl>
    <w:p>
      <w:pPr>
        <w:spacing w:before="160" w:after="0" w:line="360" w:lineRule="exact"/>
        <w:ind w:firstLine="0"/>
        <w:jc w:val="left"/>
      </w:pPr>
      <w:r>
        <w:rPr>
          <w:rFonts w:ascii="Times New Roman" w:hAnsi="Times New Roman" w:eastAsia="楷体"/>
          <w:b w:val="0"/>
          <w:sz w:val="21"/>
        </w:rPr>
        <w:t>注：数据综合自浙银理财月报、述职报告、计财部半年度经营分析、母行2026年中期报告及2025年度评价意见，口径差异已在正文说明。</w:t>
      </w:r>
    </w:p>
    <w:p>
      <w:r>
        <w:br w:type="page"/>
      </w:r>
    </w:p>
    <w:p>
      <w:pPr>
        <w:spacing w:before="0" w:after="120" w:line="560" w:lineRule="exact"/>
        <w:ind w:firstLine="0"/>
        <w:jc w:val="center"/>
      </w:pPr>
      <w:r>
        <w:rPr>
          <w:rFonts w:ascii="Times New Roman" w:hAnsi="Times New Roman" w:eastAsia="黑体"/>
          <w:b w:val="0"/>
          <w:sz w:val="32"/>
        </w:rPr>
        <w:t>附件2</w:t>
      </w:r>
    </w:p>
    <w:p>
      <w:pPr>
        <w:spacing w:before="0" w:after="160" w:line="560" w:lineRule="exact"/>
        <w:ind w:firstLine="0"/>
        <w:jc w:val="center"/>
      </w:pPr>
      <w:r>
        <w:rPr>
          <w:rFonts w:ascii="Times New Roman" w:hAnsi="Times New Roman" w:eastAsia="黑体"/>
          <w:b w:val="0"/>
          <w:sz w:val="32"/>
        </w:rPr>
        <w:t>监管关注与现场检查问题要点（内部掌握）</w:t>
      </w:r>
    </w:p>
    <w:p>
      <w:pPr>
        <w:spacing w:before="0" w:after="160" w:line="400" w:lineRule="exact"/>
        <w:ind w:firstLine="0"/>
        <w:jc w:val="center"/>
      </w:pPr>
      <w:r>
        <w:rPr>
          <w:rFonts w:ascii="Times New Roman" w:hAnsi="Times New Roman" w:eastAsia="楷体"/>
          <w:b w:val="0"/>
          <w:sz w:val="24"/>
        </w:rPr>
        <w:t>本附件仅供行领导及授权范围阅研，请严格控制知悉范围。</w:t>
      </w:r>
    </w:p>
    <w:p>
      <w:pPr>
        <w:spacing w:before="0" w:after="0" w:line="560" w:lineRule="exact"/>
        <w:ind w:firstLine="420"/>
        <w:jc w:val="both"/>
      </w:pPr>
      <w:r>
        <w:rPr>
          <w:rFonts w:ascii="Times New Roman" w:hAnsi="Times New Roman" w:eastAsia="仿宋"/>
          <w:b w:val="0"/>
          <w:sz w:val="32"/>
        </w:rPr>
        <w:t>1.2025年度监管通报主要关注：非标投资占比偏高、低评级融资人占比较高；开放式产品高流动性资产占比偏低；产品信息登记存在错登、到期日变更不及时；整改台账未完整纳入非现场及日常监管提示问题；投资者权益保护方面存在清算期资金孳息管理不规范等问题。监管要求全面落实净值化、三单管理、穿透管理和投资者适当性，严禁资金池、利益输送、净值调节及违规“打榜”等行为，并强调与母行风险隔离、提高经营独立性。</w:t>
      </w:r>
    </w:p>
    <w:p>
      <w:pPr>
        <w:spacing w:before="0" w:after="0" w:line="560" w:lineRule="exact"/>
        <w:ind w:firstLine="420"/>
        <w:jc w:val="both"/>
      </w:pPr>
      <w:r>
        <w:rPr>
          <w:rFonts w:ascii="Times New Roman" w:hAnsi="Times New Roman" w:eastAsia="仿宋"/>
          <w:b w:val="0"/>
          <w:sz w:val="32"/>
        </w:rPr>
        <w:t>2.2026年现场检查进展（据公司6月经营报告）：检查组已出具两批共计56份事实确认书（沟通版），涉及29类问题。公司报告提示，风险资产回表、超范围投资、公司经营独立性、风险限额突破等可能面临较重定性，正在沟通反馈。建议总行合规、风险条线提前掌握进展，统一应对口径，督促公司把整改转化为制度、系统和问责，避免只做“迎检解释”。</w:t>
      </w:r>
    </w:p>
    <w:p>
      <w:pPr>
        <w:spacing w:before="0" w:after="0" w:line="560" w:lineRule="exact"/>
        <w:ind w:firstLine="420"/>
        <w:jc w:val="both"/>
      </w:pPr>
      <w:r>
        <w:rPr>
          <w:rFonts w:ascii="Times New Roman" w:hAnsi="Times New Roman" w:eastAsia="仿宋"/>
          <w:b w:val="0"/>
          <w:sz w:val="32"/>
        </w:rPr>
        <w:t>3.与上半年经营的关联：非标上限制约资产组织和产品供给，是规模难以及时跟上业绩改善的直接原因之一；流动性管理偏弱与季末集中赎回相互放大；独立性与协同投放、资本工具换量如何市场化定价，将是后续监管和审计的焦点。上述问题如在下半年规模冲刺中被再次触碰，将对监管评级和长期牌照空间形成实质性约束。</w:t>
      </w:r>
    </w:p>
    <w:sectPr w:rsidR="00FC693F" w:rsidRPr="0006063C" w:rsidSect="00034616">
      <w:footerReference w:type="default" r:id="rId9"/>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21"/>
      </w:rPr>
      <w:t xml:space="preserve">— </w:t>
    </w:r>
    <w:r>
      <w:rPr>
        <w:rFonts w:ascii="Times New Roman" w:hAnsi="Times New Roman" w:eastAsia="宋体"/>
        <w:b w:val="0"/>
        <w:sz w:val="21"/>
      </w:rPr>
      <w:fldChar w:fldCharType="begin"/>
      <w:instrText xml:space="preserve"> PAGE </w:instrText>
      <w:fldChar w:fldCharType="end"/>
    </w:r>
    <w:r>
      <w:rPr>
        <w:rFonts w:ascii="Times New Roman" w:hAnsi="Times New Roman" w:eastAsia="宋体"/>
        <w:b w:val="0"/>
        <w:sz w:val="21"/>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