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7" w:lineRule="auto"/>
        <w:jc w:val="center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>母  行  内  部</w:t>
      </w:r>
    </w:p>
    <w:p>
      <w:pPr>
        <w:spacing w:before="80" w:after="40" w:line="307" w:lineRule="auto"/>
        <w:jc w:val="center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40"/>
        </w:rPr>
        <w:t>子公司半年度预算执行调研</w:t>
      </w:r>
    </w:p>
    <w:p>
      <w:pPr>
        <w:spacing w:before="0" w:after="160" w:line="307" w:lineRule="auto"/>
        <w:jc w:val="center"/>
        <w:pBdr>
          <w:bottom w:val="single" w:sz="12" w:space="4" w:color="8B1E1E"/>
        </w:pBdr>
      </w:pPr>
      <w:r>
        <w:rPr>
          <w:rFonts w:ascii="文泉驿微米黑" w:hAnsi="文泉驿微米黑" w:eastAsia="文泉驿微米黑" w:cs="文泉驿微米黑"/>
          <w:b/>
          <w:i w:val="0"/>
          <w:color w:val="2B2B2B"/>
          <w:sz w:val="36"/>
        </w:rPr>
        <w:t>财务负责人访谈问题清单</w:t>
      </w:r>
    </w:p>
    <w:p>
      <w:pPr>
        <w:spacing w:before="160" w:after="240" w:line="307" w:lineRule="auto"/>
        <w:jc w:val="center"/>
      </w:pP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供约谈金租财务负责人使用  ·  访谈官内部提纲  ·  含追问、听点与会前要数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shd w:fill="F4EEE6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8B1E1E"/>
                <w:sz w:val="21"/>
              </w:rPr>
              <w:t>访谈对象</w:t>
            </w:r>
          </w:p>
        </w:tc>
        <w:tc>
          <w:tcPr>
            <w:tcW w:type="dxa" w:w="7257"/>
            <w:shd w:fill="FFFFFF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21"/>
              </w:rPr>
              <w:t>子公司财务负责人（计财条线主责；可视问题请司库、计划或资产质量岗列席）</w:t>
            </w:r>
          </w:p>
        </w:tc>
      </w:tr>
      <w:tr>
        <w:trPr>
          <w:cantSplit/>
        </w:trPr>
        <w:tc>
          <w:tcPr>
            <w:tcW w:type="dxa" w:w="2381"/>
            <w:shd w:fill="F4EEE6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8B1E1E"/>
                <w:sz w:val="21"/>
              </w:rPr>
              <w:t>访谈视角</w:t>
            </w:r>
          </w:p>
        </w:tc>
        <w:tc>
          <w:tcPr>
            <w:tcW w:type="dxa" w:w="7257"/>
            <w:shd w:fill="FFFFFF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21"/>
              </w:rPr>
              <w:t>母行计财 / 战略 / 风险 联合调研，不是现场审计，也不是半年考核谈话</w:t>
            </w:r>
          </w:p>
        </w:tc>
      </w:tr>
      <w:tr>
        <w:trPr>
          <w:cantSplit/>
        </w:trPr>
        <w:tc>
          <w:tcPr>
            <w:tcW w:type="dxa" w:w="2381"/>
            <w:shd w:fill="F4EEE6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8B1E1E"/>
                <w:sz w:val="21"/>
              </w:rPr>
              <w:t>建议时长</w:t>
            </w:r>
          </w:p>
        </w:tc>
        <w:tc>
          <w:tcPr>
            <w:tcW w:type="dxa" w:w="7257"/>
            <w:shd w:fill="FFFFFF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21"/>
              </w:rPr>
              <w:t>90—120 分钟。前 70 分钟把账说透，后 20 分钟谈下半年约束，最后 10 分钟对要数</w:t>
            </w:r>
          </w:p>
        </w:tc>
      </w:tr>
      <w:tr>
        <w:trPr>
          <w:cantSplit/>
        </w:trPr>
        <w:tc>
          <w:tcPr>
            <w:tcW w:type="dxa" w:w="2381"/>
            <w:shd w:fill="F4EEE6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8B1E1E"/>
                <w:sz w:val="21"/>
              </w:rPr>
              <w:t>材料依据</w:t>
            </w:r>
          </w:p>
        </w:tc>
        <w:tc>
          <w:tcPr>
            <w:tcW w:type="dxa" w:w="7257"/>
            <w:shd w:fill="FFFFFF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21"/>
              </w:rPr>
              <w:t>金租半年度预算执行汇报、业务管理部经营分析、同业对标及下半年资债安排（内部）</w:t>
            </w:r>
          </w:p>
        </w:tc>
      </w:tr>
      <w:tr>
        <w:trPr>
          <w:cantSplit/>
        </w:trPr>
        <w:tc>
          <w:tcPr>
            <w:tcW w:type="dxa" w:w="2381"/>
            <w:shd w:fill="F4EEE6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8B1E1E"/>
                <w:sz w:val="21"/>
              </w:rPr>
              <w:t>纪律</w:t>
            </w:r>
          </w:p>
        </w:tc>
        <w:tc>
          <w:tcPr>
            <w:tcW w:type="dxa" w:w="7257"/>
            <w:shd w:fill="FFFFFF" w:val="clear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21"/>
              </w:rPr>
              <w:t>本稿及对方提供的数据仅限母行内部使用，不对外、不入库、不转发至非授权人员</w:t>
            </w:r>
          </w:p>
        </w:tc>
      </w:tr>
    </w:tbl>
    <w:p>
      <w:pPr>
        <w:spacing w:before="320" w:after="16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32"/>
        </w:rPr>
        <w:t>一、使用说明（访谈官先读）</w:t>
      </w:r>
    </w:p>
    <w:p>
      <w:pPr>
        <w:spacing w:before="0" w:after="120" w:line="307" w:lineRule="auto"/>
        <w:ind w:firstLine="420"/>
        <w:jc w:val="both"/>
      </w:pP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这份清单不是「把 PPT 再念一遍」，而是把金租已经写在材料里的数字、口径和自相矛盾处，收成可以当面核清的问题。对方是财务负责人，应能回答预算逻辑、利润质量、拨备路径、资本占用和口径勾稽；涉及行业选择、客户画像、复审否决的，允许其说明「需业务或风控补充」，但涉及钱、资本、核销、预测的，不宜转交。</w:t>
      </w:r>
    </w:p>
    <w:p>
      <w:pPr>
        <w:spacing w:before="0" w:after="120" w:line="307" w:lineRule="auto"/>
        <w:ind w:firstLine="420"/>
        <w:jc w:val="both"/>
      </w:pP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问法上注意三层：先让对方用自己的口径讲故事，再抛出材料中的具体数字要求勾稽，最后才抛判断题。不要一上来定性「漏桶」「年报美容」——这些是听点，不是开场白。数字引用保持「你们材料里写的是……请帮我对齐」，既体现母行做了功课，也不把谈话做成质询会。</w:t>
      </w:r>
    </w:p>
    <w:p>
      <w:pPr>
        <w:spacing w:before="160" w:after="8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2B2B2B"/>
          <w:sz w:val="23"/>
        </w:rPr>
        <w:t>访谈官自我约束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 w:val="0"/>
          <w:i w:val="0"/>
          <w:color w:val="8B1E1E"/>
          <w:sz w:val="22"/>
        </w:rPr>
        <w:t xml:space="preserve">•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不在对方未解释前，把「进度过半」说成作假；先核口径，再谈质量。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 w:val="0"/>
          <w:i w:val="0"/>
          <w:color w:val="8B1E1E"/>
          <w:sz w:val="22"/>
        </w:rPr>
        <w:t xml:space="preserve">•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不把业务管理部的自我批评直接念给财务听，避免条线对立；用数字交叉验证即可。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 w:val="0"/>
          <w:i w:val="0"/>
          <w:color w:val="8B1E1E"/>
          <w:sz w:val="22"/>
        </w:rPr>
        <w:t xml:space="preserve">•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融创、酒店等具体项目只问权重、迁徙、拨备和处置，不展开个案道德评价。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 w:val="0"/>
          <w:i w:val="0"/>
          <w:color w:val="8B1E1E"/>
          <w:sz w:val="22"/>
        </w:rPr>
        <w:t xml:space="preserve">•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80 亿风资、四季度净增、核销情景是必须钉住的三件事，时间不够就压缩其他模块。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 w:val="0"/>
          <w:i w:val="0"/>
          <w:color w:val="8B1E1E"/>
          <w:sz w:val="22"/>
        </w:rPr>
        <w:t xml:space="preserve">•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会后 24 小时内整理《口径备忘 + 待补数据清单》，不当场下结论。</w:t>
      </w:r>
    </w:p>
    <w:p>
      <w:pPr>
        <w:spacing w:before="160" w:after="8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2B2B2B"/>
          <w:sz w:val="23"/>
        </w:rPr>
        <w:t>90 分钟时间盒（可按对方风格伸缩）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361"/>
            <w:shd w:fill="8B1E1E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9"/>
              </w:rPr>
              <w:t>时段</w:t>
            </w:r>
          </w:p>
        </w:tc>
        <w:tc>
          <w:tcPr>
            <w:tcW w:type="dxa" w:w="2948"/>
            <w:shd w:fill="8B1E1E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907"/>
            <w:shd w:fill="8B1E1E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9"/>
              </w:rPr>
              <w:t>分钟</w:t>
            </w:r>
          </w:p>
        </w:tc>
        <w:tc>
          <w:tcPr>
            <w:tcW w:type="dxa" w:w="4422"/>
            <w:shd w:fill="8B1E1E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9"/>
              </w:rPr>
              <w:t>必须带走的结论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0–5′</w:t>
            </w:r>
          </w:p>
        </w:tc>
        <w:tc>
          <w:tcPr>
            <w:tcW w:type="dxa" w:w="2948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开场与口径对齐</w:t>
            </w:r>
          </w:p>
        </w:tc>
        <w:tc>
          <w:tcPr>
            <w:tcW w:type="dxa" w:w="907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5</w:t>
            </w:r>
          </w:p>
        </w:tc>
        <w:tc>
          <w:tcPr>
            <w:tcW w:type="dxa" w:w="4422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同一套数、同一套分母</w:t>
            </w:r>
          </w:p>
        </w:tc>
      </w:tr>
      <w:tr>
        <w:trPr>
          <w:cantSplit/>
        </w:trPr>
        <w:tc>
          <w:tcPr>
            <w:tcW w:type="dxa" w:w="1361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5–18′</w:t>
            </w:r>
          </w:p>
        </w:tc>
        <w:tc>
          <w:tcPr>
            <w:tcW w:type="dxa" w:w="2948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预算逻辑与目标治理</w:t>
            </w:r>
          </w:p>
        </w:tc>
        <w:tc>
          <w:tcPr>
            <w:tcW w:type="dxa" w:w="907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13</w:t>
            </w:r>
          </w:p>
        </w:tc>
        <w:tc>
          <w:tcPr>
            <w:tcW w:type="dxa" w:w="4422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千亿和 13.2 亿利润谁是真约束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18–35′</w:t>
            </w:r>
          </w:p>
        </w:tc>
        <w:tc>
          <w:tcPr>
            <w:tcW w:type="dxa" w:w="2948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规模、净增、投放节奏</w:t>
            </w:r>
          </w:p>
        </w:tc>
        <w:tc>
          <w:tcPr>
            <w:tcW w:type="dxa" w:w="907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17</w:t>
            </w:r>
          </w:p>
        </w:tc>
        <w:tc>
          <w:tcPr>
            <w:tcW w:type="dxa" w:w="4422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漏出规模结构 + Q4 突击是否可执行</w:t>
            </w:r>
          </w:p>
        </w:tc>
      </w:tr>
      <w:tr>
        <w:trPr>
          <w:cantSplit/>
        </w:trPr>
        <w:tc>
          <w:tcPr>
            <w:tcW w:type="dxa" w:w="1361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35–55′</w:t>
            </w:r>
          </w:p>
        </w:tc>
        <w:tc>
          <w:tcPr>
            <w:tcW w:type="dxa" w:w="2948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利润质量、利差、司库</w:t>
            </w:r>
          </w:p>
        </w:tc>
        <w:tc>
          <w:tcPr>
            <w:tcW w:type="dxa" w:w="907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20</w:t>
            </w:r>
          </w:p>
        </w:tc>
        <w:tc>
          <w:tcPr>
            <w:tcW w:type="dxa" w:w="4422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利润过半的可复制部分有多少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55–75′</w:t>
            </w:r>
          </w:p>
        </w:tc>
        <w:tc>
          <w:tcPr>
            <w:tcW w:type="dxa" w:w="2948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不良、核销、拨备、资本</w:t>
            </w:r>
          </w:p>
        </w:tc>
        <w:tc>
          <w:tcPr>
            <w:tcW w:type="dxa" w:w="907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20</w:t>
            </w:r>
          </w:p>
        </w:tc>
        <w:tc>
          <w:tcPr>
            <w:tcW w:type="dxa" w:w="4422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7.9 还是 9.6；80 亿风资换什么</w:t>
            </w:r>
          </w:p>
        </w:tc>
      </w:tr>
      <w:tr>
        <w:trPr>
          <w:cantSplit/>
        </w:trPr>
        <w:tc>
          <w:tcPr>
            <w:tcW w:type="dxa" w:w="1361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75–88′</w:t>
            </w:r>
          </w:p>
        </w:tc>
        <w:tc>
          <w:tcPr>
            <w:tcW w:type="dxa" w:w="2948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同业、财税、下半年路径</w:t>
            </w:r>
          </w:p>
        </w:tc>
        <w:tc>
          <w:tcPr>
            <w:tcW w:type="dxa" w:w="907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13</w:t>
            </w:r>
          </w:p>
        </w:tc>
        <w:tc>
          <w:tcPr>
            <w:tcW w:type="dxa" w:w="4422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要走哪条收官路径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88–90′+</w:t>
            </w:r>
          </w:p>
        </w:tc>
        <w:tc>
          <w:tcPr>
            <w:tcW w:type="dxa" w:w="2948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要数与下一步</w:t>
            </w:r>
          </w:p>
        </w:tc>
        <w:tc>
          <w:tcPr>
            <w:tcW w:type="dxa" w:w="907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2+</w:t>
            </w:r>
          </w:p>
        </w:tc>
        <w:tc>
          <w:tcPr>
            <w:tcW w:type="dxa" w:w="4422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资料清单和回复时限</w:t>
            </w:r>
          </w:p>
        </w:tc>
      </w:tr>
    </w:tbl>
    <w:p>
      <w:pPr>
        <w:spacing w:before="320" w:after="16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32"/>
        </w:rPr>
        <w:t>二、会前请对方准备的材料（可提前发出）</w:t>
      </w:r>
    </w:p>
    <w:p>
      <w:pPr>
        <w:spacing w:before="0" w:after="120" w:line="307" w:lineRule="auto"/>
        <w:jc w:val="both"/>
      </w:pP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以下清单可以原样转给财务负责人，作为「会前对齐口径」的请求，不必附带母行评价。能带齐，谈话效率会高一倍；带不齐，访谈中先记缺口、会后补。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c>
          <w:tcPr>
            <w:tcW w:type="dxa" w:w="3213"/>
            <w:shd w:fill="8B1E1E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8B1E1E"/>
              <w:left w:val="single" w:sz="4" w:color="8B1E1E"/>
              <w:bottom w:val="single" w:sz="4" w:color="8B1E1E"/>
              <w:right w:val="single" w:sz="4" w:color="8B1E1E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3213"/>
            <w:shd w:fill="8B1E1E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8B1E1E"/>
              <w:left w:val="single" w:sz="4" w:color="8B1E1E"/>
              <w:bottom w:val="single" w:sz="4" w:color="8B1E1E"/>
              <w:right w:val="single" w:sz="4" w:color="8B1E1E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fill="8B1E1E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8B1E1E"/>
              <w:left w:val="single" w:sz="4" w:color="8B1E1E"/>
              <w:bottom w:val="single" w:sz="4" w:color="8B1E1E"/>
              <w:right w:val="single" w:sz="4" w:color="8B1E1E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9"/>
              </w:rPr>
              <w:t>最低颗粒度</w:t>
            </w:r>
          </w:p>
        </w:tc>
      </w:tr>
      <w:tr>
        <w:trPr>
          <w:cantSplit/>
        </w:trPr>
        <w:tc>
          <w:tcPr>
            <w:tcW w:type="dxa" w:w="794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2381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9"/>
              </w:rPr>
              <w:t>口径说明书一页</w:t>
            </w:r>
          </w:p>
        </w:tc>
        <w:tc>
          <w:tcPr>
            <w:tcW w:type="dxa" w:w="6463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营业收入 / 营业净收入 / 两项收入 / 综合收益率 / 贷款收益率 / 新增 IRR / 利差，六套口径的定义、含税口径、本外币范围。</w:t>
            </w:r>
          </w:p>
        </w:tc>
      </w:tr>
      <w:tr>
        <w:trPr>
          <w:cantSplit/>
        </w:trPr>
        <w:tc>
          <w:tcPr>
            <w:tcW w:type="dxa" w:w="794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2</w:t>
            </w:r>
          </w:p>
        </w:tc>
        <w:tc>
          <w:tcPr>
            <w:tcW w:type="dxa" w:w="2381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9"/>
              </w:rPr>
              <w:t>投放—净增—跑出桥表</w:t>
            </w:r>
          </w:p>
        </w:tc>
        <w:tc>
          <w:tcPr>
            <w:tcW w:type="dxa" w:w="6463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上半年投放、到期、提前结清、转让/处置、其他，轧差到租赁资产净增 24.09 亿。提前结清按对手方拆：他行、集团内、化债/财政、正常经营性退出。</w:t>
            </w:r>
          </w:p>
        </w:tc>
      </w:tr>
      <w:tr>
        <w:trPr>
          <w:cantSplit/>
        </w:trPr>
        <w:tc>
          <w:tcPr>
            <w:tcW w:type="dxa" w:w="794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3</w:t>
            </w:r>
          </w:p>
        </w:tc>
        <w:tc>
          <w:tcPr>
            <w:tcW w:type="dxa" w:w="2381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9"/>
              </w:rPr>
              <w:t>利润质量拆分</w:t>
            </w:r>
          </w:p>
        </w:tc>
        <w:tc>
          <w:tcPr>
            <w:tcW w:type="dxa" w:w="6463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半年净利润 6.64 亿中：负债成本下降贡献、财政扶持、经营租赁边际、核销后收回、投资/估值/汇兑。并给出「扣除财政扶持后的净利润」。</w:t>
            </w:r>
          </w:p>
        </w:tc>
      </w:tr>
      <w:tr>
        <w:trPr>
          <w:cantSplit/>
        </w:trPr>
        <w:tc>
          <w:tcPr>
            <w:tcW w:type="dxa" w:w="794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4</w:t>
            </w:r>
          </w:p>
        </w:tc>
        <w:tc>
          <w:tcPr>
            <w:tcW w:type="dxa" w:w="2381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9"/>
              </w:rPr>
              <w:t>核销双情景对照</w:t>
            </w:r>
          </w:p>
        </w:tc>
        <w:tc>
          <w:tcPr>
            <w:tcW w:type="dxa" w:w="6463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计财预算核销 7.9 亿与风控本金核销 9.6 亿的户数、金额、季度节奏、收回假设；三季度单季核销 5 亿的项目清单（可脱敏到行业+金额）。</w:t>
            </w:r>
          </w:p>
        </w:tc>
      </w:tr>
      <w:tr>
        <w:trPr>
          <w:cantSplit/>
        </w:trPr>
        <w:tc>
          <w:tcPr>
            <w:tcW w:type="dxa" w:w="794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5</w:t>
            </w:r>
          </w:p>
        </w:tc>
        <w:tc>
          <w:tcPr>
            <w:tcW w:type="dxa" w:w="2381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9"/>
              </w:rPr>
              <w:t>资本与 80 亿风资测算</w:t>
            </w:r>
          </w:p>
        </w:tc>
        <w:tc>
          <w:tcPr>
            <w:tcW w:type="dxa" w:w="6463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6 月末杠杆 9.71、资本充足率 12.05%、LCR 105.22% 的驱动因素；四季度风资增量 52.09 亿的构成；80 亿申请的分项和若不批的备选方案。</w:t>
            </w:r>
          </w:p>
        </w:tc>
      </w:tr>
      <w:tr>
        <w:trPr>
          <w:cantSplit/>
        </w:trPr>
        <w:tc>
          <w:tcPr>
            <w:tcW w:type="dxa" w:w="794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6</w:t>
            </w:r>
          </w:p>
        </w:tc>
        <w:tc>
          <w:tcPr>
            <w:tcW w:type="dxa" w:w="2381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9"/>
              </w:rPr>
              <w:t>问题项目计量说明</w:t>
            </w:r>
          </w:p>
        </w:tc>
        <w:tc>
          <w:tcPr>
            <w:tcW w:type="dxa" w:w="6463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风险权重拟由 100% 调至 400% 的项目（含无锡融创、南洋大酒店）的分类依据、拨备、预计损失、处置时间表。</w:t>
            </w:r>
          </w:p>
        </w:tc>
      </w:tr>
      <w:tr>
        <w:trPr>
          <w:cantSplit/>
        </w:trPr>
        <w:tc>
          <w:tcPr>
            <w:tcW w:type="dxa" w:w="794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7</w:t>
            </w:r>
          </w:p>
        </w:tc>
        <w:tc>
          <w:tcPr>
            <w:tcW w:type="dxa" w:w="2381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9"/>
              </w:rPr>
              <w:t>经营租赁盈亏账</w:t>
            </w:r>
          </w:p>
        </w:tc>
        <w:tc>
          <w:tcPr>
            <w:tcW w:type="dxa" w:w="6463"/>
            <w:shd w:fill="FFFFFF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经营租赁收入 +12.64%、成本 +25.93% 的项目层解释；残值假设、折旧政策、空置/提前退租情况。</w:t>
            </w:r>
          </w:p>
        </w:tc>
      </w:tr>
      <w:tr>
        <w:trPr>
          <w:cantSplit/>
        </w:trPr>
        <w:tc>
          <w:tcPr>
            <w:tcW w:type="dxa" w:w="794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8</w:t>
            </w:r>
          </w:p>
        </w:tc>
        <w:tc>
          <w:tcPr>
            <w:tcW w:type="dxa" w:w="2381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9"/>
              </w:rPr>
              <w:t>增值税政策选择</w:t>
            </w:r>
          </w:p>
        </w:tc>
        <w:tc>
          <w:tcPr>
            <w:tcW w:type="dxa" w:w="6463"/>
            <w:shd w:fill="F8F3EC" w:val="clear"/>
            <w:tcMar>
              <w:top w:w="40" w:type="dxa"/>
              <w:left w:w="70" w:type="dxa"/>
              <w:bottom w:w="40" w:type="dxa"/>
              <w:right w:w="7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9"/>
              </w:rPr>
              <w:t>不做差额扣除、少抵进项约 1800 万/年的测算底稿，以及是否已嵌入项目定价。</w:t>
            </w:r>
          </w:p>
        </w:tc>
      </w:tr>
    </w:tbl>
    <w:p>
      <w:pPr>
        <w:spacing w:before="320" w:after="16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32"/>
        </w:rPr>
        <w:t>三、访谈问题正文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0  开场与口径对齐    ·    建议 5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本段意图：先把「我们读的是同一份数」坐实，避免后边各说各话。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问0.1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请用三句话概括你们自己怎么看这半年：规模、效益、风险，哪一句是实的，哪一句是在管理预期？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若对方仍用「规模微增、营收承压、风险可控」或「效益进度过半」，请其解释：总资产完成率 47.07% 与租赁资产净增完成率 25.97%，哪一个才是经营真实进度。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若坚持用总资产说话，多半会把货币资金多增 22.84 亿算作成绩。记下，后面问闲置资金的机会成本。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问0.2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请当场确认几处材料口径，避免后面讨论建立在错的分母上。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（1）投放 187.71 亿与同业表 185.06 亿差在哪里；（2）左栏租赁不良 1.06%、贷款不良 1.35%，右栏是否写反；（3）综合收益率 4.80%、贷款收益率 5.00%、新增 IRR 4.75%、利差 2.76%，四套利率各管什么、能否出一张对照。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财务负责人若不能当场对齐，说明计财内部也没有「一张利率表」。这是管理水平信号，不是细节。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会后要一页「六套收益口径对照」。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1  预算逻辑与目标治理    ·    建议 13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本段意图：先审预算本身。2026 年预算已主动接受 ROE 从 15.18% 降到 13%、利润只增 2.57%。半年评价必须先问：这套预算还算不算有效约束。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问1.1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年初把总资产锚在 1000 亿、净利润只锚在 13.20 亿（+2.57%），当时的取舍逻辑是什么？千亿和利润，对班子考核哪个权重大？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谁拍的板——董事会、母行、金租党委会还是计财倒推？若下半年规模明显到不了 1000 亿，利润 13.20 亿的约束是否仍然成立，还是会跟着规模松绑？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听「千亿是形象/监管评级/集团任务」还是「业务储备支撑」。若是前者，四季度突击的动机就已经清楚。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问1.2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预算里 ROA 1.53%→1.39%、ROE 15.18%→13.00%，营业支出 +16.59%、经营租赁成本 +29.50%。这是「主动让回报换规模」，还是「已经预见到息差和成本结构变差」？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让回报换到的规模，上半年并没有换到。请对方回答：继续执行原预算，还是应在半年节点重置规模目标、守住利润质量和资本约束？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优秀的财务负责会主动提出重置净增目标。若坚称「四季度一定补上」，进入红旗。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问1.3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租赁资产半年净增目标 93 亿（年 92.75 亿量级）的测算底稿还在吗？当时对提前结清、到期和投放的假设分别是多少？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上半年实际净增 24.09 亿。请把「假设 vs 实际」拆开：是投放假设错了，还是跑出假设错了？错在哪一个季度被发现，有没有做滚动预算？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Q2 净增只剩 1.13 亿，若 6 月还没有滚动预算，计划管理是失灵的。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年初净增测算底稿；6 月末滚动预算（如有）。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问1.4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短周期三个圈——净利润约 2.5%、拨备率 3%、不良率 1.25%——现在已经拧着。财务上准备牺牲哪一个，来保另外两个？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请不要给「三个都保」的答案。半年不良已到 1.35%，覆盖率从 275% 降到 258%。请给出有顺序的取舍。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没有取舍顺序，后面的「自平衡拨备」就是在调指标。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2  规模、净增与「留得住的资产」    ·    建议 17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本段意图：这是经营账的核心。投放尚可、净增塌陷，财务必须能把桥表讲清楚。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问2.1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请当场走一遍桥表：投放约 187.71 亿，净增 24.09 亿，中间大约 163 亿怎么出去的？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请按到期还款、提前结清、资产转让/核销处置、汇率及其他拆开。提前结清再按对手方拆：他行置换、集团内（含母行）置换、化债/财政、客户自有资金、经营性退出。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若「集团内置换」说不清楚，说明集团客户协同是盲区。若提前结清占比很高却没有久期损失测算，司库与计划是断开的。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上半年投放—净增—跑出桥表（分月）。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问2.2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总资产较年初 +45.21 亿，货币资金就 +22.84 亿。这 22.84 亿是流动性储备、投放备付，还是资产没接住的被动淤积？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日均生息资产只增 6.78%，付息负债增 11.33%。多出来的负债停在哪、成本多少、对利差拖累多少个 BP？有没有给闲置资金算过机会成本？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「为了 LCR」可以接受，但 LCR 上半年长期贴 100%，到二季度末才 105%。若一边堆现金一边贴流动性预警，逻辑需要圆。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问2.3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租赁资产 873.64 亿（一季末）降到 871.72 亿（6 月末），贷款 679.84 降到 676.53。二季度是净缩表。财务何时向经营层发出过预警？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预警是口头的还是写入月度经营会？对应采取了什么财务约束（额度、定价、资本）？还是只在半年汇报里才写成「不及预期」？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财务若只在半年才正式预警，计财的管理功能偏弱，更像事后报表。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问2.4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你们自己写：四季度租赁资产净增预计 49.66 亿，占全年净增计划 48.61%。请按「已批未放 / 已上会 / 储备 / 尚无项目」四档，说明这 49.66 亿今天分别有多少。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四档比例若「尚无项目」超过三成，所谓预测就不是预测。已批未放的平均收益率、直租占比、是否含 4.50% 以下项目？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7 月规模增量只列了 1.59 亿，与四季度 28.64—49.66 的跳升强烈不匹配。请对方解释 8—9 月的爬坡曲线，而不是只给年末时点。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四季度项目储备四档表（金额、利率、行业、资本占用）。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问2.5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上半年本外币投放 167.51 亿，25 日及以后占 39%，平均投放日 18.02 天。财务有没有测算过「月末集中投放」对利息收入的年化损失？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材料用缺口 35 亿、净收益 2.7% 匡算影响营收约 5000 万。请打开：2.7% 是净息差、综合收益还是风险调整后收益？5000 万是否已纳入全年营收预测 39.23 亿？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若 5000 万已计入预测仍缺口 0.77 亿，说明还有未写明的缺口。若未计入，预测偏乐观。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3  利润质量：过半的是会计，还是能力    ·    建议 20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本段意图：净利润完成 50.32% 是对方最容易拿来防守的数字。本段要把 6.64 亿拆开。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问3.1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请把半年净利润 6.64 亿按贡献拆成五块：生息规模、资产收益率、负债成本、经营租赁边际、非经常性（财政扶持、投资、估值、汇兑、核销收回）。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我们从材料里看到的图像是：贷款利息收入同比几乎持平（-0.13%），利息支出少约 3000 万，核心两项收入只 +3.55%，财政扶持约 5592 万。请确认或修正这张图像。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能当场拆、数字接近材料，说明计财有质量账。只能说「综合因素」，质量管理没有抓手。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利润贡献桥（同比）。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问3.2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其他收益中的财政扶持资金 5592 万，性质、是否经常、是否有附加条件、下半年是否还能进账？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扣除这笔之后，半年净利润和完成率分别是多少？全年预测 13.00 亿里还嵌了多少同类款项？母行并表时，这笔应进经常性利润还是非经常性？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若没有这笔就过不了 50%，「效益进度过半」必须改口径对外（对内）表述。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问3.3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经营租赁收入 +12.64%、成本 +25.93%，全年预算成本还要 +29.50%。请解释这门业务的单项目 IRR 和会计利润为什么在分叉。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成本超收入增速，是折旧集中、新资产空置、残值假设修正，还是定价没覆盖全成本（含税差、资本、处置）？「加大经营租赁作为规模与效益调节器」在财务上是否仍然成立？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若承认调节器做的是规模不是效益，则下半年再用经营租赁补营收缺口，是在重复预算里已经写明的利润挤压。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经营租赁项目层：收入、折旧、残值、空置、税。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问3.4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手续费净收入半年 -0.11 亿，全年预测 -0.29 亿，对预算 0.01 亿缺口 0.29 亿。下半年写的「租团服务中收、资产流转收益」，对应的已落地合同有多少？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中收是能力项还是调节项？若上半年为负，下半年突然作为补 2000 万利润缺口的主力，请给可签约名单，而不是方向性表述。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没有名单，这条对策应从收官方案里拿掉。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问3.5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投资收益、公允价值、汇兑半年均为负。这是交易盘、汇率敞口还是估值模型？下半年是否还会扩大？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有没有止损和敞口限额？这三项在全年预测里是按「不再亏损」还是按「继续亏」编的？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预测若假设不再亏，需看限额制度；若继续亏，13.00 亿还要再留余量。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问3.6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新增人民币贷款 IRR 算术平均 4.75% 咬住预算，贷款日均收益率 5.00% 却比预算 4.83% 高 17BP。存量比增量贵，是正常的重定价滞后，还是提前结清正在抽走高收益资产？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下半年列的税前投放利率一律 4.50%。请测算：若四季度按 4.50% 放 28—50 亿，对 2027 年日均收益率的下拉是多少个 BP？「以价换量」在财务上的盈亏平衡规模是多少？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说不清盈亏平衡，就是没有价格纪律。4.50% 低于半年综合收益 4.80% 和贷款收益 5.00%，是主动下台阶。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问3.7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负债成本是半年最大功臣：人民币新融资 1.82%（预算 1.9%），美元 3.97%（预算 4.2%），付息成本率 2.05%、同比 -32BP。这部分红利 2026 年四季度到 2027 年还能吃多久？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负债日均 +11.33%，债券规模 +51.16%。主动负债加的是短期钱还是长期钱？与资产久期、提前结清后的再投资风险如何匹配？若市场利率不再下，利润对负债成本的弹性有多大？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财务负责人应能给出「负债红利还剩几个季度」的判断。给不出，利润预测就是外推。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4  资产质量、核销与「自平衡拨备」    ·    建议 12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本段意图：财务必须能解释不良 V 型、覆盖率轨迹和两套核销情景，不能把问题全推给风控。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问4.1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不良率一季度 1.40%、二季度 1.35%，仍高于年目标 1.25%。二季度回落，有多少来自真实好转，有多少来自核销、转让或分母变化？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请给一季度到二季度不良余额的迁徙：新生成、升级、核销、收回、转让。没有迁徙表，V 型不能写成「阶段性」。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减值计提进度 53.10%，不良已经超年目标——计提是按模型还是按利润空间？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半年不良迁徙表。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问4.2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材料写「核销需求增加，需自平衡拨备」。请用财务语言解释：自平衡，平衡的是预期信用损失，还是年末覆盖率、不良率、净利润三线？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路径很清楚：三季度核销 5 亿、覆盖率落到 245%，四季度靠收回和贷款做到 718 亿，把覆盖率拉回 265%、不良拉回 1.25%。请确认这是不是年报轨迹设计。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若承认是指标轨迹，母行可以讨论是否允许；若坚称是风险真实改善，请出示生成率下降的证据。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问4.3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计财预算核销 7.9 亿、收回 1.5 亿；风控最新情景本金核销 9.6 亿。两套数现在用哪套编 13.00 亿利润？差距 1.7 亿如何消化？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核销后收回全年要做到 3.81 亿，去年只有 0.89 亿。请按「已签约 / 已立案 / 意向 / 经验值」四档拆 3.81 亿。经验值超过一半，则利润里有暗杠杆。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财务与风控不在同一情景，是半年度最不该带出会议室的问题。必须当场定：对外（对母行）用哪套。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双情景对照 + 收回四档表。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问4.4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拨备覆盖率 258% 对内部目标 250% 是达标的，对股份行金租均值约 421% 是明显偏低的。财务怎么看这个差距？是风险真实更低，还是历史拨备策略更激进？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近三年利润结构里，减值约占收入 30%。这是「高息差覆盖高信用成本」的模式。息差在下，核销在上，这个模式的财务可持续边界在哪一年？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好的回答会主动对标招银/兴业的低减值高利润份额，并承认浙银是另一条曲线。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5  资本、杠杆与八十亿风资    ·    建议 8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本段意图：长期页把资本画成中心，执行页向总行要 80 亿。必须问交换条件。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问5.1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杠杆 9.71 已破内部预警（≥9），监管上限 10；LCR 105%，预警线 120%；资本充足率 12.05%，低于同业约 14.4%。请按财务口径说明：当前是「主动经营在走廊下沿」，还是「被动贴线」？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资本充足率从年初 11.67% 升到 12.05%，有多少是内生利润，有多少是投放没做上去带来的风险资产少增？若四季度按计划扩表，12.05% 会回到什么位置？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「被动改善」必须说破，否则会把少投放当成资本管理成绩。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问5.2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向总行争取 80 亿风资增量，对应的是保 1000 亿，还是保监管指标，还是已经算过的优质项目？请按用途拆这 80 亿。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四季度规模增量 28.64 亿、风资增量 52.09 亿，单位规模的资本消耗在变差。变差有多少来自业务结构，有多少来自存量项目权重上调？若不批 80 亿，规模、利润、监管指标各会落到哪条备选路径？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没有「不批」的备选方案，这不是申请，是摊派。母行应听备选，而不是听诉求。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80 亿分项测算 + 不批情景。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问5.3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无锡融创、南洋大酒店风险权重拟从 100% 提到 400%。请说明分类依据、时点、对资本和拨备的影响，以及是否还有同类项目在观察名单上。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融创权重上升多占风资约 9.44 亿，酒店列了处置 1.96 亿。这些在半年利润、年末不良和 80 亿申请里分别进了哪一笔？有没有做到「项目—拨备—资本—利润」四线联动？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400% 不是普通计量调整。财务若只当 RWA 技术问题，说明风险与计财仍是两本账。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400% 权重项目清单（可脱敏）及四线联动表。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6  同业坐标与集团功能    ·    建议 6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本段意图：财务对标往往停在 ROE。母行要听的是：高 ROE 来自杠杆还是来自资产。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问6.1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同业表上，投放同比 -14.18%、股份行金租均值 +21.20%。这是主动收风险，还是丢份额？财务在月度会上如何解释这条背离？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净利润 +6.75%、同行均值 -9.12%，是真超同业，还是基数、拨备和杠杆的结果？若把覆盖率补到同业中枢，半年利润还剩多少？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能做「补拨备后的利润」敏感性，才是母行想要的财务。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问6.2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ROE 14.06%、杠杆全行业前三、覆盖率低于均值约 160 个点。请用一句话定义金租目前的财务模式。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这个模式与集团要金租承担的功能（直租、设备、浙江、「两新」、经营租赁能力）是否匹配？财务如何参与业务准入和定价，而不是只在事后算完成率？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若财务不参与准入，计财就只是「进度播报员」。问一句即可，听对方是否主动要权。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7  财税、费用与内控    ·    建议 7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本段意图：这是财务的本业。问得细，是尊重对方专业，也是看执行是否落到项目。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问7.1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直租进销项税率不一致，材料给出「税差×113%」补足。这套公式是否已嵌入项目收益测算和合同报价？上半年有多少项目是事后发现税差、靠内部消化的？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不做增值税差额扣除、跟同业开全额专票，一年大约少抵 1800 万。这笔成本进了项目定价，还是进了总盘利润缺口？客户若强要专票，有没有「专票溢价」清单？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公式写在提示页、没有进系统，等于没有管住。1800 万应进全成本，不应在年底当「意外少一块」。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税差补足嵌入情况；1800 万测算底稿。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问7.2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息费减免、提前结清违约金减免，要求客户盖章书面申请。上半年减免了多少本金利息、多少违约金，对应留存了多少资产？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减免与提前结清是什么关系：是留客的对价，还是结清的配套？有没有单笔超权限、先减后补件的情况？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没有台账，税务和审计风险与商业让利是两本糊涂账。</w:t>
      </w:r>
    </w:p>
    <w:p>
      <w:pPr>
        <w:spacing w:before="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1"/>
        </w:rPr>
        <w:t xml:space="preserve">要数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上半年息费减免台账（金额、权限、是否换来留存）。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问7.3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业管费进度 44.84%，看起来匹配时间。但营业费用同比 +161%，拓展费用预算 +72%、列支进度只有 23%、同比 -33%。财务如何解释「总量合规、结构反战略」？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全行 56 号文要求总量下降、结构调整。金租业管费预算本身 +10.05%。「过紧日子」压的是哪一类？会不会继续压已经偏低的拓展费，从而加重获客失速？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费用管理若只砍总额，会伤害已经失速的市场能力。听对方是否有结构观。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8  下半年路径：请财务选一条，不要叠三套    ·    建议 13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本段意图：材料里同时出现稳盘、以价换量、Q4 补净增、要资本、核销自平衡。财务必须选主路径。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问8.1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如果母行只允许你们在下面三条里选一条作为下半年财务主约束，选哪一条？请不要折中。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路径 A：保 1000 亿和 13.20 亿，接受 4.50% 定价和四季度突击。路径 B：保利润质量和监管走廊，规模可以不到千亿，净增目标重置。路径 C：利润可以略低于 13.20 亿，但必须把覆盖率、杠杆、400% 权重项目和提前结清率做到约定值。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选 A，后面只谈闸门和限额。选 B/C，当场记为可合作的共识雏形。选「三个都要」，谈话没有结束。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问8.2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全年营收预测 39.23 对预算 40.00，利润 13.00 对 13.20。这 2000 万缺口，按你们自己的四条对策，分别能贡献多少？请给金额，不要给方向。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四条是：风险调整后收益与核销归仓、压负债成本、租团中收与流转、控费用。上半年负债成本和费用已经用过了，剩余弹性在哪？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2000 万不值得用 50 亿问题资产去换。若对方同意这句话，可以进入共同约束；若不同意，记下「规模情结」的强度。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问8.3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财务希望母行下半年给什么、不给什么？请具体到：风资额度、考核权重、定价授权、复审效率、集团客户不互挖规则。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反过来：金租计财愿意接受哪些硬约束——例如 4.50% 以下须报备、月末最后五天投放限额、核销按风控情景出数、利润考核改为「扣财政扶持后」？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这是收口题。好的财务负责人会要规则，而不是只要资源。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问8.4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如果 2027 年负债成本不再下降、财政扶持不再来、四季度按 4.50% 放进去的资产开始重定价，金租靠什么维持 13 亿以上的利润？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请给一个没有「周期红利」的 2027 年利润敏感性（粗算即可）：收益率再掉 20BP、核销维持 9 亿、规模不到千亿，利润落到什么区间？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这是前瞻题，用来看财务是不是只对今年负责。能做敏感性的，水平就出来了。</w:t>
      </w:r>
    </w:p>
    <w:p>
      <w:pPr>
        <w:spacing w:before="240" w:after="12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6"/>
        </w:rPr>
        <w:t>9  收口与会后安排    ·    建议 会末 5 分钟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本段意图：不当场定性，把数字和承诺钉在纸上。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问9.1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今天谈及但带不走的数，请在几个工作日内补齐？建议不超过 5 个工作日。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请对方指定一名计财联络人。补充材料按「二、会前材料」八项对号，缺什么补什么。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超过 5 个工作日仍缺桥表、双情景核销、80 亿分项，应上升为正式书面问询。</w:t>
      </w:r>
    </w:p>
    <w:p>
      <w:pPr>
        <w:spacing w:before="16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问9.2  </w:t>
      </w:r>
      <w:r>
        <w:rPr>
          <w:rFonts w:ascii="文泉驿微米黑" w:hAnsi="文泉驿微米黑" w:eastAsia="文泉驿微米黑" w:cs="文泉驿微米黑"/>
          <w:b/>
          <w:i w:val="0"/>
          <w:color w:val="2B2B2B"/>
          <w:sz w:val="22"/>
        </w:rPr>
        <w:t>有没有今天我没问到、但你认为母行必须知道的财务事项？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3D5A4C"/>
          <w:sz w:val="21"/>
        </w:rPr>
        <w:t xml:space="preserve">追问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留 30 秒沉默。或有事项、监管沟通、审计调整、税审、担保、表外承诺，往往在这句之后出现。</w:t>
      </w:r>
    </w:p>
    <w:p>
      <w:pPr>
        <w:spacing w:before="0" w:after="4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听点  </w:t>
      </w:r>
      <w:r>
        <w:rPr>
          <w:rFonts w:ascii="文泉驿微米黑" w:hAnsi="文泉驿微米黑" w:eastAsia="文泉驿微米黑" w:cs="文泉驿微米黑"/>
          <w:b w:val="0"/>
          <w:i w:val="0"/>
          <w:color w:val="555555"/>
          <w:sz w:val="21"/>
        </w:rPr>
        <w:t>主动披露加分；完全没有补充，也记下。</w:t>
      </w:r>
    </w:p>
    <w:p>
      <w:pPr>
        <w:spacing w:before="320" w:after="16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32"/>
        </w:rPr>
        <w:t>四、访谈官口袋卡：必须对齐的数字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1"/>
        </w:rPr>
        <w:t>谈话中不必全部念出，但对方解释若与下表偏离较大，应立即追问「请按你们 PPT 的数重新走一遍」。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247"/>
            <w:shd w:fill="8B1E1E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7"/>
              </w:rPr>
              <w:t>主题</w:t>
            </w:r>
          </w:p>
        </w:tc>
        <w:tc>
          <w:tcPr>
            <w:tcW w:type="dxa" w:w="4535"/>
            <w:shd w:fill="8B1E1E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7"/>
              </w:rPr>
              <w:t>材料中的数</w:t>
            </w:r>
          </w:p>
        </w:tc>
        <w:tc>
          <w:tcPr>
            <w:tcW w:type="dxa" w:w="3855"/>
            <w:shd w:fill="8B1E1E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FFFFFF"/>
                <w:sz w:val="17"/>
              </w:rPr>
              <w:t>要对齐的问题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规模</w:t>
            </w:r>
          </w:p>
        </w:tc>
        <w:tc>
          <w:tcPr>
            <w:tcW w:type="dxa" w:w="453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总资产 949.16，+45.21；租赁资产净增 24.09，完成率 25.97%；贷款净增 21.07%</w:t>
            </w:r>
          </w:p>
        </w:tc>
        <w:tc>
          <w:tcPr>
            <w:tcW w:type="dxa" w:w="385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总资产增量里现金 22.84 亿是否算经营成绩</w:t>
            </w:r>
          </w:p>
        </w:tc>
      </w:tr>
      <w:tr>
        <w:trPr>
          <w:cantSplit/>
        </w:trPr>
        <w:tc>
          <w:tcPr>
            <w:tcW w:type="dxa" w:w="1247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节奏</w:t>
            </w:r>
          </w:p>
        </w:tc>
        <w:tc>
          <w:tcPr>
            <w:tcW w:type="dxa" w:w="453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Q2 净增 1.13；Q4 预计 49.66，占年计划 48.61%；7 月仅 1.59</w:t>
            </w:r>
          </w:p>
        </w:tc>
        <w:tc>
          <w:tcPr>
            <w:tcW w:type="dxa" w:w="385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四季度四档储备；7–9 月爬坡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投放</w:t>
            </w:r>
          </w:p>
        </w:tc>
        <w:tc>
          <w:tcPr>
            <w:tcW w:type="dxa" w:w="453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187.71 / 同业表 185.06；月末 25 日后 39%；平均 18.02 天</w:t>
            </w:r>
          </w:p>
        </w:tc>
        <w:tc>
          <w:tcPr>
            <w:tcW w:type="dxa" w:w="385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口径差；月末投放的利息损失</w:t>
            </w:r>
          </w:p>
        </w:tc>
      </w:tr>
      <w:tr>
        <w:trPr>
          <w:cantSplit/>
        </w:trPr>
        <w:tc>
          <w:tcPr>
            <w:tcW w:type="dxa" w:w="1247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效益</w:t>
            </w:r>
          </w:p>
        </w:tc>
        <w:tc>
          <w:tcPr>
            <w:tcW w:type="dxa" w:w="453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净利 6.64，完成 50.32%；营收完成 49.15%；预测净利 13.00 / 预算 13.20</w:t>
            </w:r>
          </w:p>
        </w:tc>
        <w:tc>
          <w:tcPr>
            <w:tcW w:type="dxa" w:w="385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扣财政扶持后是否过半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结构</w:t>
            </w:r>
          </w:p>
        </w:tc>
        <w:tc>
          <w:tcPr>
            <w:tcW w:type="dxa" w:w="453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核心两项收入 +3.55%；财政扶持 5592 万；手续费 -0.11</w:t>
            </w:r>
          </w:p>
        </w:tc>
        <w:tc>
          <w:tcPr>
            <w:tcW w:type="dxa" w:w="385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可复制增长只有 3% 出头</w:t>
            </w:r>
          </w:p>
        </w:tc>
      </w:tr>
      <w:tr>
        <w:trPr>
          <w:cantSplit/>
        </w:trPr>
        <w:tc>
          <w:tcPr>
            <w:tcW w:type="dxa" w:w="1247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租赁</w:t>
            </w:r>
          </w:p>
        </w:tc>
        <w:tc>
          <w:tcPr>
            <w:tcW w:type="dxa" w:w="453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经租收入 +12.64%，成本 +25.93%；预算成本 +29.50%</w:t>
            </w:r>
          </w:p>
        </w:tc>
        <w:tc>
          <w:tcPr>
            <w:tcW w:type="dxa" w:w="385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是不是在亏着做规模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利差</w:t>
            </w:r>
          </w:p>
        </w:tc>
        <w:tc>
          <w:tcPr>
            <w:tcW w:type="dxa" w:w="453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利差 2.76%，+1BP；资产收益 4.81% -32BP；负债成本 2.05% -32BP</w:t>
            </w:r>
          </w:p>
        </w:tc>
        <w:tc>
          <w:tcPr>
            <w:tcW w:type="dxa" w:w="385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红利还能吃几季；4.50% 下台阶</w:t>
            </w:r>
          </w:p>
        </w:tc>
      </w:tr>
      <w:tr>
        <w:trPr>
          <w:cantSplit/>
        </w:trPr>
        <w:tc>
          <w:tcPr>
            <w:tcW w:type="dxa" w:w="1247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质量</w:t>
            </w:r>
          </w:p>
        </w:tc>
        <w:tc>
          <w:tcPr>
            <w:tcW w:type="dxa" w:w="453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不良 1.35% / 目标 1.25%；覆盖率 258%（年初 275%，同业约 421%）</w:t>
            </w:r>
          </w:p>
        </w:tc>
        <w:tc>
          <w:tcPr>
            <w:tcW w:type="dxa" w:w="385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V 型有多少是核销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核销</w:t>
            </w:r>
          </w:p>
        </w:tc>
        <w:tc>
          <w:tcPr>
            <w:tcW w:type="dxa" w:w="453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预算 7.9；风控 9.6；Q3 计划 5.0；收回要做到 3.81（上年 0.89）</w:t>
            </w:r>
          </w:p>
        </w:tc>
        <w:tc>
          <w:tcPr>
            <w:tcW w:type="dxa" w:w="385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用哪套编利润</w:t>
            </w:r>
          </w:p>
        </w:tc>
      </w:tr>
      <w:tr>
        <w:trPr>
          <w:cantSplit/>
        </w:trPr>
        <w:tc>
          <w:tcPr>
            <w:tcW w:type="dxa" w:w="1247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资本</w:t>
            </w:r>
          </w:p>
        </w:tc>
        <w:tc>
          <w:tcPr>
            <w:tcW w:type="dxa" w:w="453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杠杆 9.71；CAR 12.05%；LCR 105%；要 80 亿风资；Q4 风资 52 / 规模 29</w:t>
            </w:r>
          </w:p>
        </w:tc>
        <w:tc>
          <w:tcPr>
            <w:tcW w:type="dxa" w:w="385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不批 80 亿怎么办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项目</w:t>
            </w:r>
          </w:p>
        </w:tc>
        <w:tc>
          <w:tcPr>
            <w:tcW w:type="dxa" w:w="453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融创、酒店权重 100%→400%；融创多占约 9.44 亿风资；酒店处置 1.96 亿</w:t>
            </w:r>
          </w:p>
        </w:tc>
        <w:tc>
          <w:tcPr>
            <w:tcW w:type="dxa" w:w="385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四线是否联动</w:t>
            </w:r>
          </w:p>
        </w:tc>
      </w:tr>
      <w:tr>
        <w:trPr>
          <w:cantSplit/>
        </w:trPr>
        <w:tc>
          <w:tcPr>
            <w:tcW w:type="dxa" w:w="1247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同业</w:t>
            </w:r>
          </w:p>
        </w:tc>
        <w:tc>
          <w:tcPr>
            <w:tcW w:type="dxa" w:w="453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投放 -14% vs 均值 +21%；不良倒数第二；杠杆行业前三</w:t>
            </w:r>
          </w:p>
        </w:tc>
        <w:tc>
          <w:tcPr>
            <w:tcW w:type="dxa" w:w="385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高 ROE 的来源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费用</w:t>
            </w:r>
          </w:p>
        </w:tc>
        <w:tc>
          <w:tcPr>
            <w:tcW w:type="dxa" w:w="453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业管费进度 44.84%；营业费用 +161%；拓展费进度 23%</w:t>
            </w:r>
          </w:p>
        </w:tc>
        <w:tc>
          <w:tcPr>
            <w:tcW w:type="dxa" w:w="3855"/>
            <w:shd w:fill="FFFFFF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结构反战略</w:t>
            </w:r>
          </w:p>
        </w:tc>
      </w:tr>
      <w:tr>
        <w:trPr>
          <w:cantSplit/>
        </w:trPr>
        <w:tc>
          <w:tcPr>
            <w:tcW w:type="dxa" w:w="1247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/>
                <w:i w:val="0"/>
                <w:color w:val="2B2B2B"/>
                <w:sz w:val="17"/>
              </w:rPr>
              <w:t>财税</w:t>
            </w:r>
          </w:p>
        </w:tc>
        <w:tc>
          <w:tcPr>
            <w:tcW w:type="dxa" w:w="453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税差×113%；放弃差额扣除约 1800 万/年</w:t>
            </w:r>
          </w:p>
        </w:tc>
        <w:tc>
          <w:tcPr>
            <w:tcW w:type="dxa" w:w="3855"/>
            <w:shd w:fill="F8F3EC" w:val="clear"/>
            <w:tcMar>
              <w:top w:w="36" w:type="dxa"/>
              <w:left w:w="60" w:type="dxa"/>
              <w:bottom w:w="36" w:type="dxa"/>
              <w:right w:w="60" w:type="dxa"/>
            </w:tcMar>
            <w:tcBorders>
              <w:top w:val="single" w:sz="4" w:color="E6D9C8"/>
              <w:left w:val="single" w:sz="4" w:color="E6D9C8"/>
              <w:bottom w:val="single" w:sz="4" w:color="E6D9C8"/>
              <w:right w:val="single" w:sz="4" w:color="E6D9C8"/>
            </w:tcBorders>
          </w:tcPr>
          <w:p>
            <w:r/>
            <w:r>
              <w:rPr>
                <w:rFonts w:ascii="文泉驿微米黑" w:hAnsi="文泉驿微米黑" w:eastAsia="文泉驿微米黑" w:cs="文泉驿微米黑"/>
                <w:b w:val="0"/>
                <w:i w:val="0"/>
                <w:color w:val="2B2B2B"/>
                <w:sz w:val="17"/>
              </w:rPr>
              <w:t>进没进定价</w:t>
            </w:r>
          </w:p>
        </w:tc>
      </w:tr>
    </w:tbl>
    <w:p>
      <w:pPr>
        <w:spacing w:before="320" w:after="16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32"/>
        </w:rPr>
        <w:t>五、红旗信号（只给访谈官，不发给对方）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1.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用总资产完成率替代租赁资产净增完成率，且不愿拆货币资金。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2.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坚持「三个圈都能保」，或坚持四季度净增 49.66 亿但给不出四档储备。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3.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利润过半不扣除非经常性，或把财政扶持说成经常性能力。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4.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核销坚持用 7.9 亿出数，对风控 9.6 亿情景没有吸收方案。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5.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3.81 亿收回主要是「经验值」，没有户名单。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6.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80 亿风资没有「不批」备选，或把 400% 权重项目只当计量技术问题。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7.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「以价换量」与「稳盘」同时成立，且 4.50% 没有盈亏平衡测算。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8.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集团内置换说不清，或把母行复审否决完全归因于「共识不足」。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9.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费用只谈总量进度，不解释拓展费不花、营业费翻倍。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3A1A"/>
          <w:sz w:val="21"/>
        </w:rPr>
        <w:t xml:space="preserve">10.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1"/>
        </w:rPr>
        <w:t>对 2027 年没有无红利情景，只对今年考核负责。</w:t>
      </w:r>
    </w:p>
    <w:p>
      <w:pPr>
        <w:spacing w:before="320" w:after="160" w:line="307" w:lineRule="auto"/>
        <w:jc w:val="left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32"/>
        </w:rPr>
        <w:t>六、会后建议产出（访谈官自己写，不要求对方写）</w:t>
      </w:r>
    </w:p>
    <w:p>
      <w:pPr>
        <w:spacing w:before="0" w:after="12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谈话结束不要追求当场结论。建议 24—48 小时内形成三页纸，供母行计财/风控会商：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 w:val="0"/>
          <w:i w:val="0"/>
          <w:color w:val="8B1E1E"/>
          <w:sz w:val="22"/>
        </w:rPr>
        <w:t xml:space="preserve">•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《口径备忘》：今天对齐了什么、仍不一致的是什么、以谁的定义为准。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 w:val="0"/>
          <w:i w:val="0"/>
          <w:color w:val="8B1E1E"/>
          <w:sz w:val="22"/>
        </w:rPr>
        <w:t xml:space="preserve">•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《待补数据清单》：八项材料的齐套情况，缺项与承诺日期。</w:t>
      </w:r>
    </w:p>
    <w:p>
      <w:pPr>
        <w:spacing w:before="40" w:after="60" w:line="300" w:lineRule="auto"/>
      </w:pPr>
      <w:r>
        <w:rPr>
          <w:rFonts w:ascii="文泉驿微米黑" w:hAnsi="文泉驿微米黑" w:eastAsia="文泉驿微米黑" w:cs="文泉驿微米黑"/>
          <w:b w:val="0"/>
          <w:i w:val="0"/>
          <w:color w:val="8B1E1E"/>
          <w:sz w:val="22"/>
        </w:rPr>
        <w:t xml:space="preserve">•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《约束建议草案》：是否重置净增目标、风资是否分拆审批、利润是否改用扣除非经常口径、四季度闸门怎么设。草案先内部转一圈，再视情况形成对金租的书面意见。</w:t>
      </w:r>
    </w:p>
    <w:p>
      <w:pPr>
        <w:spacing w:before="160" w:after="16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2"/>
        </w:rPr>
        <w:t>可转述给对方的一句话（用于收场，避免谈话变成审判）：「半年利润过线我们看到了；母行更关心的是，这些利润明年还在不在，以及四季度为了进度放进去的资产，值不值得并进集团的表。」</w:t>
      </w:r>
    </w:p>
    <w:p>
      <w:r>
        <w:br w:type="page"/>
      </w:r>
    </w:p>
    <w:p>
      <w:pPr>
        <w:spacing w:before="0" w:after="120" w:line="307" w:lineRule="auto"/>
        <w:jc w:val="left"/>
        <w:pBdr>
          <w:bottom w:val="single" w:sz="12" w:space="4" w:color="8B1E1E"/>
        </w:pBdr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32"/>
        </w:rPr>
        <w:t>附件  可发给对方的会前通知（一页）</w:t>
      </w:r>
    </w:p>
    <w:p>
      <w:pPr>
        <w:spacing w:before="0" w:after="16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/>
          <w:color w:val="555555"/>
          <w:sz w:val="20"/>
        </w:rPr>
        <w:t>（以下可单独复制发送。不包含母行评价与红旗信号。）</w:t>
      </w:r>
    </w:p>
    <w:p>
      <w:pPr>
        <w:spacing w:before="0" w:after="160" w:line="307" w:lineRule="auto"/>
        <w:jc w:val="both"/>
      </w:pP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拟安排一次半年度预算执行沟通，对象为财务负责人，时长约 90 分钟。目的是对齐口径、理解半年偏差和下半年安排，不是现场审计。请尽可能会前准备如下材料，能提供到哪一步算哪一步：</w:t>
      </w:r>
    </w:p>
    <w:p>
      <w:pPr>
        <w:spacing w:before="4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1.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六套收益/利率口径对照一页（综合收益率、贷款收益率、新增 IRR、利差、营收、营业净收入）。</w:t>
      </w:r>
    </w:p>
    <w:p>
      <w:pPr>
        <w:spacing w:before="4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2.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上半年投放—到期—提前结清—处置—净增桥表；提前结清尽量按对手方分类。</w:t>
      </w:r>
    </w:p>
    <w:p>
      <w:pPr>
        <w:spacing w:before="4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3.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半年净利润贡献拆分；列明财政扶持等非经常性项目及下半年是否仍发生。</w:t>
      </w:r>
    </w:p>
    <w:p>
      <w:pPr>
        <w:spacing w:before="4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4.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核销与收回：预算情景与风控情景对照，三季度大额核销的安排（可行业+金额）。</w:t>
      </w:r>
    </w:p>
    <w:p>
      <w:pPr>
        <w:spacing w:before="4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5.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6 月末杠杆、资本充足率、LCR 的驱动；下半年风资增量测算；若资本增量不能全额安排时的备选。</w:t>
      </w:r>
    </w:p>
    <w:p>
      <w:pPr>
        <w:spacing w:before="4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6.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风险权重拟大幅上调项目的计量依据、拨备与处置节奏（财务视角即可）。</w:t>
      </w:r>
    </w:p>
    <w:p>
      <w:pPr>
        <w:spacing w:before="4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7.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经营租赁收入与成本增速差异的财务解释。</w:t>
      </w:r>
    </w:p>
    <w:p>
      <w:pPr>
        <w:spacing w:before="4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8.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增值税进销项税差补足、差额扣除政策选择的测算及是否纳入项目定价。</w:t>
      </w:r>
    </w:p>
    <w:p>
      <w:pPr>
        <w:spacing w:before="40" w:after="80" w:line="300" w:lineRule="auto"/>
      </w:pPr>
      <w:r>
        <w:rPr>
          <w:rFonts w:ascii="文泉驿微米黑" w:hAnsi="文泉驿微米黑" w:eastAsia="文泉驿微米黑" w:cs="文泉驿微米黑"/>
          <w:b/>
          <w:i w:val="0"/>
          <w:color w:val="8B1E1E"/>
          <w:sz w:val="22"/>
        </w:rPr>
        <w:t xml:space="preserve">9.  </w:t>
      </w: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上半年息费减免、提前结清违约金减免台账（金额与权限）。</w:t>
      </w:r>
    </w:p>
    <w:p>
      <w:pPr>
        <w:spacing w:before="160" w:after="200" w:line="307" w:lineRule="auto"/>
        <w:jc w:val="both"/>
      </w:pP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沟通重点预告（便于对方带对的人）：规模与净增偏差、利润质量、拨备与核销情景、资本占用、下半年预测的可执行性。业务细节如需补充，可请相关同事列席或会后书面说明。</w:t>
      </w:r>
    </w:p>
    <w:p>
      <w:pPr>
        <w:spacing w:before="0" w:after="40" w:line="307" w:lineRule="auto"/>
        <w:jc w:val="left"/>
      </w:pP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谢谢。</w:t>
      </w:r>
    </w:p>
    <w:p>
      <w:pPr>
        <w:spacing w:before="320" w:after="120" w:line="307" w:lineRule="auto"/>
        <w:jc w:val="right"/>
      </w:pPr>
      <w:r>
        <w:rPr>
          <w:rFonts w:ascii="文泉驿微米黑" w:hAnsi="文泉驿微米黑" w:eastAsia="文泉驿微米黑" w:cs="文泉驿微米黑"/>
          <w:b w:val="0"/>
          <w:i w:val="0"/>
          <w:color w:val="2B2B2B"/>
          <w:sz w:val="22"/>
        </w:rPr>
        <w:t>母行　　　　　　年　　月　　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文泉驿微米黑" w:hAnsi="文泉驿微米黑" w:eastAsia="文泉驿微米黑" w:cs="文泉驿微米黑"/>
        <w:b w:val="0"/>
        <w:i w:val="0"/>
        <w:color w:val="555555"/>
        <w:sz w:val="17"/>
      </w:rPr>
      <w:t xml:space="preserve">访谈对象：子公司财务负责人    ·    第 </w:t>
    </w:r>
    <w:r>
      <w:rPr>
        <w:rFonts w:ascii="文泉驿微米黑" w:hAnsi="文泉驿微米黑" w:eastAsia="文泉驿微米黑" w:cs="文泉驿微米黑"/>
        <w:b w:val="0"/>
        <w:i w:val="0"/>
        <w:color w:val="555555"/>
        <w:sz w:val="17"/>
      </w:rPr>
      <w:fldChar w:fldCharType="begin"/>
    </w:r>
    <w:r>
      <w:rPr>
        <w:rFonts w:ascii="文泉驿微米黑" w:hAnsi="文泉驿微米黑" w:eastAsia="文泉驿微米黑" w:cs="文泉驿微米黑"/>
        <w:b w:val="0"/>
        <w:i w:val="0"/>
        <w:color w:val="555555"/>
        <w:sz w:val="17"/>
      </w:rPr>
      <w:instrText xml:space="preserve"> PAGE </w:instrText>
    </w:r>
    <w:r>
      <w:rPr>
        <w:rFonts w:ascii="文泉驿微米黑" w:hAnsi="文泉驿微米黑" w:eastAsia="文泉驿微米黑" w:cs="文泉驿微米黑"/>
        <w:b w:val="0"/>
        <w:i w:val="0"/>
        <w:color w:val="555555"/>
        <w:sz w:val="17"/>
      </w:rPr>
      <w:fldChar w:fldCharType="end"/>
    </w:r>
    <w:r>
      <w:rPr>
        <w:rFonts w:ascii="文泉驿微米黑" w:hAnsi="文泉驿微米黑" w:eastAsia="文泉驿微米黑" w:cs="文泉驿微米黑"/>
        <w:b w:val="0"/>
        <w:i w:val="0"/>
        <w:color w:val="55555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6" w:color="8B1E1E"/>
      </w:pBdr>
    </w:pPr>
    <w:r>
      <w:rPr>
        <w:rFonts w:ascii="文泉驿微米黑" w:hAnsi="文泉驿微米黑" w:eastAsia="文泉驿微米黑" w:cs="文泉驿微米黑"/>
        <w:b w:val="0"/>
        <w:i w:val="0"/>
        <w:color w:val="555555"/>
        <w:sz w:val="17"/>
      </w:rPr>
      <w:t>母行内部 · 调研访谈提纲    |    不对外    |    半年度预算执行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