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Rule="exact" w:line="720"/>
        <w:jc w:val="center"/>
      </w:pPr>
      <w:r>
        <w:rPr>
          <w:rFonts w:ascii="Times New Roman" w:hAnsi="Times New Roman" w:eastAsia="黑体" w:cs="Times New Roman"/>
          <w:b/>
          <w:sz w:val="36"/>
        </w:rPr>
        <w:t>关于《浙商银行2026—2030年分支机构发展规划》初稿的审阅意见</w:t>
      </w:r>
    </w:p>
    <w:p>
      <w:pPr>
        <w:spacing w:before="0" w:after="240" w:lineRule="exact" w:line="480"/>
        <w:jc w:val="center"/>
      </w:pPr>
      <w:r>
        <w:rPr>
          <w:rFonts w:ascii="Times New Roman" w:hAnsi="Times New Roman" w:eastAsia="楷体" w:cs="Times New Roman"/>
          <w:b w:val="0"/>
          <w:sz w:val="28"/>
        </w:rPr>
        <w:t>（站在总行发展规划部领导角度）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初稿已按面向分行发文的定位作了改写，帽段、语气和结构总体可用，比原建议报告更像一份规划。下面按“能不能下发、下发后会不会被动、数字能不能站住”来看，建议在正式会签和提交行领导前，再改以下几个方面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一、总体判断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这份稿子的方向是对的：决策材料里的同业分析、效能对比、营收和人员测算没有放进正文，重点分行长段落压成了“一句依据+数量+区域”，区县布局留了沟通口子，“预计”“拟”等请示用语基本去掉了。作为发展规划部内部初稿，可以进入下一轮修改；作为马上印发分行的文件，还不够硬、不够干净，主要短板是“名实、数量分解、发文边界、分年安排、会签事项”五块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二、建议修改的具体方面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1.先定发文形式，再定正文写法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现在的稿子既像规划正文，又像直接发给分行的通知，落款是“发展规划部”，但没有发文字号、主送分行、抄送部门和施行说明。建议明确两种选一：一是以总行名义印发通知，规划作附件，通知里写“请认真贯彻执行”；二是规划经行党委（或行长办公会）审议后，由办公室正式发文。不宜以部门落款直接下发涉及一级分行设立、网点撤并的五年规划。对应修改：补一页印发通知（主送各分行，抄送董事会办公室、人力资源部、财务管理部、运营管理部、风险管理部、法律合规部等），规划正文去掉部门落款，或改为“本规划自印发之日起施行”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2.标题与内容要匹配，避免“发展规划”做成“设点清单”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文件名叫《分支机构发展规划》，正文几乎全是设多少家、往哪设，对机构功能定位、差异化权限、建设标准和与业务规划的衔接着墨不够。分行拿到后只会盯数量，不会理解总行要什么样的网点。建议在“总体安排”中增加一小节“机构定位”，用很短的几句话明确：一级分行重区域辐射，二级分行重城市覆盖，综合型支行是主体，新设网点以综合型支行为主；省内加密与省外重点区域补点的目的，是服务“五五”存款、客户和营收目标，而不是铺摊子。不写测算表，但要点明规划服从全行“五五”目标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3.帽段还要再压一遍，决策痕迹去干净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目前帽段两段可以保留，但“立足当前监管政策窗口”偏内部判断，下发后容易被理解成“窗口期很快关闭、必须抢批”，部分分行会据此倒逼总行。建议改为“结合监管准入政策，积极稳妥推进机构建设”。第二段“各分行辖内规划数量已经明确”这句必须留，这是压住分行争盘子的关键；但后面“仍有沟通空间”要限定范围，建议改为“规划数量不得突破，区县选址在导向范围内可与总行商议，不就数量重新开口”。否则重点分行会拿着“沟通空间”回头要增加家数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4.省内12家、省外12家必须分解到分行，否则不能发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这是初稿最大的硬伤。原文写“各分行辖内规划数量总行已经确定”，但建议报告对温州、台州、嘉兴、金华、湖州只给了合计12家，对济南、福州、合肥、成都、青岛、武汉、太原也只给了合计12家；在筹14家只写了涉及分行，没有各行家数。附件表2、表3只能写“12家合计”，发下去这12家分行第一件事就是来问“到底几家”。建议发文前由部门把分解数补进附件，正文改为“各行数量见附件”，不要在正文里长期留着“合计”。若个别分行数量还在与监管或分行沟通，附件可单列“待确认”并注明时限，不宜用模糊写法覆盖12家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5.区县名单与“尚未完全确定”还存在张力，要改成导向表述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重点分行段落已经缩短，这点是好的。但上海列了9个区、杭州列了5个区、苏州列了5个区（市），分行会默认“就是这些地方、每个都要有”。建议统一改成“重点考虑……等区域”，并在每类分行后只保留一处总述：“名单为布局导向，不分解到具体街道和项目，选址由分行论证后报总行”。苏州“辖内重点市辖区和头部强县目前均仅有1个网点”这类内部判断，下发后等于把家底告诉分行，可删，只保留布局方向。南京把无锡、镇江、扬州写进南京分行规划，要确认是异地支行还是二级分行管辖关系，避免与机构管理权限打架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6.一级、二级分行新设要加“视监管审批推进”，不宜写成已经定局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乌鲁木齐、海口、昆明、雄安和7家二级分行都还没有批。规划可以对内明确意向，对外（对分行）应写成“规划设立、按监管审批进度推进”，不要让管辖分行按已获批来配人、租房、对监管表态。建议增加一句：一级分行、二级分行项目由总行统筹报批，未经批准不得对外宣传、不得提前装修开业。雄安分行的机构层级和监管口径还要再核一次，避免与现有北京分行、雄安相关机构安排冲突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7.撤并三家点名全系统印发，建议改为“一对一”+附件内部掌握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贵阳、兰州、沈阳各撤并1家，作为规划内部安排可以，但写进发给全部分行的文件，等于系统内通报这三家分行。建议正文只写原则：“对展业环境受限、网均效能持续偏低的网点，规划期内实施撤并优化，具体名单由总行另行通知。”三家分行的名单放部门掌握或只发这三家。若行领导要求必须写进规划，建议加上“以总行核定名单为准，分行先报方案”，并明确业务、人员、客户安置责任，避免只写撤并数量、不写后续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8.“大行挑大梁”可以保留，但不要写成两类分行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第七部分里这一条应当下发，初稿保留是对的。需要改三处：一是九家分行点名后，紧接着写对其他分行的要求，初稿已有，可再明确“不因此减少对其他分行的支持政策，但资源配置与贡献匹配”。二是不要出现“市场潜力远超浙江省内”“反哺浙江大本营”等原报告表述，初稿已改成“协同发展”，这句可保留，不要再加码。三是“大行”要有可检验的要求，不能只喊口号，建议补“规划项目落地率、网均存款（或营收）保持全行前列、新设网点开业后达标时限”等几条硬要求，否则重点分行只记得自己多了几十个指标，不记得要挑梁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9.第七部分其他内容：监管沟通应留，人员编制和费用管控要收口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对原报告第七部分的取舍，同意初稿的处理，再收一收：第一，“加大监管沟通”适合下发，是分行能做、也必须做的事，保留为工作要求第一条。第二，“存量挖潜”方向对，原报告60%、40%、53%等数据不宜原文下发，初稿改为定性要求是对的；但全是定性又会变软，建议改成“各分行要对标全行网均、人均，列出后三分之一网点清单，每年报告提升情况”，数字由总行掌握、任务由分行认领。第三，“人员编制”三条来源可以保留为原则，但必须加“按总行人力资源政策执行”，发展规划部文件不规定进人指标。第四，“严控费用”中，小型化、智能机具、综合柜员制可以写；原报告“四级管理机制”“控制行员等级”不要写进本规划，那是组织架构和薪酬事项，应会签后由人力资源部、党委组织部另发。初稿已删这两句，定稿时不要加回来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10.缺少分年安排，五年一本账分行无法执行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现在只有2026—2030年总数。监管一年批1—2家，分行需要知道先做哪几家。建议附件增加“分年实施安排（原则数）”，哪怕按“前期重点报批在筹和成熟项目、中期推进重点区域、后期收口”三阶段，也比只有一个期末数好。不要把内部“乐观预计每年1—2家”写进对分行文件，但总行自己要有一张分年表，作为与监管沟通和年度机构计划的依据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11.口径、平衡关系和附件还要再核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需要逐项核对后再发：一是2025年末370家是否含社区、小微，杭州、绍兴辖内8家小微支行升格算不算规划占用指标，正文应有一句。二是省外2030年末333家是否已含4家一级分行和7家二级分行，附件表3把二级分行计入管辖行总量，要与机构统计口径一致。三是上海、南京、广州等既有“规划新设”又有“在筹”，2030年末27家、46家、29家是含在筹还是不含，必须在注里写死，否则会重复计算。四是原建议报告附件1测算表不要随本规划下发，营收、净息差情景属于对行领导的测算，发给分行没有好处。五是原件中的“网点规划汇总表”未随Word稿提供电子表，初稿是按第四部分重编的，正式发文前应用部门台账把每家分行2025年末数、在筹数、新设数、撤并数、2030年末数五列对齐，能横加竖加。六是附件表1中二级分行管辖关系（泉州归福州、赣州归南昌、菏泽归济南、芜湖和马鞍山归合肥、榆林归西安、宜宾归成都）系按行政区划推定，原文未写，发文前须用机构管理台账核对，重点确认菏泽是归济南还是青岛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12.要补会签和与年度计划的接口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这份规划动到机构、编制、费用、监管报批，不能发展规划部一家定稿。建议会签人力资源部、财务管理部、运营管理部、法律合规部（机构准入），重点区域规划还应征求相关分行意见后再报。文中应写明：年度机构设置计划以本规划为上限，由发展规划部商相关部门列入年度计划后实施；未纳入年度计划的，即使在规划数以内，也不得自行申报。这样规划才不会变成分行直接向监管报批的“尚方宝剑”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13.几处文字和口径再打磨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建议一并改掉：一是“不得擅自突破”后面要加“不得在规划外向监管承诺设点”。二是“主要负责人亲自过问”可用于浙、沪、苏、粤、京，但不要写成问责条款，发展规划部文件管不到干部管理。三是“防止行强点弱、点多效低”口语可以，正式文改为“避免分行本级强、网点弱，机构增加而效能不增”。四是“本规划由总行发展规划部负责解释”可保留，但如以总行名义发文，解释权写“由发展规划部会同有关部门解释”更稳。五是日期“2026年6月”待审议通过后落正式发文日，不要沿用建议报告的6月7日，以免版本混乱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三、对原报告第七部分的取舍结论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082"/>
      </w:tblGrid>
      <w:tr>
        <w:trPr>
          <w:cantSplit/>
          <w:tblHeader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原报告条目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是否纳入对分行规划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处理意见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（一）加大监管沟通力度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纳入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改为工作要求，语气由建议改为任务；重点区域分行点名可保留。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（二）推动大行挑大梁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纳入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按领导要求保留；去掉“反哺浙江”等内部建议口径，补可检验要求。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（三）大力推进存量挖潜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纳入方向，不纳数据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60%、40%、53%等诊断数据留在给行领导的材料里；对分行改成清单管理和限期提升。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（四）优化管控人员编制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原则纳入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只写配置原则和执行总行人力政策；不写进人规模、不写行员等级。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（五）严控网点费用支出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部分纳入</w:t>
            </w:r>
          </w:p>
        </w:tc>
        <w:tc>
          <w:tcPr>
            <w:tcW w:type="dxa" w:w="4082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保留小型化、智能化、综合柜员制；删除四级管理和职级压降，改由相关部门发文。</w:t>
            </w:r>
          </w:p>
        </w:tc>
      </w:tr>
    </w:tbl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四、建议的改稿顺序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第一，补齐省内12家、省外12家和在筹14家的分行分解数，这是发文前提。第二，核对准入口径、在筹是否重复计算、二级分行统计归属。第三，加印发通知、会签部门和分年安排（内部掌握即可）。第四，把撤并名单和区县清单的效力写清楚。第五，再送行领导，避免用建议报告的汇报语气发规划。按这个顺序改完，这份规划才能既对分行有约束，又不把内部决策过程暴露出去。</w:t>
      </w:r>
    </w:p>
    <w:p>
      <w:pPr>
        <w:spacing w:before="120" w:after="0" w:lineRule="exact" w:line="560"/>
        <w:jc w:val="right"/>
      </w:pPr>
      <w:r>
        <w:rPr>
          <w:rFonts w:ascii="Times New Roman" w:hAnsi="Times New Roman" w:eastAsia="仿宋" w:cs="Times New Roman"/>
          <w:b w:val="0"/>
          <w:sz w:val="32"/>
        </w:rPr>
        <w:t>（审阅意见，供修改初稿使用）</w:t>
      </w:r>
    </w:p>
    <w:sectPr w:rsidR="00FC693F" w:rsidRPr="0006063C" w:rsidSect="00034616">
      <w:footerReference w:type="default" r:id="rId9"/>
      <w:pgSz w:w="11906" w:h="16838"/>
      <w:pgMar w:top="1587" w:right="1474" w:bottom="1474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 w:cs="Times New Roman"/>
        <w:b w:val="0"/>
        <w:sz w:val="21"/>
      </w:rPr>
      <w:t xml:space="preserve">— </w:t>
    </w:r>
    <w:r>
      <w:rPr>
        <w:rFonts w:ascii="Times New Roman" w:hAnsi="Times New Roman" w:eastAsia="仿宋" w:cs="Times New Roman"/>
        <w:b w:val="0"/>
        <w:sz w:val="21"/>
      </w:rPr>
      <w:fldChar w:fldCharType="begin"/>
      <w:instrText xml:space="preserve"> PAGE </w:instrText>
      <w:fldChar w:fldCharType="end"/>
    </w:r>
    <w:r>
      <w:rPr>
        <w:rFonts w:ascii="Times New Roman" w:hAnsi="Times New Roman" w:eastAsia="仿宋" w:cs="Times New Roman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