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中国金融租赁行业综述</w:t>
      </w:r>
    </w:p>
    <w:p>
      <w:pPr>
        <w:spacing w:before="0" w:after="200" w:line="288" w:lineRule="auto"/>
        <w:jc w:val="center"/>
      </w:pPr>
      <w:r>
        <w:rPr>
          <w:rFonts w:ascii="Calibri" w:hAnsi="Calibri" w:eastAsia="WenQuanYi Micro Hei"/>
          <w:b/>
          <w:i w:val="0"/>
          <w:color w:val="1F3A5F"/>
          <w:sz w:val="24"/>
        </w:rPr>
        <w:t>副标题：制度演进、监管重构、市场格局与本源转型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报告日期：2026年9月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数据截止：原则上截至2025年末；监管条文以截至2026年1月1日已施行文本为准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分析口径说明：本文所称“金租”仅指经国家金融监督管理总局批准设立、持有金融许可证的金融租赁公司；“商租”指由地方金融管理部门监管的融资租赁公司。二者业务形态相近，但牌照、资金来源、资本约束和监管强度完全不同，文中不混用。</w:t>
      </w:r>
    </w:p>
    <w:p>
      <w:pPr>
        <w:spacing w:before="80" w:after="80" w:line="240" w:lineRule="auto"/>
      </w:pPr>
      <w:r>
        <w:rPr>
          <w:rFonts w:ascii="Calibri" w:hAnsi="Calibri" w:eastAsia="WenQuanYi Micro Hei"/>
          <w:b w:val="0"/>
          <w:i w:val="0"/>
          <w:color w:val="C45C26"/>
          <w:sz w:val="20"/>
        </w:rPr>
        <w:t>────────────────────────────</w:t>
      </w:r>
    </w:p>
    <w:p>
      <w:pPr>
        <w:pStyle w:val="Heading2"/>
      </w:pPr>
      <w:r>
        <w:t>综述大纲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全文按“先立坐标、再写历史、再拆制度与市场、最后落到赛道与建议”展开。各章标题即写作提纲，后文按此逐章完善。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研究框架、口径与资料来源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比较轴、必须区分的统计口径、资料采用原则。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概念界定与行业坐标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融资租赁的交易结构；直租、售后回租、经营性租赁；金租在非银体系中的位置；金租与商租、银行信贷、信托、保理的边界。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历史演进：从引进设备到银行系主导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1981年起步 → 1990年代困顿 → 2007年银行解禁 → 2014—2021年规模扩张 → 2022年以来监管重构。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监管体系与核心规则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法律层级；2022年12号文、2023年8号文、2024年《金融租赁公司管理办法》、2025年《融资租赁业务管理办法》；监管指标全表；鼓励清单与负面清单。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市场格局与竞争结构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机构数量、资产规模、千亿俱乐部、银行系主导、头部与腰部的分化。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业务结构与本源转型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直租占比跃升、经营性租赁破万亿、售后回租压降、从类信贷到资产管理。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资金端、资本与盈利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同业负债、金融债、ABS、增资潮、息差与ROE分层。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风险图谱与资产质量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信用风险、租赁物风险、集中度、城投与地产出清、科创资产的新风险。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重点赛道深描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航空、航运、大型装备、绿色与新能源、算力与储能、商业航天与低空经济、普惠与厂商租赁。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国际源流、双轨制与比较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现代租赁的起源与全球演进；代表性机构；中国金租/商租双轨制；国际经验哪些可借鉴、哪些不可照搬。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2026—2030年展望与工作建议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行业情景、对监管、金租公司、股东银行的建议。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附录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中国政策年表、2025年核心数据、国际租赁简年表、概念对照、资料来源。</w:t>
      </w:r>
    </w:p>
    <w:p>
      <w:pPr>
        <w:spacing w:before="80" w:after="80" w:line="240" w:lineRule="auto"/>
      </w:pPr>
      <w:r>
        <w:rPr>
          <w:rFonts w:ascii="Calibri" w:hAnsi="Calibri" w:eastAsia="WenQuanYi Micro Hei"/>
          <w:b w:val="0"/>
          <w:i w:val="0"/>
          <w:color w:val="C45C26"/>
          <w:sz w:val="20"/>
        </w:rPr>
        <w:t>────────────────────────────</w:t>
      </w:r>
    </w:p>
    <w:p>
      <w:pPr>
        <w:pStyle w:val="Heading2"/>
      </w:pPr>
      <w:r>
        <w:t>摘要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 xml:space="preserve">中国金融租赁行业走过四十余年，已经从引进国外设备的窗口，变成银行体系延伸出来的、以“融资+融物”为法定功能的非银行金融机构板块。截至2025年末，行业总资产 </w:t>
      </w:r>
      <w:r>
        <w:rPr>
          <w:rFonts w:ascii="Calibri" w:hAnsi="Calibri" w:eastAsia="WenQuanYi Micro Hei"/>
          <w:b/>
          <w:i w:val="0"/>
          <w:sz w:val="22"/>
        </w:rPr>
        <w:t>5.23万亿元</w:t>
      </w:r>
      <w:r>
        <w:rPr>
          <w:rFonts w:ascii="Calibri" w:hAnsi="Calibri" w:eastAsia="WenQuanYi Micro Hei"/>
          <w:b w:val="0"/>
          <w:i w:val="0"/>
          <w:sz w:val="22"/>
        </w:rPr>
        <w:t xml:space="preserve">，同比增长 </w:t>
      </w:r>
      <w:r>
        <w:rPr>
          <w:rFonts w:ascii="Calibri" w:hAnsi="Calibri" w:eastAsia="WenQuanYi Micro Hei"/>
          <w:b/>
          <w:i w:val="0"/>
          <w:sz w:val="22"/>
        </w:rPr>
        <w:t>7.89%</w:t>
      </w:r>
      <w:r>
        <w:rPr>
          <w:rFonts w:ascii="Calibri" w:hAnsi="Calibri" w:eastAsia="WenQuanYi Micro Hei"/>
          <w:b w:val="0"/>
          <w:i w:val="0"/>
          <w:sz w:val="22"/>
        </w:rPr>
        <w:t xml:space="preserve">；不良融资租赁资产率 </w:t>
      </w:r>
      <w:r>
        <w:rPr>
          <w:rFonts w:ascii="Calibri" w:hAnsi="Calibri" w:eastAsia="WenQuanYi Micro Hei"/>
          <w:b/>
          <w:i w:val="0"/>
          <w:sz w:val="22"/>
        </w:rPr>
        <w:t>0.91%</w:t>
      </w:r>
      <w:r>
        <w:rPr>
          <w:rFonts w:ascii="Calibri" w:hAnsi="Calibri" w:eastAsia="WenQuanYi Micro Hei"/>
          <w:b w:val="0"/>
          <w:i w:val="0"/>
          <w:sz w:val="22"/>
        </w:rPr>
        <w:t>，同比下降。与2010年代动辄百分之二十以上的扩张相比，行业已进入个位数增长的存量优化阶段。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 xml:space="preserve">当前最重要的变化不是规模，而是结构。在监管连续引导下，直接租赁资产余额升至 </w:t>
      </w:r>
      <w:r>
        <w:rPr>
          <w:rFonts w:ascii="Calibri" w:hAnsi="Calibri" w:eastAsia="WenQuanYi Micro Hei"/>
          <w:b/>
          <w:i w:val="0"/>
          <w:sz w:val="22"/>
        </w:rPr>
        <w:t>1.84万亿元</w:t>
      </w:r>
      <w:r>
        <w:rPr>
          <w:rFonts w:ascii="Calibri" w:hAnsi="Calibri" w:eastAsia="WenQuanYi Micro Hei"/>
          <w:b w:val="0"/>
          <w:i w:val="0"/>
          <w:sz w:val="22"/>
        </w:rPr>
        <w:t xml:space="preserve">，同比增长 </w:t>
      </w:r>
      <w:r>
        <w:rPr>
          <w:rFonts w:ascii="Calibri" w:hAnsi="Calibri" w:eastAsia="WenQuanYi Micro Hei"/>
          <w:b/>
          <w:i w:val="0"/>
          <w:sz w:val="22"/>
        </w:rPr>
        <w:t>21.05%</w:t>
      </w:r>
      <w:r>
        <w:rPr>
          <w:rFonts w:ascii="Calibri" w:hAnsi="Calibri" w:eastAsia="WenQuanYi Micro Hei"/>
          <w:b w:val="0"/>
          <w:i w:val="0"/>
          <w:sz w:val="22"/>
        </w:rPr>
        <w:t xml:space="preserve">，占租赁资产余额 </w:t>
      </w:r>
      <w:r>
        <w:rPr>
          <w:rFonts w:ascii="Calibri" w:hAnsi="Calibri" w:eastAsia="WenQuanYi Micro Hei"/>
          <w:b/>
          <w:i w:val="0"/>
          <w:sz w:val="22"/>
        </w:rPr>
        <w:t>39.74%</w:t>
      </w:r>
      <w:r>
        <w:rPr>
          <w:rFonts w:ascii="Calibri" w:hAnsi="Calibri" w:eastAsia="WenQuanYi Micro Hei"/>
          <w:b w:val="0"/>
          <w:i w:val="0"/>
          <w:sz w:val="22"/>
        </w:rPr>
        <w:t xml:space="preserve">；经营性租赁资产余额首次突破 </w:t>
      </w:r>
      <w:r>
        <w:rPr>
          <w:rFonts w:ascii="Calibri" w:hAnsi="Calibri" w:eastAsia="WenQuanYi Micro Hei"/>
          <w:b/>
          <w:i w:val="0"/>
          <w:sz w:val="22"/>
        </w:rPr>
        <w:t>1.07万亿元</w:t>
      </w:r>
      <w:r>
        <w:rPr>
          <w:rFonts w:ascii="Calibri" w:hAnsi="Calibri" w:eastAsia="WenQuanYi Micro Hei"/>
          <w:b w:val="0"/>
          <w:i w:val="0"/>
          <w:sz w:val="22"/>
        </w:rPr>
        <w:t xml:space="preserve">。算力租赁、新型储能等科创赛道出现翻倍式增长。这意味着：行业正在离开以售后回租服务城投和类信贷客户的旧路径，转向以租赁物为核心、以设备更新和新质生产力为增量的新路径。转型尚未完成——2023年8号文要求力争 </w:t>
      </w:r>
      <w:r>
        <w:rPr>
          <w:rFonts w:ascii="Calibri" w:hAnsi="Calibri" w:eastAsia="WenQuanYi Micro Hei"/>
          <w:b/>
          <w:i w:val="0"/>
          <w:sz w:val="22"/>
        </w:rPr>
        <w:t>2026年年度新增直租占比不低于50%</w:t>
      </w:r>
      <w:r>
        <w:rPr>
          <w:rFonts w:ascii="Calibri" w:hAnsi="Calibri" w:eastAsia="WenQuanYi Micro Hei"/>
          <w:b w:val="0"/>
          <w:i w:val="0"/>
          <w:sz w:val="22"/>
        </w:rPr>
        <w:t>，存量结构与新增结构之间仍有缺口。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 xml:space="preserve">竞争格局高度集中且银行系主导。正常经营的金融租赁公司约 </w:t>
      </w:r>
      <w:r>
        <w:rPr>
          <w:rFonts w:ascii="Calibri" w:hAnsi="Calibri" w:eastAsia="WenQuanYi Micro Hei"/>
          <w:b/>
          <w:i w:val="0"/>
          <w:sz w:val="22"/>
        </w:rPr>
        <w:t>65家</w:t>
      </w:r>
      <w:r>
        <w:rPr>
          <w:rFonts w:ascii="Calibri" w:hAnsi="Calibri" w:eastAsia="WenQuanYi Micro Hei"/>
          <w:b w:val="0"/>
          <w:i w:val="0"/>
          <w:sz w:val="22"/>
        </w:rPr>
        <w:t xml:space="preserve">（不含专业子公司），其中千亿级机构 </w:t>
      </w:r>
      <w:r>
        <w:rPr>
          <w:rFonts w:ascii="Calibri" w:hAnsi="Calibri" w:eastAsia="WenQuanYi Micro Hei"/>
          <w:b/>
          <w:i w:val="0"/>
          <w:sz w:val="22"/>
        </w:rPr>
        <w:t>16家</w:t>
      </w:r>
      <w:r>
        <w:rPr>
          <w:rFonts w:ascii="Calibri" w:hAnsi="Calibri" w:eastAsia="WenQuanYi Micro Hei"/>
          <w:b w:val="0"/>
          <w:i w:val="0"/>
          <w:sz w:val="22"/>
        </w:rPr>
        <w:t xml:space="preserve">、合计资产约 </w:t>
      </w:r>
      <w:r>
        <w:rPr>
          <w:rFonts w:ascii="Calibri" w:hAnsi="Calibri" w:eastAsia="WenQuanYi Micro Hei"/>
          <w:b/>
          <w:i w:val="0"/>
          <w:sz w:val="22"/>
        </w:rPr>
        <w:t>3.54万亿元</w:t>
      </w:r>
      <w:r>
        <w:rPr>
          <w:rFonts w:ascii="Calibri" w:hAnsi="Calibri" w:eastAsia="WenQuanYi Micro Hei"/>
          <w:b w:val="0"/>
          <w:i w:val="0"/>
          <w:sz w:val="22"/>
        </w:rPr>
        <w:t>。交银金租、国银金租、工银金租构成第一梯队；招银、华夏等紧随其后。头部机构凭借低成本负债、航空航运专业能力和资本补充通道，正在把经营性租赁和直租做成差异化能力；中小机构则同时面对优质直租项目稀缺、负债分层和资本约束收紧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往后看，金租行业的主线可以概括为三句话：</w:t>
      </w:r>
      <w:r>
        <w:rPr>
          <w:rFonts w:ascii="Calibri" w:hAnsi="Calibri" w:eastAsia="WenQuanYi Micro Hei"/>
          <w:b/>
          <w:i w:val="0"/>
          <w:sz w:val="22"/>
        </w:rPr>
        <w:t>制度上回归租赁本源，市场上向头部和专业赛道集中，能力上从放贷转向资产管理。</w:t>
      </w:r>
      <w:r>
        <w:rPr>
          <w:rFonts w:ascii="Calibri" w:hAnsi="Calibri" w:eastAsia="WenQuanYi Micro Hei"/>
          <w:b w:val="0"/>
          <w:i w:val="0"/>
          <w:sz w:val="22"/>
        </w:rPr>
        <w:t xml:space="preserve"> 这与国际租赁从1950年代美国独立第三方起步、经日本综合租赁和爱尔兰航空平台做成熟的路径一致：真正决定下一阶段胜负的，不是谁还能把规模做大，而是谁能在租赁物估值、残值管理、二级市场流转和产业认知上建立起可复制的专业能力。</w:t>
      </w:r>
    </w:p>
    <w:p>
      <w:pPr>
        <w:spacing w:before="80" w:after="80" w:line="240" w:lineRule="auto"/>
      </w:pPr>
      <w:r>
        <w:rPr>
          <w:rFonts w:ascii="Calibri" w:hAnsi="Calibri" w:eastAsia="WenQuanYi Micro Hei"/>
          <w:b w:val="0"/>
          <w:i w:val="0"/>
          <w:color w:val="C45C26"/>
          <w:sz w:val="20"/>
        </w:rPr>
        <w:t>────────────────────────────</w:t>
      </w:r>
    </w:p>
    <w:p>
      <w:pPr>
        <w:pStyle w:val="Heading2"/>
      </w:pPr>
      <w:r>
        <w:t>一、研究框架、口径与资料来源</w:t>
      </w:r>
    </w:p>
    <w:p>
      <w:pPr>
        <w:pStyle w:val="Heading3"/>
      </w:pPr>
      <w:r>
        <w:t>1.1 三条比较轴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金融租赁不是“另一种贷款”，也不是一般工商企业的设备出租。理解这一行业，需要同时抓住三组关系：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比较轴</w:t>
            </w:r>
          </w:p>
        </w:tc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核心问题</w:t>
            </w:r>
          </w:p>
        </w:tc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本文用法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融资 vs 融物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交易的实质是放信用，还是转移并管理特定资产的所有权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用来判断直租、回租、经营性租赁的监管含义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金融机构 vs 类金融企业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是否持有金融牌照、能否进入银行间市场、是否受资本充足率约束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用来切开金租与商租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银行附属 vs 独立产业资本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负债成本、客户来源、风控文化和股东责任是否由银行体系外溢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用来解释头部格局和分化</w:t>
            </w:r>
          </w:p>
        </w:tc>
      </w:tr>
    </w:tbl>
    <w:p/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这三条轴决定了后文的写法：先把概念和牌照说清楚，再写监管如何把“类信贷”往回拉，最后才谈规模、赛道和盈利。</w:t>
      </w:r>
    </w:p>
    <w:p>
      <w:pPr>
        <w:pStyle w:val="Heading3"/>
      </w:pPr>
      <w:r>
        <w:t>1.2 必须区分的统计口径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口径要点</w:t>
            </w:r>
          </w:p>
        </w:tc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主要来源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金融租赁公司总资产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持牌金租并表口径，不含商租、不含部分停业机构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中国银行业协会《中国金融租赁行业发展报告》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租赁资产余额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融资租赁+经营性租赁资产；与总资产之差主要是货币资金、固收投资等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同上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直租资产余额 / 直租投放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余额是存量，投放是当年新做；8号文考核的是</w:t>
            </w:r>
            <w:r>
              <w:rPr>
                <w:rFonts w:ascii="Calibri" w:hAnsi="Calibri" w:eastAsia="WenQuanYi Micro Hei"/>
                <w:b/>
                <w:i w:val="0"/>
                <w:sz w:val="18"/>
              </w:rPr>
              <w:t>年度新增</w:t>
            </w:r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直租占比，不是存量占比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中银协报告；金规〔2023〕8号及统计口径说明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经营性租赁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按《企业会计准则第21号——租赁》计入经营租赁科目的业务；与“直租”不是同一分类维度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《金融租赁公司融资租赁业务管理办法》第三条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机构家数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“正常经营不含专业子公司”“持牌法人”“含停业/重组”三种口径并存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金融监管总局法人名单、媒体转引年报统计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商租资产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地方金融局监管的融资租赁公司，与金租不可直接加总后谈“渗透率”而不加说明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地方监管通报、评级机构行业报告</w:t>
            </w:r>
          </w:p>
        </w:tc>
      </w:tr>
    </w:tbl>
    <w:p/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一个常见误读需要预先排除：</w:t>
      </w:r>
      <w:r>
        <w:rPr>
          <w:rFonts w:ascii="Calibri" w:hAnsi="Calibri" w:eastAsia="WenQuanYi Micro Hei"/>
          <w:b/>
          <w:i w:val="0"/>
          <w:sz w:val="22"/>
        </w:rPr>
        <w:t>直租占比</w:t>
      </w:r>
      <w:r>
        <w:rPr>
          <w:rFonts w:ascii="Calibri" w:hAnsi="Calibri" w:eastAsia="WenQuanYi Micro Hei"/>
          <w:b w:val="0"/>
          <w:i w:val="0"/>
          <w:sz w:val="22"/>
        </w:rPr>
        <w:t>和</w:t>
      </w:r>
      <w:r>
        <w:rPr>
          <w:rFonts w:ascii="Calibri" w:hAnsi="Calibri" w:eastAsia="WenQuanYi Micro Hei"/>
          <w:b/>
          <w:i w:val="0"/>
          <w:sz w:val="22"/>
        </w:rPr>
        <w:t>经营性租赁占比</w:t>
      </w:r>
      <w:r>
        <w:rPr>
          <w:rFonts w:ascii="Calibri" w:hAnsi="Calibri" w:eastAsia="WenQuanYi Micro Hei"/>
          <w:b w:val="0"/>
          <w:i w:val="0"/>
          <w:sz w:val="22"/>
        </w:rPr>
        <w:t>不能加减。前者按交易结构（是否向第三方购买设备）划分，后者按会计与风险承担（残值、所有权风险是否实质保留在出租人）划分。一笔飞机经营性租赁，在交易结构上往往同时是直租。</w:t>
      </w:r>
    </w:p>
    <w:p>
      <w:pPr>
        <w:pStyle w:val="Heading3"/>
      </w:pPr>
      <w:r>
        <w:t>1.3 资料来源原则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优先采用：国家金融监督管理总局部门规章和规范性文件、中国政府网公布文本、中国银行业协会行业发展报告、金融租赁公司公开年报及注册资本变更公告。二手媒体和评级报告仅在官方原文难以直接抓取、且能与官方口径交叉核验时使用，并在正文或附录标明。涉及2025年行业总量的核心数字，以中银协《中国金融租赁行业发展报告（2026）》的公开转述为准。</w:t>
      </w:r>
    </w:p>
    <w:p>
      <w:pPr>
        <w:spacing w:before="80" w:after="80" w:line="240" w:lineRule="auto"/>
      </w:pPr>
      <w:r>
        <w:rPr>
          <w:rFonts w:ascii="Calibri" w:hAnsi="Calibri" w:eastAsia="WenQuanYi Micro Hei"/>
          <w:b w:val="0"/>
          <w:i w:val="0"/>
          <w:color w:val="C45C26"/>
          <w:sz w:val="20"/>
        </w:rPr>
        <w:t>────────────────────────────</w:t>
      </w:r>
    </w:p>
    <w:p>
      <w:pPr>
        <w:pStyle w:val="Heading2"/>
      </w:pPr>
      <w:r>
        <w:t>二、概念界定与行业坐标</w:t>
      </w:r>
    </w:p>
    <w:p>
      <w:pPr>
        <w:pStyle w:val="Heading3"/>
      </w:pPr>
      <w:r>
        <w:t>2.1 融资租赁的交易结构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《金融租赁公司管理办法》（2024年第6号，自2024年11月1日起施行）把融资租赁定义为：金融租赁公司作为出租人，根据承租人对出卖人、租赁物的选择，向出卖人购买租赁物，提供给承租人使用，承租人支付租金；交易同时具有资金融通性质，且租赁物所有权由出卖人转移至出租人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售后回租是其特殊形态：承租人与出卖人为同一人，承租人把自有资产卖给出租人，再租回使用。法律形式上仍是融资租赁，经济实质上更接近以资产为载体的融资。这也是过去十余年行业被称作“类信贷”的制度根源。</w:t>
      </w:r>
    </w:p>
    <w:p>
      <w:pPr>
        <w:pStyle w:val="Heading3"/>
      </w:pPr>
      <w:r>
        <w:t>2.2 三种必须同时使用的分类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分类维度</w:t>
            </w:r>
          </w:p>
        </w:tc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要点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交易结构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直接租赁 / 售后回租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设备是否新购、出卖人是否第三方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会计与风险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融资租赁（金融租赁） / 经营性租赁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承租人是否实质取得资产控制权；出租人是否承担残值与市场风险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租赁物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设备资产、生产性生物资产、监管认可的其他资产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2024年办法把“固定资产”收窄为“设备资产”，构筑物、不动产通道被关上</w:t>
            </w:r>
          </w:p>
        </w:tc>
      </w:tr>
    </w:tbl>
    <w:p/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对金租公司而言，监管真正要推的是：</w:t>
      </w:r>
      <w:r>
        <w:rPr>
          <w:rFonts w:ascii="Calibri" w:hAnsi="Calibri" w:eastAsia="WenQuanYi Micro Hei"/>
          <w:b/>
          <w:i w:val="0"/>
          <w:sz w:val="22"/>
        </w:rPr>
        <w:t>租赁物真实、可特定化、可处置、有使用收益</w:t>
      </w:r>
      <w:r>
        <w:rPr>
          <w:rFonts w:ascii="Calibri" w:hAnsi="Calibri" w:eastAsia="WenQuanYi Micro Hei"/>
          <w:b w:val="0"/>
          <w:i w:val="0"/>
          <w:sz w:val="22"/>
        </w:rPr>
        <w:t>；在此基础上提高直租和经营性租赁比重。售后回租并未被禁止，但被加上限额、估值和适格性约束，不能再充当“有租赁物外衣的流动资金贷款”。</w:t>
      </w:r>
    </w:p>
    <w:p>
      <w:pPr>
        <w:pStyle w:val="Heading3"/>
      </w:pPr>
      <w:r>
        <w:t>2.3 金租在金融体系中的位置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金融租赁公司是非银行金融机构，与信托、财务公司、金融资管、汽车金融并列，受《银行业监督管理法》约束。它可以：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在全国展业；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进入同业拆借市场、向金融机构融入资金、发行非资本类债券；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符合条件后开展项目公司、专业子公司、资产证券化、套期保值和固定收益类投资。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它不可以吸收公众存款。因此，金租的负债端天然依附银行体系：同业借款、金融债、股东支持、ABS。这解释了为什么银行系金租一旦形成，就会在资金成本和客户协同上对独立机构形成持久优势。</w:t>
      </w:r>
    </w:p>
    <w:p>
      <w:pPr>
        <w:pStyle w:val="Heading3"/>
      </w:pPr>
      <w:r>
        <w:t>2.4 金租与邻近业态的边界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对照对象</w:t>
            </w:r>
          </w:p>
        </w:tc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相同点</w:t>
            </w:r>
          </w:p>
        </w:tc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关键差异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商租（融资租赁公司）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都可以做融资租赁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商租是工商企业，地方金融局监管，不能拆借、多数不能发金融债，无统一的资本充足率；数量以千计，空壳比例高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银行固定资产贷款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都解决设备投资的资金问题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贷款不转移设备所有权；金租以物权为风险缓释，并可以做经营性租赁和残值管理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信托、保理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都曾被用于类信贷和通道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金租必须有适格租赁物；12号文、8号文之后通道空间显著收窄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厂商租赁 / 汽车金融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都贴近设备或交通工具流通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汽车金融有独立牌照；金租可做厂商租赁模式，但合作机构须名单制管理</w:t>
            </w:r>
          </w:p>
        </w:tc>
      </w:tr>
    </w:tbl>
    <w:p/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一句话：</w:t>
      </w:r>
      <w:r>
        <w:rPr>
          <w:rFonts w:ascii="Calibri" w:hAnsi="Calibri" w:eastAsia="WenQuanYi Micro Hei"/>
          <w:b/>
          <w:i w:val="0"/>
          <w:sz w:val="22"/>
        </w:rPr>
        <w:t>金租的制度红利是金融牌照和同业负债；制度约束是资本、集中度和租赁物。</w:t>
      </w:r>
      <w:r>
        <w:rPr>
          <w:rFonts w:ascii="Calibri" w:hAnsi="Calibri" w:eastAsia="WenQuanYi Micro Hei"/>
          <w:b w:val="0"/>
          <w:i w:val="0"/>
          <w:sz w:val="22"/>
        </w:rPr>
        <w:t xml:space="preserve"> 商租的数量优势换不来同等的负债成本，金租的牌照优势也换不来无限的类信贷空间。</w:t>
      </w:r>
    </w:p>
    <w:p>
      <w:pPr>
        <w:spacing w:before="80" w:after="80" w:line="240" w:lineRule="auto"/>
      </w:pPr>
      <w:r>
        <w:rPr>
          <w:rFonts w:ascii="Calibri" w:hAnsi="Calibri" w:eastAsia="WenQuanYi Micro Hei"/>
          <w:b w:val="0"/>
          <w:i w:val="0"/>
          <w:color w:val="C45C26"/>
          <w:sz w:val="20"/>
        </w:rPr>
        <w:t>────────────────────────────</w:t>
      </w:r>
    </w:p>
    <w:p>
      <w:pPr>
        <w:pStyle w:val="Heading2"/>
      </w:pPr>
      <w:r>
        <w:t>三、历史演进：从引进设备到银行系主导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中国并没有“发明”金融租赁。1980年前后引进的，是美国1950年代已经成型、又经日本和欧洲扩散的一套交易技术：把设备的使用权与所有权拆开，用租金匹配资产的使用寿命。国际源流、代表机构和今日全球头部格局，见第十章；本章只写这套技术进入中国之后，怎样长成银行子公司主导的持牌金租行业。</w:t>
      </w:r>
    </w:p>
    <w:p>
      <w:pPr>
        <w:pStyle w:val="Heading3"/>
      </w:pPr>
      <w:r>
        <w:t>3.1 引进与起步（1980—1987）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现代租赁进入中国，起点是设备引进，而不是国内信用扩张。1980年，中国民航以跨国租赁方式引进波音747SP，是航空租赁的开端。1981年，中国东方租赁有限公司成立，同年中国租赁有限公司成立。随后浙江租赁、广东国际租赁等内资机构出现。1984年前后，专业银行开始兼营融资租赁；1986年人民银行《金融信托投资机构管理暂行规定》把融资租赁间接界定为金融业务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这一阶段的功能很明确：用租赁绕开当时的外汇和固定资产投资控制，把国外生产线引进来。租赁公司更像窗口，而不是独立的风险定价机构。</w:t>
      </w:r>
    </w:p>
    <w:p>
      <w:pPr>
        <w:pStyle w:val="Heading3"/>
      </w:pPr>
      <w:r>
        <w:t>3.2 欠租、分业与低谷（1988—2006）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1988年后，经济主体由政府转向企业，原有“政府点项目、租赁公司出账”的模式瓦解，欠租成为行业性风险。1995年《商业银行法》确立分业经营，已参股租赁公司的商业银行陆续退出。1997年亚洲金融危机后外资收缩。入世前，人民银行批准的金融租赁公司大约十余家，中外合资租赁公司四十余家，整体走到谷底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1999—2001年，制度开始补课：《合同法》专章规定融资租赁，租赁会计准则出台，2000/2001年《金融租赁公司管理办法》和外商投资租赁公司审批办法相继发布。规范有了，但缺资本、缺负债、缺银行股东，行业仍未真正起来。</w:t>
      </w:r>
    </w:p>
    <w:p>
      <w:pPr>
        <w:pStyle w:val="Heading3"/>
      </w:pPr>
      <w:r>
        <w:t>3.3 银行解禁与金租成型（2007—2013）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转折发生在入世过渡期结束前后。外资银行在华开展租赁业务的诉求，倒逼监管对中资银行“自我歧视”作出纠正。2007年3月1日，修订后的《金融租赁公司管理办法》施行，允许符合条件的商业银行、制造企业和境外租赁公司作为主要出资人。同年11月，工银金融租赁在天津挂牌。随后交银、建信、民生、招银、国银（国家开发银行收购深圳金融租赁）等相继设立或重组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银行系进入，解决的是金租长期缺的三样东西：资本金、低成本负债、对公客户。行业从此由“租赁公司做金融”转向“银行子公司做租赁”。</w:t>
      </w:r>
    </w:p>
    <w:p>
      <w:pPr>
        <w:pStyle w:val="Heading3"/>
      </w:pPr>
      <w:r>
        <w:t>3.4 规模扩张与类信贷异化（2014—2021）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2014年银监会修订管理办法，业务范围和子公司制度进一步放开。叠加基建投资、城投融资和“盘活存量资产”需求，售后回租成为主渠道：租赁物可以是设备，也可以是构筑物甚至更模糊的资产；交易目的往往是补充流动性，而不是获得新设备。金租资产规模快速迈向数万亿元。航空、航运在头部机构形成专业能力，但行业整体的收入模型仍是利差，风控模型仍是看主体信用、看区域财政，而不是看租赁物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这一阶段留下两笔遗产：一是银行系龙头在飞机、船舶上的全球竞争力；二是中小金租对城投回租的路径依赖。后者成为下一阶段监管整顿的主要对象。</w:t>
      </w:r>
    </w:p>
    <w:p>
      <w:pPr>
        <w:pStyle w:val="Heading3"/>
      </w:pPr>
      <w:r>
        <w:t>3.5 监管重构与本源回归（2022年至今）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整顿按三层推进：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2022年12号文</w:t>
      </w:r>
      <w:r>
        <w:rPr>
          <w:rFonts w:ascii="Calibri" w:hAnsi="Calibri" w:eastAsia="WenQuanYi Micro Hei"/>
          <w:b w:val="0"/>
          <w:i w:val="0"/>
          <w:sz w:val="22"/>
        </w:rPr>
        <w:t>（银保监办发〔2022〕12号）：收紧构筑物作为租赁物的适格性，严禁道路、市政管道、桥梁、水利设施、公益性资产和可能新增地方政府隐性债务的标的。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2023年8号文</w:t>
      </w:r>
      <w:r>
        <w:rPr>
          <w:rFonts w:ascii="Calibri" w:hAnsi="Calibri" w:eastAsia="WenQuanYi Micro Hei"/>
          <w:b w:val="0"/>
          <w:i w:val="0"/>
          <w:sz w:val="22"/>
        </w:rPr>
        <w:t>（金规〔2023〕8号）：强调租赁物四要素（权属清晰、特定化、可处置、有使用收益），严禁低值易耗品和乘用车之外的消费品，严禁新增非设备类售后回租；对新增回租实施限额，</w:t>
      </w:r>
      <w:r>
        <w:rPr>
          <w:rFonts w:ascii="Calibri" w:hAnsi="Calibri" w:eastAsia="WenQuanYi Micro Hei"/>
          <w:b/>
          <w:i w:val="0"/>
          <w:sz w:val="22"/>
        </w:rPr>
        <w:t>力争2026年年度新增直租占比不低于50%</w:t>
      </w:r>
      <w:r>
        <w:rPr>
          <w:rFonts w:ascii="Calibri" w:hAnsi="Calibri" w:eastAsia="WenQuanYi Micro Hei"/>
          <w:b w:val="0"/>
          <w:i w:val="0"/>
          <w:sz w:val="22"/>
        </w:rPr>
        <w:t>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2024年《金融租赁公司管理办法》</w:t>
      </w:r>
      <w:r>
        <w:rPr>
          <w:rFonts w:ascii="Calibri" w:hAnsi="Calibri" w:eastAsia="WenQuanYi Micro Hei"/>
          <w:b w:val="0"/>
          <w:i w:val="0"/>
          <w:sz w:val="22"/>
        </w:rPr>
        <w:t xml:space="preserve"> 与 </w:t>
      </w:r>
      <w:r>
        <w:rPr>
          <w:rFonts w:ascii="Calibri" w:hAnsi="Calibri" w:eastAsia="WenQuanYi Micro Hei"/>
          <w:b/>
          <w:i w:val="0"/>
          <w:sz w:val="22"/>
        </w:rPr>
        <w:t>2025年《金融租赁公司融资租赁业务管理办法》</w:t>
      </w:r>
      <w:r>
        <w:rPr>
          <w:rFonts w:ascii="Calibri" w:hAnsi="Calibri" w:eastAsia="WenQuanYi Micro Hei"/>
          <w:b w:val="0"/>
          <w:i w:val="0"/>
          <w:sz w:val="22"/>
        </w:rPr>
        <w:t>（2026年1月1日施行）：把上述监管意图升格为部门规章和全流程业务规则，并配以鼓励清单、负面清单和项目公司正面清单。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至此，金租的制度周期可以概括为：</w:t>
      </w:r>
      <w:r>
        <w:rPr>
          <w:rFonts w:ascii="Calibri" w:hAnsi="Calibri" w:eastAsia="WenQuanYi Micro Hei"/>
          <w:b/>
          <w:i w:val="0"/>
          <w:sz w:val="22"/>
        </w:rPr>
        <w:t>引进设备 → 银行退出 → 银行回归 → 类信贷扩张 → 以租赁物为核心的强监管。</w:t>
      </w:r>
      <w:r>
        <w:rPr>
          <w:rFonts w:ascii="Calibri" w:hAnsi="Calibri" w:eastAsia="WenQuanYi Micro Hei"/>
          <w:b w:val="0"/>
          <w:i w:val="0"/>
          <w:sz w:val="22"/>
        </w:rPr>
        <w:t xml:space="preserve"> 2025—2026年，行业第一次在存量上显示出直租和经营性租赁的规模效应。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/>
          <w:i w:val="0"/>
          <w:sz w:val="22"/>
        </w:rPr>
        <w:t>阶段特征提炼</w:t>
      </w:r>
      <w:r>
        <w:rPr>
          <w:rFonts w:ascii="Calibri" w:hAnsi="Calibri" w:eastAsia="WenQuanYi Micro Hei"/>
          <w:b w:val="0"/>
          <w:i w:val="0"/>
          <w:sz w:val="22"/>
        </w:rPr>
        <w:t>：金租的每一次跃迁，都不是市场自发的产品创新，而是监管对“银行能不能做租赁、租赁能不能做成贷款”作出的制度选择。</w:t>
      </w:r>
    </w:p>
    <w:p>
      <w:pPr>
        <w:spacing w:before="80" w:after="80" w:line="240" w:lineRule="auto"/>
      </w:pPr>
      <w:r>
        <w:rPr>
          <w:rFonts w:ascii="Calibri" w:hAnsi="Calibri" w:eastAsia="WenQuanYi Micro Hei"/>
          <w:b w:val="0"/>
          <w:i w:val="0"/>
          <w:color w:val="C45C26"/>
          <w:sz w:val="20"/>
        </w:rPr>
        <w:t>────────────────────────────</w:t>
      </w:r>
    </w:p>
    <w:p>
      <w:pPr>
        <w:pStyle w:val="Heading2"/>
      </w:pPr>
      <w:r>
        <w:t>四、监管体系与核心规则</w:t>
      </w:r>
    </w:p>
    <w:p>
      <w:pPr>
        <w:pStyle w:val="Heading3"/>
      </w:pPr>
      <w:r>
        <w:t>4.1 法律与规章层级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文本</w:t>
            </w:r>
          </w:p>
        </w:tc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对金租的意义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法律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《民法典》合同编融资租赁合同；《银行业监督管理法》；《公司法》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民事合同效力；金租作为银行业金融机构接受审慎监管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部门规章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《金融租赁公司管理办法》（2024年第6号）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设立、股东、业务范围、治理、资本、经营规则、退出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部门规章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《金融租赁公司融资租赁业务管理办法》（金规〔2025〕25号）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尽调、审批、合同、租后、回租、经营性租赁的全流程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规范性文件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12号文、8号文、鼓励/负面/正面清单、项目公司管理办法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租赁物红线、结构转型的时间表、赛道导向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会计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《企业会计准则第21号——租赁》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区分融资租赁与经营租赁核算</w:t>
            </w:r>
          </w:p>
        </w:tc>
      </w:tr>
    </w:tbl>
    <w:p/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2024年办法废止了2014年银监会令第3号，是现行主体制度。2025年业务管理办法则把“如何做一笔合规的租赁”写到了操作层，自2026年1月1日起与主体办法双轨运行。</w:t>
      </w:r>
    </w:p>
    <w:p>
      <w:pPr>
        <w:pStyle w:val="Heading3"/>
      </w:pPr>
      <w:r>
        <w:t>4.2 2024年办法相对旧制的关键变化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/>
          <w:i w:val="0"/>
          <w:sz w:val="22"/>
        </w:rPr>
        <w:t>准入显著抬高。</w:t>
      </w:r>
      <w:r>
        <w:rPr>
          <w:rFonts w:ascii="Calibri" w:hAnsi="Calibri" w:eastAsia="WenQuanYi Micro Hei"/>
          <w:b w:val="0"/>
          <w:i w:val="0"/>
          <w:sz w:val="22"/>
        </w:rPr>
        <w:t xml:space="preserve"> 注册资本由一次性实缴最低1亿元提至 </w:t>
      </w:r>
      <w:r>
        <w:rPr>
          <w:rFonts w:ascii="Calibri" w:hAnsi="Calibri" w:eastAsia="WenQuanYi Micro Hei"/>
          <w:b/>
          <w:i w:val="0"/>
          <w:sz w:val="22"/>
        </w:rPr>
        <w:t>10亿元</w:t>
      </w:r>
      <w:r>
        <w:rPr>
          <w:rFonts w:ascii="Calibri" w:hAnsi="Calibri" w:eastAsia="WenQuanYi Micro Hei"/>
          <w:b w:val="0"/>
          <w:i w:val="0"/>
          <w:sz w:val="22"/>
        </w:rPr>
        <w:t xml:space="preserve">；主要出资人持股原则上不低于 </w:t>
      </w:r>
      <w:r>
        <w:rPr>
          <w:rFonts w:ascii="Calibri" w:hAnsi="Calibri" w:eastAsia="WenQuanYi Micro Hei"/>
          <w:b/>
          <w:i w:val="0"/>
          <w:sz w:val="22"/>
        </w:rPr>
        <w:t>51%</w:t>
      </w:r>
      <w:r>
        <w:rPr>
          <w:rFonts w:ascii="Calibri" w:hAnsi="Calibri" w:eastAsia="WenQuanYi Micro Hei"/>
          <w:b w:val="0"/>
          <w:i w:val="0"/>
          <w:sz w:val="22"/>
        </w:rPr>
        <w:t xml:space="preserve">。商业银行作为主要出资人，最近一年末总资产不低于 </w:t>
      </w:r>
      <w:r>
        <w:rPr>
          <w:rFonts w:ascii="Calibri" w:hAnsi="Calibri" w:eastAsia="WenQuanYi Micro Hei"/>
          <w:b/>
          <w:i w:val="0"/>
          <w:sz w:val="22"/>
        </w:rPr>
        <w:t>5000亿元</w:t>
      </w:r>
      <w:r>
        <w:rPr>
          <w:rFonts w:ascii="Calibri" w:hAnsi="Calibri" w:eastAsia="WenQuanYi Micro Hei"/>
          <w:b w:val="0"/>
          <w:i w:val="0"/>
          <w:sz w:val="22"/>
        </w:rPr>
        <w:t xml:space="preserve">，且最近两年连续盈利。制造类主要出资人最近一年营业收入不低于 </w:t>
      </w:r>
      <w:r>
        <w:rPr>
          <w:rFonts w:ascii="Calibri" w:hAnsi="Calibri" w:eastAsia="WenQuanYi Micro Hei"/>
          <w:b/>
          <w:i w:val="0"/>
          <w:sz w:val="22"/>
        </w:rPr>
        <w:t>500亿元</w:t>
      </w:r>
      <w:r>
        <w:rPr>
          <w:rFonts w:ascii="Calibri" w:hAnsi="Calibri" w:eastAsia="WenQuanYi Micro Hei"/>
          <w:b w:val="0"/>
          <w:i w:val="0"/>
          <w:sz w:val="22"/>
        </w:rPr>
        <w:t>。国有（金融）资本投资、运营公司被新增为合格主要出资人类型。这意味着：新设金租几乎只能由大行、大制造集团或国家级资本平台发起，中小银行和一般工商资本的入口基本关闭。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/>
          <w:i w:val="0"/>
          <w:sz w:val="22"/>
        </w:rPr>
        <w:t>租赁物从“固定资产”收窄为“设备资产”。</w:t>
      </w:r>
      <w:r>
        <w:rPr>
          <w:rFonts w:ascii="Calibri" w:hAnsi="Calibri" w:eastAsia="WenQuanYi Micro Hei"/>
          <w:b w:val="0"/>
          <w:i w:val="0"/>
          <w:sz w:val="22"/>
        </w:rPr>
        <w:t xml:space="preserve"> 生产性生物资产被明确纳入；低值易耗品、除小微型载客汽车外的消费品、权属瑕疵财产被禁止。配件、附属设施可纳入设备管理，但价值合计不得超过设备本身。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/>
          <w:i w:val="0"/>
          <w:sz w:val="22"/>
        </w:rPr>
        <w:t>业务分级。</w:t>
      </w:r>
      <w:r>
        <w:rPr>
          <w:rFonts w:ascii="Calibri" w:hAnsi="Calibri" w:eastAsia="WenQuanYi Micro Hei"/>
          <w:b w:val="0"/>
          <w:i w:val="0"/>
          <w:sz w:val="22"/>
        </w:rPr>
        <w:t xml:space="preserve"> 基础业务包括融资租赁、租赁资产转让受让、同业拆借、向金融机构融入资金、发行非资本类债券、接受保证金、租赁物变卖处理等。专项业务（需申请）包括境内外项目公司、向专业子公司/项目公司借款和担保、固收投资、资产证券化、套期保值、咨询服务等。固收投资被从主业中拿出来，且余额原则上不超过上季末资本净额的 </w:t>
      </w:r>
      <w:r>
        <w:rPr>
          <w:rFonts w:ascii="Calibri" w:hAnsi="Calibri" w:eastAsia="WenQuanYi Micro Hei"/>
          <w:b/>
          <w:i w:val="0"/>
          <w:sz w:val="22"/>
        </w:rPr>
        <w:t>20%</w:t>
      </w:r>
      <w:r>
        <w:rPr>
          <w:rFonts w:ascii="Calibri" w:hAnsi="Calibri" w:eastAsia="WenQuanYi Micro Hei"/>
          <w:b w:val="0"/>
          <w:i w:val="0"/>
          <w:sz w:val="22"/>
        </w:rPr>
        <w:t>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/>
          <w:i w:val="0"/>
          <w:sz w:val="22"/>
        </w:rPr>
        <w:t>股东义务硬化。</w:t>
      </w:r>
      <w:r>
        <w:rPr>
          <w:rFonts w:ascii="Calibri" w:hAnsi="Calibri" w:eastAsia="WenQuanYi Micro Hei"/>
          <w:b w:val="0"/>
          <w:i w:val="0"/>
          <w:sz w:val="22"/>
        </w:rPr>
        <w:t xml:space="preserve"> 主要股东五年内原则上不得转让股权、不得质押或设立信托；须承诺必要时补充资本、在支付困难时给予流动性支持。这把金租更紧地绑在股东银行的并表管理上。</w:t>
      </w:r>
    </w:p>
    <w:p>
      <w:pPr>
        <w:pStyle w:val="Heading3"/>
      </w:pPr>
      <w:r>
        <w:t>4.3 监管指标全表（法人口径与并表口径均需满足）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4759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监管要求</w:t>
            </w:r>
          </w:p>
        </w:tc>
      </w:tr>
      <w:tr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资本充足率</w:t>
            </w:r>
          </w:p>
        </w:tc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各级资本净额/风险加权资产不低于金融监管总局对各级资本的要求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杠杆率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 xml:space="preserve">一级资本净额/调整后表内外资产 ≥ </w:t>
            </w:r>
            <w:r>
              <w:rPr>
                <w:rFonts w:ascii="Calibri" w:hAnsi="Calibri" w:eastAsia="WenQuanYi Micro Hei"/>
                <w:b/>
                <w:i w:val="0"/>
                <w:sz w:val="18"/>
              </w:rPr>
              <w:t>6%</w:t>
            </w:r>
          </w:p>
        </w:tc>
      </w:tr>
      <w:tr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财务杠杆倍数</w:t>
            </w:r>
          </w:p>
        </w:tc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 xml:space="preserve">总资产/净资产 ≤ </w:t>
            </w:r>
            <w:r>
              <w:rPr>
                <w:rFonts w:ascii="Calibri" w:hAnsi="Calibri" w:eastAsia="WenQuanYi Micro Hei"/>
                <w:b/>
                <w:i w:val="0"/>
                <w:sz w:val="18"/>
              </w:rPr>
              <w:t>10倍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同业拆借比例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 xml:space="preserve">拆入、拆出余额均 ≤ 资本净额的 </w:t>
            </w:r>
            <w:r>
              <w:rPr>
                <w:rFonts w:ascii="Calibri" w:hAnsi="Calibri" w:eastAsia="WenQuanYi Micro Hei"/>
                <w:b/>
                <w:i w:val="0"/>
                <w:sz w:val="18"/>
              </w:rPr>
              <w:t>100%</w:t>
            </w:r>
          </w:p>
        </w:tc>
      </w:tr>
      <w:tr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拨备覆盖率</w:t>
            </w:r>
          </w:p>
        </w:tc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 xml:space="preserve">租赁应收款损失准备/不良租赁应收款 ≥ </w:t>
            </w:r>
            <w:r>
              <w:rPr>
                <w:rFonts w:ascii="Calibri" w:hAnsi="Calibri" w:eastAsia="WenQuanYi Micro Hei"/>
                <w:b/>
                <w:i w:val="0"/>
                <w:sz w:val="18"/>
              </w:rPr>
              <w:t>100%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租赁应收款拨备率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 xml:space="preserve">损失准备/租赁应收款余额 ≥ </w:t>
            </w:r>
            <w:r>
              <w:rPr>
                <w:rFonts w:ascii="Calibri" w:hAnsi="Calibri" w:eastAsia="WenQuanYi Micro Hei"/>
                <w:b/>
                <w:i w:val="0"/>
                <w:sz w:val="18"/>
              </w:rPr>
              <w:t>2.5%</w:t>
            </w:r>
          </w:p>
        </w:tc>
      </w:tr>
      <w:tr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单一客户融资集中度</w:t>
            </w:r>
          </w:p>
        </w:tc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 xml:space="preserve">≤ 上季末资本净额 </w:t>
            </w:r>
            <w:r>
              <w:rPr>
                <w:rFonts w:ascii="Calibri" w:hAnsi="Calibri" w:eastAsia="WenQuanYi Micro Hei"/>
                <w:b/>
                <w:i w:val="0"/>
                <w:sz w:val="18"/>
              </w:rPr>
              <w:t>30%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单一集团客户融资集中度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 xml:space="preserve">≤ 上季末资本净额 </w:t>
            </w:r>
            <w:r>
              <w:rPr>
                <w:rFonts w:ascii="Calibri" w:hAnsi="Calibri" w:eastAsia="WenQuanYi Micro Hei"/>
                <w:b/>
                <w:i w:val="0"/>
                <w:sz w:val="18"/>
              </w:rPr>
              <w:t>50%</w:t>
            </w:r>
          </w:p>
        </w:tc>
      </w:tr>
      <w:tr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单一客户关联度</w:t>
            </w:r>
          </w:p>
        </w:tc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 xml:space="preserve">≤ 上季末资本净额 </w:t>
            </w:r>
            <w:r>
              <w:rPr>
                <w:rFonts w:ascii="Calibri" w:hAnsi="Calibri" w:eastAsia="WenQuanYi Micro Hei"/>
                <w:b/>
                <w:i w:val="0"/>
                <w:sz w:val="18"/>
              </w:rPr>
              <w:t>30%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全部关联度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 xml:space="preserve">≤ 上季末资本净额 </w:t>
            </w:r>
            <w:r>
              <w:rPr>
                <w:rFonts w:ascii="Calibri" w:hAnsi="Calibri" w:eastAsia="WenQuanYi Micro Hei"/>
                <w:b/>
                <w:i w:val="0"/>
                <w:sz w:val="18"/>
              </w:rPr>
              <w:t>50%</w:t>
            </w:r>
          </w:p>
        </w:tc>
      </w:tr>
      <w:tr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单一股东关联度</w:t>
            </w:r>
          </w:p>
        </w:tc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≤ 该股东出资额，且同时满足单一客户关联度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流动性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流动性比例、LCR 等符合总局要求</w:t>
            </w:r>
          </w:p>
        </w:tc>
      </w:tr>
      <w:tr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固收投资比例</w:t>
            </w:r>
          </w:p>
        </w:tc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 xml:space="preserve">原则上 ≤ 上季末资本净额 </w:t>
            </w:r>
            <w:r>
              <w:rPr>
                <w:rFonts w:ascii="Calibri" w:hAnsi="Calibri" w:eastAsia="WenQuanYi Micro Hei"/>
                <w:b/>
                <w:i w:val="0"/>
                <w:sz w:val="18"/>
              </w:rPr>
              <w:t>20%</w:t>
            </w:r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（不含本机构 ABS 风险自留）</w:t>
            </w:r>
          </w:p>
        </w:tc>
      </w:tr>
    </w:tbl>
    <w:p/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特定行业和企业的集中度、关联度，经总局认可可适当调整。专业子公司参照适用，但集中度等另有规定的除外。未提足准备或资本充足率不达标的，不得现金分红。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对实务的含义是：金租不能再靠无限加杠杆做大规模；飞机、船舶等大单必须靠资本积累、增资或集中度豁免；固收投资只能做流动性管理，不能做成第二个资金盘。</w:t>
      </w:r>
    </w:p>
    <w:p>
      <w:pPr>
        <w:pStyle w:val="Heading3"/>
      </w:pPr>
      <w:r>
        <w:t>4.4 8号文的结构转型时间表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8号文是理解2024—2026年业务节奏的钥匙。核心安排包括：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 xml:space="preserve">2024年新增业务中售后回租占比，较2023年前三季度下降 </w:t>
      </w:r>
      <w:r>
        <w:rPr>
          <w:rFonts w:ascii="Calibri" w:hAnsi="Calibri" w:eastAsia="WenQuanYi Micro Hei"/>
          <w:b/>
          <w:i w:val="0"/>
          <w:sz w:val="22"/>
        </w:rPr>
        <w:t>15个百分点</w:t>
      </w:r>
      <w:r>
        <w:rPr>
          <w:rFonts w:ascii="Calibri" w:hAnsi="Calibri" w:eastAsia="WenQuanYi Micro Hei"/>
          <w:b w:val="0"/>
          <w:i w:val="0"/>
          <w:sz w:val="22"/>
        </w:rPr>
        <w:t>；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 xml:space="preserve">2023年前三季度回租占比已低于65%的公司，2024年回租限额可不高于 </w:t>
      </w:r>
      <w:r>
        <w:rPr>
          <w:rFonts w:ascii="Calibri" w:hAnsi="Calibri" w:eastAsia="WenQuanYi Micro Hei"/>
          <w:b/>
          <w:i w:val="0"/>
          <w:sz w:val="22"/>
        </w:rPr>
        <w:t>50%</w:t>
      </w:r>
      <w:r>
        <w:rPr>
          <w:rFonts w:ascii="Calibri" w:hAnsi="Calibri" w:eastAsia="WenQuanYi Micro Hei"/>
          <w:b w:val="0"/>
          <w:i w:val="0"/>
          <w:sz w:val="22"/>
        </w:rPr>
        <w:t>；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设置三年过渡期，</w:t>
      </w:r>
      <w:r>
        <w:rPr>
          <w:rFonts w:ascii="Calibri" w:hAnsi="Calibri" w:eastAsia="WenQuanYi Micro Hei"/>
          <w:b/>
          <w:i w:val="0"/>
          <w:sz w:val="22"/>
        </w:rPr>
        <w:t>力争2026年年度新增直租业务占比不低于50%</w:t>
      </w:r>
      <w:r>
        <w:rPr>
          <w:rFonts w:ascii="Calibri" w:hAnsi="Calibri" w:eastAsia="WenQuanYi Micro Hei"/>
          <w:b w:val="0"/>
          <w:i w:val="0"/>
          <w:sz w:val="22"/>
        </w:rPr>
        <w:t>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需要强调：考核口径是</w:t>
      </w:r>
      <w:r>
        <w:rPr>
          <w:rFonts w:ascii="Calibri" w:hAnsi="Calibri" w:eastAsia="WenQuanYi Micro Hei"/>
          <w:b/>
          <w:i w:val="0"/>
          <w:sz w:val="22"/>
        </w:rPr>
        <w:t>当年新投放</w:t>
      </w:r>
      <w:r>
        <w:rPr>
          <w:rFonts w:ascii="Calibri" w:hAnsi="Calibri" w:eastAsia="WenQuanYi Micro Hei"/>
          <w:b w:val="0"/>
          <w:i w:val="0"/>
          <w:sz w:val="22"/>
        </w:rPr>
        <w:t xml:space="preserve">，不是存量余额。因此会出现“存量直租占比仍低于四成、但新增已按50%约束”的并存局面。2025年末直租资产占租赁资产 </w:t>
      </w:r>
      <w:r>
        <w:rPr>
          <w:rFonts w:ascii="Calibri" w:hAnsi="Calibri" w:eastAsia="WenQuanYi Micro Hei"/>
          <w:b/>
          <w:i w:val="0"/>
          <w:sz w:val="22"/>
        </w:rPr>
        <w:t>39.74%</w:t>
      </w:r>
      <w:r>
        <w:rPr>
          <w:rFonts w:ascii="Calibri" w:hAnsi="Calibri" w:eastAsia="WenQuanYi Micro Hei"/>
          <w:b w:val="0"/>
          <w:i w:val="0"/>
          <w:sz w:val="22"/>
        </w:rPr>
        <w:t xml:space="preserve">，说明存量仍被历史回租资产拖着；当年直租余额同比 </w:t>
      </w:r>
      <w:r>
        <w:rPr>
          <w:rFonts w:ascii="Calibri" w:hAnsi="Calibri" w:eastAsia="WenQuanYi Micro Hei"/>
          <w:b/>
          <w:i w:val="0"/>
          <w:sz w:val="22"/>
        </w:rPr>
        <w:t>+21.05%</w:t>
      </w:r>
      <w:r>
        <w:rPr>
          <w:rFonts w:ascii="Calibri" w:hAnsi="Calibri" w:eastAsia="WenQuanYi Micro Hei"/>
          <w:b w:val="0"/>
          <w:i w:val="0"/>
          <w:sz w:val="22"/>
        </w:rPr>
        <w:t xml:space="preserve">、远高于总资产 </w:t>
      </w:r>
      <w:r>
        <w:rPr>
          <w:rFonts w:ascii="Calibri" w:hAnsi="Calibri" w:eastAsia="WenQuanYi Micro Hei"/>
          <w:b/>
          <w:i w:val="0"/>
          <w:sz w:val="22"/>
        </w:rPr>
        <w:t>+7.89%</w:t>
      </w:r>
      <w:r>
        <w:rPr>
          <w:rFonts w:ascii="Calibri" w:hAnsi="Calibri" w:eastAsia="WenQuanYi Micro Hei"/>
          <w:b w:val="0"/>
          <w:i w:val="0"/>
          <w:sz w:val="22"/>
        </w:rPr>
        <w:t>，说明新增端已经转向。</w:t>
      </w:r>
    </w:p>
    <w:p>
      <w:pPr>
        <w:pStyle w:val="Heading3"/>
      </w:pPr>
      <w:r>
        <w:t>4.5 2025年业务管理办法：把租赁物写成全流程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2025年12月4日印发、2026年1月1日施行的《金融租赁公司融资租赁业务管理办法》，把尽调、评估、审批、合同、放款、租后、取回处置写成操作规范。与综述最相关的几条是：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尽调原则上双人现场；批量化、标准化业务可简化，但须设定金额上限。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先有租赁物价值、后有业务金额</w:t>
      </w:r>
      <w:r>
        <w:rPr>
          <w:rFonts w:ascii="Calibri" w:hAnsi="Calibri" w:eastAsia="WenQuanYi Micro Hei"/>
          <w:b w:val="0"/>
          <w:i w:val="0"/>
          <w:sz w:val="22"/>
        </w:rPr>
        <w:t>，严禁反过来。直租按价款、运装、税费、保险等确定金额；回租以租赁物价值为上限。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回租须承租人真实拥有并有权处分；经营性租赁须在合同中明确维修、保险、退租、违约救济，并做价值波动、技术更新、再处置调查。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未担保余值要定期评估和减值测试，高余值业务要限额。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这套规则的政策目标很清楚：让金租的核心能力从“审批一笔授信”变成“看懂、管住、处置得掉一件租赁物”。</w:t>
      </w:r>
    </w:p>
    <w:p>
      <w:pPr>
        <w:pStyle w:val="Heading3"/>
      </w:pPr>
      <w:r>
        <w:t>4.6 鼓励清单与负面清单的导向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2024年8月，金融监管总局发布业务发展鼓励清单、负面清单和项目公司业务正面清单。公开研究材料显示，导向是：支持产业升级所需的重要通用设备和重大技术装备，助力新质生产力；禁止性领域按12号文、8号文执行，存量自然结清、不得展期或续作。鼓励方向与近年投放数据相互印证——航空、航运、高端装备、新能源、绿色基础设施、医疗设备、算力基础设施——而城投构筑物、公益性资产、消费品和权属不清的标的被明确排除。</w:t>
      </w:r>
    </w:p>
    <w:p>
      <w:pPr>
        <w:spacing w:before="80" w:after="80" w:line="240" w:lineRule="auto"/>
      </w:pPr>
      <w:r>
        <w:rPr>
          <w:rFonts w:ascii="Calibri" w:hAnsi="Calibri" w:eastAsia="WenQuanYi Micro Hei"/>
          <w:b w:val="0"/>
          <w:i w:val="0"/>
          <w:color w:val="C45C26"/>
          <w:sz w:val="20"/>
        </w:rPr>
        <w:t>────────────────────────────</w:t>
      </w:r>
    </w:p>
    <w:p>
      <w:pPr>
        <w:pStyle w:val="Heading2"/>
      </w:pPr>
      <w:r>
        <w:t>五、市场格局与竞争结构</w:t>
      </w:r>
    </w:p>
    <w:p>
      <w:pPr>
        <w:pStyle w:val="Heading3"/>
      </w:pPr>
      <w:r>
        <w:t>5.1 总量：从高速扩张到稳健扩容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时点</w:t>
            </w:r>
          </w:p>
        </w:tc>
        <w:tc>
          <w:tcPr>
            <w:tcW w:type="dxa" w:w="1904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总资产</w:t>
            </w:r>
          </w:p>
        </w:tc>
        <w:tc>
          <w:tcPr>
            <w:tcW w:type="dxa" w:w="1904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同比</w:t>
            </w:r>
          </w:p>
        </w:tc>
        <w:tc>
          <w:tcPr>
            <w:tcW w:type="dxa" w:w="1904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租赁资产余额</w:t>
            </w:r>
          </w:p>
        </w:tc>
        <w:tc>
          <w:tcPr>
            <w:tcW w:type="dxa" w:w="1904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其他</w:t>
            </w:r>
          </w:p>
        </w:tc>
      </w:tr>
      <w:tr>
        <w:tc>
          <w:tcPr>
            <w:tcW w:type="dxa" w:w="1904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2023年末</w:t>
            </w:r>
          </w:p>
        </w:tc>
        <w:tc>
          <w:tcPr>
            <w:tcW w:type="dxa" w:w="1904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4.18万亿元</w:t>
            </w:r>
          </w:p>
        </w:tc>
        <w:tc>
          <w:tcPr>
            <w:tcW w:type="dxa" w:w="1904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+10.49%</w:t>
            </w:r>
          </w:p>
        </w:tc>
        <w:tc>
          <w:tcPr>
            <w:tcW w:type="dxa" w:w="1904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3.97万亿元（+9.27%）</w:t>
            </w:r>
          </w:p>
        </w:tc>
        <w:tc>
          <w:tcPr>
            <w:tcW w:type="dxa" w:w="1904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直租投放2814.87亿元，占当年投放16.42%</w:t>
            </w:r>
          </w:p>
        </w:tc>
      </w:tr>
      <w:tr>
        <w:tc>
          <w:tcPr>
            <w:tcW w:type="dxa" w:w="1904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2024年末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4.58万亿元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+9.56%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4.38万亿元（+10.24%）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直租投放3522.98亿元，占当年投放19.56%</w:t>
            </w:r>
          </w:p>
        </w:tc>
      </w:tr>
      <w:tr>
        <w:tc>
          <w:tcPr>
            <w:tcW w:type="dxa" w:w="1904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2025年末</w:t>
            </w:r>
          </w:p>
        </w:tc>
        <w:tc>
          <w:tcPr>
            <w:tcW w:type="dxa" w:w="1904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5.23万亿元</w:t>
            </w:r>
          </w:p>
        </w:tc>
        <w:tc>
          <w:tcPr>
            <w:tcW w:type="dxa" w:w="1904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+7.89%</w:t>
            </w:r>
          </w:p>
        </w:tc>
        <w:tc>
          <w:tcPr>
            <w:tcW w:type="dxa" w:w="1904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直租余额1.84万亿元，占租赁资产39.74%</w:t>
            </w:r>
          </w:p>
        </w:tc>
        <w:tc>
          <w:tcPr>
            <w:tcW w:type="dxa" w:w="1904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经营性租赁余额1.07万亿元；不良率0.91%</w:t>
            </w:r>
          </w:p>
        </w:tc>
      </w:tr>
    </w:tbl>
    <w:p/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三年数据画出一条清楚的曲线：规模还在长，但增速逐年下台阶；结构指标（直租、经营性租赁）的增速持续高于总量。2025年部分中小金租因传统回租压降、优质直租竞争激烈、信用风险上升而收缩，行业增量更加集中在头部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 xml:space="preserve">机构数量方面，金融监管总局法人名单在2023年末约70家；2025年末媒体根据年报统计的正常经营主体为 </w:t>
      </w:r>
      <w:r>
        <w:rPr>
          <w:rFonts w:ascii="Calibri" w:hAnsi="Calibri" w:eastAsia="WenQuanYi Micro Hei"/>
          <w:b/>
          <w:i w:val="0"/>
          <w:sz w:val="22"/>
        </w:rPr>
        <w:t>65家</w:t>
      </w:r>
      <w:r>
        <w:rPr>
          <w:rFonts w:ascii="Calibri" w:hAnsi="Calibri" w:eastAsia="WenQuanYi Micro Hei"/>
          <w:b w:val="0"/>
          <w:i w:val="0"/>
          <w:sz w:val="22"/>
        </w:rPr>
        <w:t>（不含专业子公司），亦有“持牌约67家”的口径。差异主要来自是否计入停业、重组和专业子公司。无论如何，金租是一个</w:t>
      </w:r>
      <w:r>
        <w:rPr>
          <w:rFonts w:ascii="Calibri" w:hAnsi="Calibri" w:eastAsia="WenQuanYi Micro Hei"/>
          <w:b/>
          <w:i w:val="0"/>
          <w:sz w:val="22"/>
        </w:rPr>
        <w:t>牌照极少、存量竞争</w:t>
      </w:r>
      <w:r>
        <w:rPr>
          <w:rFonts w:ascii="Calibri" w:hAnsi="Calibri" w:eastAsia="WenQuanYi Micro Hei"/>
          <w:b w:val="0"/>
          <w:i w:val="0"/>
          <w:sz w:val="22"/>
        </w:rPr>
        <w:t>的市场，不可能再靠新设机构把蛋糕做大。</w:t>
      </w:r>
    </w:p>
    <w:p>
      <w:pPr>
        <w:pStyle w:val="Heading3"/>
      </w:pPr>
      <w:r>
        <w:t>5.2 集中度：千亿俱乐部与第一梯队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 xml:space="preserve">截至2025年末，资产规模超过千亿元的金租增至 </w:t>
      </w:r>
      <w:r>
        <w:rPr>
          <w:rFonts w:ascii="Calibri" w:hAnsi="Calibri" w:eastAsia="WenQuanYi Micro Hei"/>
          <w:b/>
          <w:i w:val="0"/>
          <w:sz w:val="22"/>
        </w:rPr>
        <w:t>16家</w:t>
      </w:r>
      <w:r>
        <w:rPr>
          <w:rFonts w:ascii="Calibri" w:hAnsi="Calibri" w:eastAsia="WenQuanYi Micro Hei"/>
          <w:b w:val="0"/>
          <w:i w:val="0"/>
          <w:sz w:val="22"/>
        </w:rPr>
        <w:t xml:space="preserve">，合计约 </w:t>
      </w:r>
      <w:r>
        <w:rPr>
          <w:rFonts w:ascii="Calibri" w:hAnsi="Calibri" w:eastAsia="WenQuanYi Micro Hei"/>
          <w:b/>
          <w:i w:val="0"/>
          <w:sz w:val="22"/>
        </w:rPr>
        <w:t>3.54万亿元</w:t>
      </w:r>
      <w:r>
        <w:rPr>
          <w:rFonts w:ascii="Calibri" w:hAnsi="Calibri" w:eastAsia="WenQuanYi Micro Hei"/>
          <w:b w:val="0"/>
          <w:i w:val="0"/>
          <w:sz w:val="22"/>
        </w:rPr>
        <w:t xml:space="preserve">，占行业 </w:t>
      </w:r>
      <w:r>
        <w:rPr>
          <w:rFonts w:ascii="Calibri" w:hAnsi="Calibri" w:eastAsia="WenQuanYi Micro Hei"/>
          <w:b/>
          <w:i w:val="0"/>
          <w:sz w:val="22"/>
        </w:rPr>
        <w:t>三分之二以上</w:t>
      </w:r>
      <w:r>
        <w:rPr>
          <w:rFonts w:ascii="Calibri" w:hAnsi="Calibri" w:eastAsia="WenQuanYi Micro Hei"/>
          <w:b w:val="0"/>
          <w:i w:val="0"/>
          <w:sz w:val="22"/>
        </w:rPr>
        <w:t>。新晋成员为中信金租——由中信银行独资，注册资本100亿元，资产从2024年初约604亿元升至约1220亿元。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公开披露的头部规模（2025年末）：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机构</w:t>
            </w:r>
          </w:p>
        </w:tc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总资产（约）</w:t>
            </w:r>
          </w:p>
        </w:tc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交银金租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4562.93亿元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规模第一；船队434艘、机队320架；航空航运资产占比超65%；经营租赁占比53.5%，直租占比61.5%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国银金租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4334.71亿元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规模第二；净利润率先超过50亿元；能源+高端装备资产约42%，飞机船舶收入贡献仍超65%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工银金租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4084.43亿元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规模第三；注册资本由180亿元增至330亿元，居行业首位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招银金租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3253亿元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股份行金租第一梯队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华夏金租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站上2000亿元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绿色租赁余额近986亿元，占租赁资产53.4%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中信金租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1220亿元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两年翻番进入千亿俱乐部</w:t>
            </w:r>
          </w:p>
        </w:tc>
      </w:tr>
    </w:tbl>
    <w:p/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16家千亿机构中，仅华融金租无银行股东，但仍由中信银行管理。银行系在资金、渠道、评级上的优势，已经从“重要”变成“结构性格局”。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腰部方面，浙银金租、中银金租2025年末总资产分别约904亿元、879亿元；信达、昆仑、徽银、渝农商等在800亿元上下，是下一轮千亿俱乐部的候选。这一层机构往往更依赖区域对公客户和回租传统，转型压力大于头部。</w:t>
      </w:r>
    </w:p>
    <w:p>
      <w:pPr>
        <w:pStyle w:val="Heading3"/>
      </w:pPr>
      <w:r>
        <w:t>5.3 三类竞争主体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379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代表逻辑</w:t>
            </w:r>
          </w:p>
        </w:tc>
        <w:tc>
          <w:tcPr>
            <w:tcW w:type="dxa" w:w="2379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优势</w:t>
            </w:r>
          </w:p>
        </w:tc>
        <w:tc>
          <w:tcPr>
            <w:tcW w:type="dxa" w:w="2379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约束</w:t>
            </w:r>
          </w:p>
        </w:tc>
      </w:tr>
      <w:tr>
        <w:tc>
          <w:tcPr>
            <w:tcW w:type="dxa" w:w="237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银行系头部</w:t>
            </w:r>
          </w:p>
        </w:tc>
        <w:tc>
          <w:tcPr>
            <w:tcW w:type="dxa" w:w="237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交银、国银、工银、招银、建信、农银等</w:t>
            </w:r>
          </w:p>
        </w:tc>
        <w:tc>
          <w:tcPr>
            <w:tcW w:type="dxa" w:w="237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负债成本、大客户、跨境项目公司、ABS 与发债便利</w:t>
            </w:r>
          </w:p>
        </w:tc>
        <w:tc>
          <w:tcPr>
            <w:tcW w:type="dxa" w:w="237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并表资本占用、集中度、母行风险偏好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银行系中小 / 区域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城商行、农商行金租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本地产业与政府关系、决策半径短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资本薄、负债分层、优质直租项目少、区域集中</w:t>
            </w:r>
          </w:p>
        </w:tc>
      </w:tr>
      <w:tr>
        <w:tc>
          <w:tcPr>
            <w:tcW w:type="dxa" w:w="237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非银行或产业背景</w:t>
            </w:r>
          </w:p>
        </w:tc>
        <w:tc>
          <w:tcPr>
            <w:tcW w:type="dxa" w:w="237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华融金租、部分制造系</w:t>
            </w:r>
          </w:p>
        </w:tc>
        <w:tc>
          <w:tcPr>
            <w:tcW w:type="dxa" w:w="237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产业认知、厂商渠道</w:t>
            </w:r>
          </w:p>
        </w:tc>
        <w:tc>
          <w:tcPr>
            <w:tcW w:type="dxa" w:w="237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资金成本高、牌照与增信依赖外部银行</w:t>
            </w:r>
          </w:p>
        </w:tc>
      </w:tr>
    </w:tbl>
    <w:p/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行业正在从“牌照稀缺带来的普遍溢价”转向“专业能力带来的分层溢价”。同样做租赁，飞机经营性租赁、户用光伏、厂商租赁和区域设备回租，已经不是一个利润池。</w:t>
      </w:r>
    </w:p>
    <w:p>
      <w:pPr>
        <w:pStyle w:val="Heading3"/>
      </w:pPr>
      <w:r>
        <w:t>5.4 专业子公司与项目公司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飞机、船舶租赁高度依赖特殊目的载体：境外项目公司用于登记、税务和取回；专业子公司用于隔离专业风险并满足“飞机、船舶项目公司原则上由专业子公司开展”的要求。这是头部机构的隐性壁垒——中小金租即使拿到一单飞机，也往往缺境外SPV、缺资产管理和再营销团队。2024年办法规定专业子公司注册资本最低3亿元、原则上由金租100%控股，同业拆借和固收投资不得向专业子公司授权。专业化被写成了组织架构，而不仅是业务口号。</w:t>
      </w:r>
    </w:p>
    <w:p>
      <w:pPr>
        <w:spacing w:before="80" w:after="80" w:line="240" w:lineRule="auto"/>
      </w:pPr>
      <w:r>
        <w:rPr>
          <w:rFonts w:ascii="Calibri" w:hAnsi="Calibri" w:eastAsia="WenQuanYi Micro Hei"/>
          <w:b w:val="0"/>
          <w:i w:val="0"/>
          <w:color w:val="C45C26"/>
          <w:sz w:val="20"/>
        </w:rPr>
        <w:t>────────────────────────────</w:t>
      </w:r>
    </w:p>
    <w:p>
      <w:pPr>
        <w:pStyle w:val="Heading2"/>
      </w:pPr>
      <w:r>
        <w:t>六、业务结构与本源转型</w:t>
      </w:r>
    </w:p>
    <w:p>
      <w:pPr>
        <w:pStyle w:val="Heading3"/>
      </w:pPr>
      <w:r>
        <w:t>6.1 直租：从政策口号到存量近四成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 xml:space="preserve">2025年末直租资产余额 </w:t>
      </w:r>
      <w:r>
        <w:rPr>
          <w:rFonts w:ascii="Calibri" w:hAnsi="Calibri" w:eastAsia="WenQuanYi Micro Hei"/>
          <w:b/>
          <w:i w:val="0"/>
          <w:sz w:val="22"/>
        </w:rPr>
        <w:t>1.84万亿元</w:t>
      </w:r>
      <w:r>
        <w:rPr>
          <w:rFonts w:ascii="Calibri" w:hAnsi="Calibri" w:eastAsia="WenQuanYi Micro Hei"/>
          <w:b w:val="0"/>
          <w:i w:val="0"/>
          <w:sz w:val="22"/>
        </w:rPr>
        <w:t xml:space="preserve">，同比 </w:t>
      </w:r>
      <w:r>
        <w:rPr>
          <w:rFonts w:ascii="Calibri" w:hAnsi="Calibri" w:eastAsia="WenQuanYi Micro Hei"/>
          <w:b/>
          <w:i w:val="0"/>
          <w:sz w:val="22"/>
        </w:rPr>
        <w:t>+21.05%</w:t>
      </w:r>
      <w:r>
        <w:rPr>
          <w:rFonts w:ascii="Calibri" w:hAnsi="Calibri" w:eastAsia="WenQuanYi Micro Hei"/>
          <w:b w:val="0"/>
          <w:i w:val="0"/>
          <w:sz w:val="22"/>
        </w:rPr>
        <w:t xml:space="preserve">，占租赁资产 </w:t>
      </w:r>
      <w:r>
        <w:rPr>
          <w:rFonts w:ascii="Calibri" w:hAnsi="Calibri" w:eastAsia="WenQuanYi Micro Hei"/>
          <w:b/>
          <w:i w:val="0"/>
          <w:sz w:val="22"/>
        </w:rPr>
        <w:t>39.74%</w:t>
      </w:r>
      <w:r>
        <w:rPr>
          <w:rFonts w:ascii="Calibri" w:hAnsi="Calibri" w:eastAsia="WenQuanYi Micro Hei"/>
          <w:b w:val="0"/>
          <w:i w:val="0"/>
          <w:sz w:val="22"/>
        </w:rPr>
        <w:t>。中银协报告和公开专家解读把这一变化归因于三件事：8号文和2024年办法压降构筑物类信贷；大规模设备更新、先进制造和绿色转型释放真实的新购设备需求；金租在定价、处置、残值管理上开始具备承接直租的专业基础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仍需保持冷静。国际成熟市场中，与设备流通结合的直租和经营性租赁占比通常更高；中国金租的存量里仍有大量历史回租。直租余额占比接近四成，标志着回归本源进入</w:t>
      </w:r>
      <w:r>
        <w:rPr>
          <w:rFonts w:ascii="Calibri" w:hAnsi="Calibri" w:eastAsia="WenQuanYi Micro Hei"/>
          <w:b/>
          <w:i w:val="0"/>
          <w:sz w:val="22"/>
        </w:rPr>
        <w:t>实质落地阶段</w:t>
      </w:r>
      <w:r>
        <w:rPr>
          <w:rFonts w:ascii="Calibri" w:hAnsi="Calibri" w:eastAsia="WenQuanYi Micro Hei"/>
          <w:b w:val="0"/>
          <w:i w:val="0"/>
          <w:sz w:val="22"/>
        </w:rPr>
        <w:t>，但还不是“质变已经完成”。2026年新增直租50%的监管目标，考核的是流量。流量达标之后，存量结构还会继续被旧资产的到期节奏牵着走。</w:t>
      </w:r>
    </w:p>
    <w:p>
      <w:pPr>
        <w:pStyle w:val="Heading3"/>
      </w:pPr>
      <w:r>
        <w:t>6.2 经营性租赁：从交易走向资产运营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 xml:space="preserve">2025年末经营性租赁资产余额 </w:t>
      </w:r>
      <w:r>
        <w:rPr>
          <w:rFonts w:ascii="Calibri" w:hAnsi="Calibri" w:eastAsia="WenQuanYi Micro Hei"/>
          <w:b/>
          <w:i w:val="0"/>
          <w:sz w:val="22"/>
        </w:rPr>
        <w:t>1.07万亿元</w:t>
      </w:r>
      <w:r>
        <w:rPr>
          <w:rFonts w:ascii="Calibri" w:hAnsi="Calibri" w:eastAsia="WenQuanYi Micro Hei"/>
          <w:b w:val="0"/>
          <w:i w:val="0"/>
          <w:sz w:val="22"/>
        </w:rPr>
        <w:t xml:space="preserve">，同比 </w:t>
      </w:r>
      <w:r>
        <w:rPr>
          <w:rFonts w:ascii="Calibri" w:hAnsi="Calibri" w:eastAsia="WenQuanYi Micro Hei"/>
          <w:b/>
          <w:i w:val="0"/>
          <w:sz w:val="22"/>
        </w:rPr>
        <w:t>+10.25%</w:t>
      </w:r>
      <w:r>
        <w:rPr>
          <w:rFonts w:ascii="Calibri" w:hAnsi="Calibri" w:eastAsia="WenQuanYi Micro Hei"/>
          <w:b w:val="0"/>
          <w:i w:val="0"/>
          <w:sz w:val="22"/>
        </w:rPr>
        <w:t xml:space="preserve">，当年投放 </w:t>
      </w:r>
      <w:r>
        <w:rPr>
          <w:rFonts w:ascii="Calibri" w:hAnsi="Calibri" w:eastAsia="WenQuanYi Micro Hei"/>
          <w:b/>
          <w:i w:val="0"/>
          <w:sz w:val="22"/>
        </w:rPr>
        <w:t>2382.50亿元</w:t>
      </w:r>
      <w:r>
        <w:rPr>
          <w:rFonts w:ascii="Calibri" w:hAnsi="Calibri" w:eastAsia="WenQuanYi Micro Hei"/>
          <w:b w:val="0"/>
          <w:i w:val="0"/>
          <w:sz w:val="22"/>
        </w:rPr>
        <w:t xml:space="preserve">，同比 </w:t>
      </w:r>
      <w:r>
        <w:rPr>
          <w:rFonts w:ascii="Calibri" w:hAnsi="Calibri" w:eastAsia="WenQuanYi Micro Hei"/>
          <w:b/>
          <w:i w:val="0"/>
          <w:sz w:val="22"/>
        </w:rPr>
        <w:t>+11.46%</w:t>
      </w:r>
      <w:r>
        <w:rPr>
          <w:rFonts w:ascii="Calibri" w:hAnsi="Calibri" w:eastAsia="WenQuanYi Micro Hei"/>
          <w:b w:val="0"/>
          <w:i w:val="0"/>
          <w:sz w:val="22"/>
        </w:rPr>
        <w:t>。中银协的概括是：业务模式从单一租赁交易，延伸到设备全生命周期、全链条资产运营，挖掘租赁物的长期运营价值。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经营性租赁对金租的能力要求明显高于融资性回租：要会买、会租、会保养、会保险、会再投放、会在租约结束时处理残值。飞机、船舶是这一模式的传统主场；医疗设备、工程机械、算力服务器和部分新能源资产正在成为新的试验场。对承租人，经营性租赁的吸引力是表外、灵活升级和转移技术迭代风险；对出租人，收益来自租金、余值和资产管理费，而不只是利差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 xml:space="preserve">交银金租经营租赁资产占比 </w:t>
      </w:r>
      <w:r>
        <w:rPr>
          <w:rFonts w:ascii="Calibri" w:hAnsi="Calibri" w:eastAsia="WenQuanYi Micro Hei"/>
          <w:b/>
          <w:i w:val="0"/>
          <w:sz w:val="22"/>
        </w:rPr>
        <w:t>53.5%</w:t>
      </w:r>
      <w:r>
        <w:rPr>
          <w:rFonts w:ascii="Calibri" w:hAnsi="Calibri" w:eastAsia="WenQuanYi Micro Hei"/>
          <w:b w:val="0"/>
          <w:i w:val="0"/>
          <w:sz w:val="22"/>
        </w:rPr>
        <w:t>，是行业内少有的“经营性租赁已经大于融资性租赁”的样本。国银金租飞机、船舶资产占比降至约43%，但收入贡献仍超65%，说明经营性资产的收益率和久期结构与普通回租完全不同。</w:t>
      </w:r>
    </w:p>
    <w:p>
      <w:pPr>
        <w:pStyle w:val="Heading3"/>
      </w:pPr>
      <w:r>
        <w:t>6.3 售后回租：合法工具，不再是增长引擎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回租的合理场景仍然存在：企业有真实设备、有短期流动性缺口、租赁物适格且估值审慎。监管没有消灭回租，而是取消了它作为规模引擎的地位。对金租报表的影响是非线性的：高质量城投和大型国企回租到期后若不能接续，规模和利息收入同步掉下来；弱资质资产还可能伴随降息、展期和迁徙。转型期的利润表，往往比规模更早承压。</w:t>
      </w:r>
    </w:p>
    <w:p>
      <w:pPr>
        <w:pStyle w:val="Heading3"/>
      </w:pPr>
      <w:r>
        <w:t>6.4 转型的微观机制：利差模式 vs 资产管理模式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</w:p>
        </w:tc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类信贷回租</w:t>
            </w:r>
          </w:p>
        </w:tc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本源租赁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风险缓释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主体信用、区域财政、保证担保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租赁物物权、保险、厂商回购、残值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收入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租息利差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利差 + 资产管理费 + 余值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核心能力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授信审批、关系维护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产业研究、估值、租后监测、二手流通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资本消耗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偏信用风险加权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经营性资产可能改变风险权重与集中度占用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退出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到期还款或展期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续租、转租、出售、ABS</w:t>
            </w:r>
          </w:p>
        </w:tc>
      </w:tr>
    </w:tbl>
    <w:p/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2025年的数据表明，行业正在从左列走向右列，但大多数机构的组织、考核和人才结构仍按左列建造。这是中小金租转型难的真正原因：不是找不到政策鼓励的行业名称，而是找不到能给设备定价、能在承租人违约后把设备卖掉的团队。</w:t>
      </w:r>
    </w:p>
    <w:p>
      <w:pPr>
        <w:spacing w:before="80" w:after="80" w:line="240" w:lineRule="auto"/>
      </w:pPr>
      <w:r>
        <w:rPr>
          <w:rFonts w:ascii="Calibri" w:hAnsi="Calibri" w:eastAsia="WenQuanYi Micro Hei"/>
          <w:b w:val="0"/>
          <w:i w:val="0"/>
          <w:color w:val="C45C26"/>
          <w:sz w:val="20"/>
        </w:rPr>
        <w:t>────────────────────────────</w:t>
      </w:r>
    </w:p>
    <w:p>
      <w:pPr>
        <w:pStyle w:val="Heading2"/>
      </w:pPr>
      <w:r>
        <w:t>七、资金端、资本与盈利</w:t>
      </w:r>
    </w:p>
    <w:p>
      <w:pPr>
        <w:pStyle w:val="Heading3"/>
      </w:pPr>
      <w:r>
        <w:t>7.1 负债结构：同业为体，市场分层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金租不能吸收存款，负债主要来自：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同业拆借与同业借款</w:t>
      </w:r>
      <w:r>
        <w:rPr>
          <w:rFonts w:ascii="Calibri" w:hAnsi="Calibri" w:eastAsia="WenQuanYi Micro Hei"/>
          <w:b w:val="0"/>
          <w:i w:val="0"/>
          <w:sz w:val="22"/>
        </w:rPr>
        <w:t>（受拆入≤资本净额100%约束）；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金融债与非资本类债券</w:t>
      </w:r>
      <w:r>
        <w:rPr>
          <w:rFonts w:ascii="Calibri" w:hAnsi="Calibri" w:eastAsia="WenQuanYi Micro Hei"/>
          <w:b w:val="0"/>
          <w:i w:val="0"/>
          <w:sz w:val="22"/>
        </w:rPr>
        <w:t>；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租赁资产证券化</w:t>
      </w:r>
      <w:r>
        <w:rPr>
          <w:rFonts w:ascii="Calibri" w:hAnsi="Calibri" w:eastAsia="WenQuanYi Micro Hei"/>
          <w:b w:val="0"/>
          <w:i w:val="0"/>
          <w:sz w:val="22"/>
        </w:rPr>
        <w:t>；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股东借款</w:t>
      </w:r>
      <w:r>
        <w:rPr>
          <w:rFonts w:ascii="Calibri" w:hAnsi="Calibri" w:eastAsia="WenQuanYi Micro Hei"/>
          <w:b w:val="0"/>
          <w:i w:val="0"/>
          <w:sz w:val="22"/>
        </w:rPr>
        <w:t>（向非银行股东借入三个月以上）；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租赁保证金</w:t>
      </w:r>
      <w:r>
        <w:rPr>
          <w:rFonts w:ascii="Calibri" w:hAnsi="Calibri" w:eastAsia="WenQuanYi Micro Hei"/>
          <w:b w:val="0"/>
          <w:i w:val="0"/>
          <w:sz w:val="22"/>
        </w:rPr>
        <w:t>（不得在融资总额中直接扣除）。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银行系头部因此拥有双重优势：母行及同业授信稳定，自身主体评级高、发债成本低。市场利率下行阶段，全行业融资成本都在下降，但金融债发行审批收紧后，资金进一步向高评级、主业合规的头部集中。中小金租更多停留在同业借款，负债久期短、成本对银行体系流动性更敏感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ABS 是盘活存量、腾挪资本的重要工具，尤其适合飞机、车辆、光伏等现金流可预测的资产包。2024年办法将资产证券化列为专项业务，意味着不是每家金租都能把ABS做成常规管道。</w:t>
      </w:r>
    </w:p>
    <w:p>
      <w:pPr>
        <w:pStyle w:val="Heading3"/>
      </w:pPr>
      <w:r>
        <w:t>7.2 资本：增资潮与10倍杠杆硬约束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金租业务天然资本密集——大飞机、船舶、能源电站单笔金额大，集中度指标很快触顶。2021年以来已有二十余家完成或启动增资。2024—2025年，千亿级机构中各有4家完成增资。标志性动作包括：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 xml:space="preserve">工银金租注册资本由180亿元增至 </w:t>
      </w:r>
      <w:r>
        <w:rPr>
          <w:rFonts w:ascii="Calibri" w:hAnsi="Calibri" w:eastAsia="WenQuanYi Micro Hei"/>
          <w:b/>
          <w:i w:val="0"/>
          <w:sz w:val="22"/>
        </w:rPr>
        <w:t>330亿元</w:t>
      </w:r>
      <w:r>
        <w:rPr>
          <w:rFonts w:ascii="Calibri" w:hAnsi="Calibri" w:eastAsia="WenQuanYi Micro Hei"/>
          <w:b w:val="0"/>
          <w:i w:val="0"/>
          <w:sz w:val="22"/>
        </w:rPr>
        <w:t>，成为注册资本最大的金租；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 xml:space="preserve">中信金租由40亿元增至 </w:t>
      </w:r>
      <w:r>
        <w:rPr>
          <w:rFonts w:ascii="Calibri" w:hAnsi="Calibri" w:eastAsia="WenQuanYi Micro Hei"/>
          <w:b/>
          <w:i w:val="0"/>
          <w:sz w:val="22"/>
        </w:rPr>
        <w:t>100亿元</w:t>
      </w:r>
      <w:r>
        <w:rPr>
          <w:rFonts w:ascii="Calibri" w:hAnsi="Calibri" w:eastAsia="WenQuanYi Micro Hei"/>
          <w:b w:val="0"/>
          <w:i w:val="0"/>
          <w:sz w:val="22"/>
        </w:rPr>
        <w:t>（股东认购+未分配利润转增）；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 xml:space="preserve">华夏金租以未分配利润转增30亿元至 </w:t>
      </w:r>
      <w:r>
        <w:rPr>
          <w:rFonts w:ascii="Calibri" w:hAnsi="Calibri" w:eastAsia="WenQuanYi Micro Hei"/>
          <w:b/>
          <w:i w:val="0"/>
          <w:sz w:val="22"/>
        </w:rPr>
        <w:t>130亿元</w:t>
      </w:r>
      <w:r>
        <w:rPr>
          <w:rFonts w:ascii="Calibri" w:hAnsi="Calibri" w:eastAsia="WenQuanYi Micro Hei"/>
          <w:b w:val="0"/>
          <w:i w:val="0"/>
          <w:sz w:val="22"/>
        </w:rPr>
        <w:t>；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 xml:space="preserve">江苏金租作为目前唯一A股上市金租，通过可转债转股将注册资本增至约 </w:t>
      </w:r>
      <w:r>
        <w:rPr>
          <w:rFonts w:ascii="Calibri" w:hAnsi="Calibri" w:eastAsia="WenQuanYi Micro Hei"/>
          <w:b/>
          <w:i w:val="0"/>
          <w:sz w:val="22"/>
        </w:rPr>
        <w:t>57.93亿元</w:t>
      </w:r>
      <w:r>
        <w:rPr>
          <w:rFonts w:ascii="Calibri" w:hAnsi="Calibri" w:eastAsia="WenQuanYi Micro Hei"/>
          <w:b w:val="0"/>
          <w:i w:val="0"/>
          <w:sz w:val="22"/>
        </w:rPr>
        <w:t>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 xml:space="preserve">2024年办法把财务杠杆倍数锁在 </w:t>
      </w:r>
      <w:r>
        <w:rPr>
          <w:rFonts w:ascii="Calibri" w:hAnsi="Calibri" w:eastAsia="WenQuanYi Micro Hei"/>
          <w:b/>
          <w:i w:val="0"/>
          <w:sz w:val="22"/>
        </w:rPr>
        <w:t>10倍</w:t>
      </w:r>
      <w:r>
        <w:rPr>
          <w:rFonts w:ascii="Calibri" w:hAnsi="Calibri" w:eastAsia="WenQuanYi Micro Hei"/>
          <w:b w:val="0"/>
          <w:i w:val="0"/>
          <w:sz w:val="22"/>
        </w:rPr>
        <w:t xml:space="preserve">，杠杆率不低于 </w:t>
      </w:r>
      <w:r>
        <w:rPr>
          <w:rFonts w:ascii="Calibri" w:hAnsi="Calibri" w:eastAsia="WenQuanYi Micro Hei"/>
          <w:b/>
          <w:i w:val="0"/>
          <w:sz w:val="22"/>
        </w:rPr>
        <w:t>6%</w:t>
      </w:r>
      <w:r>
        <w:rPr>
          <w:rFonts w:ascii="Calibri" w:hAnsi="Calibri" w:eastAsia="WenQuanYi Micro Hei"/>
          <w:b w:val="0"/>
          <w:i w:val="0"/>
          <w:sz w:val="22"/>
        </w:rPr>
        <w:t>。高杠杆主体必须靠分子（增资、内生留存）而不是分母（继续加杠杆）来支撑投放。评级机构此前已提示部分公司杠杆贴近上限、核心一级资本承压。对股东银行，这意味着金租不再是“出一点资本就能撬动很大表内”的轻巧子公司，而是需要持续注资的并表机构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未提足准备或资本充足率不达标不得现金分红，进一步把利润、拨备、分红和增资绑成同一道题：要扩张就要留存或要股东给钱；要分红就要先把风险和资本打够。</w:t>
      </w:r>
    </w:p>
    <w:p>
      <w:pPr>
        <w:pStyle w:val="Heading3"/>
      </w:pPr>
      <w:r>
        <w:t>7.3 盈利：总量尚可，个体分化已经拉开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 xml:space="preserve">公开报道称，2025年金租行业整体仍实现规模与盈利双升，增速大致在 </w:t>
      </w:r>
      <w:r>
        <w:rPr>
          <w:rFonts w:ascii="Calibri" w:hAnsi="Calibri" w:eastAsia="WenQuanYi Micro Hei"/>
          <w:b/>
          <w:i w:val="0"/>
          <w:sz w:val="22"/>
        </w:rPr>
        <w:t>8%—10%</w:t>
      </w:r>
      <w:r>
        <w:rPr>
          <w:rFonts w:ascii="Calibri" w:hAnsi="Calibri" w:eastAsia="WenQuanYi Micro Hei"/>
          <w:b w:val="0"/>
          <w:i w:val="0"/>
          <w:sz w:val="22"/>
        </w:rPr>
        <w:t xml:space="preserve"> 区间。但个体差距显著。历史数据（2023年前后）已显示：部分区域和股份行金租ROE可在15%以上，而部分大型金租因经营性资产折旧、拨备和低息差，ROE不足5%。国银金租2025年净利润率先超过50亿元，规模第一的交银金租利润规模反而居次，说明“谁更大”和“谁更赚钱”已经分开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转型对利润的短期冲击需要单独评估：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回租压降直接减少高收益存量的续作；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直租和经营性租赁前期费用高、利润确认节奏不同；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科创资产若计提更高拨备或余值减值，会吞噬息差；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负债成本下行是对冲项，但利差保护在银行净息差整体走低的环境下并不宽裕。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因此，2026年观察金租，不宜只看资产增速，而应同时看：</w:t>
      </w:r>
      <w:r>
        <w:rPr>
          <w:rFonts w:ascii="Calibri" w:hAnsi="Calibri" w:eastAsia="WenQuanYi Micro Hei"/>
          <w:b/>
          <w:i w:val="0"/>
          <w:sz w:val="22"/>
        </w:rPr>
        <w:t>直租/经营性租赁占比、净息差、拨备覆盖、ROE、资本充足率和股东注资频率。</w:t>
      </w:r>
    </w:p>
    <w:p>
      <w:pPr>
        <w:spacing w:before="80" w:after="80" w:line="240" w:lineRule="auto"/>
      </w:pPr>
      <w:r>
        <w:rPr>
          <w:rFonts w:ascii="Calibri" w:hAnsi="Calibri" w:eastAsia="WenQuanYi Micro Hei"/>
          <w:b w:val="0"/>
          <w:i w:val="0"/>
          <w:color w:val="C45C26"/>
          <w:sz w:val="20"/>
        </w:rPr>
        <w:t>────────────────────────────</w:t>
      </w:r>
    </w:p>
    <w:p>
      <w:pPr>
        <w:pStyle w:val="Heading2"/>
      </w:pPr>
      <w:r>
        <w:t>八、风险图谱与资产质量</w:t>
      </w:r>
    </w:p>
    <w:p>
      <w:pPr>
        <w:pStyle w:val="Heading3"/>
      </w:pPr>
      <w:r>
        <w:t>8.1 信用风险：不良率下降，结构比数字重要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 xml:space="preserve">2025年末行业不良融资租赁资产率 </w:t>
      </w:r>
      <w:r>
        <w:rPr>
          <w:rFonts w:ascii="Calibri" w:hAnsi="Calibri" w:eastAsia="WenQuanYi Micro Hei"/>
          <w:b/>
          <w:i w:val="0"/>
          <w:sz w:val="22"/>
        </w:rPr>
        <w:t>0.91%</w:t>
      </w:r>
      <w:r>
        <w:rPr>
          <w:rFonts w:ascii="Calibri" w:hAnsi="Calibri" w:eastAsia="WenQuanYi Micro Hei"/>
          <w:b w:val="0"/>
          <w:i w:val="0"/>
          <w:sz w:val="22"/>
        </w:rPr>
        <w:t>，同比下降，显著低于同期商业银行不良贷款率（2025年末商业银行约1.50%）。表面看，金租资产质量好于银行。需要三层拆解：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口径</w:t>
      </w:r>
      <w:r>
        <w:rPr>
          <w:rFonts w:ascii="Calibri" w:hAnsi="Calibri" w:eastAsia="WenQuanYi Micro Hei"/>
          <w:b w:val="0"/>
          <w:i w:val="0"/>
          <w:sz w:val="22"/>
        </w:rPr>
        <w:t>。金租不良是租赁应收款口径，且经营性租赁的风险更多体现在资产减值而非“不良率”。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迁徙滞后</w:t>
      </w:r>
      <w:r>
        <w:rPr>
          <w:rFonts w:ascii="Calibri" w:hAnsi="Calibri" w:eastAsia="WenQuanYi Micro Hei"/>
          <w:b w:val="0"/>
          <w:i w:val="0"/>
          <w:sz w:val="22"/>
        </w:rPr>
        <w:t>。回租压降后，弱资质存量的展期、重组不会立刻反映为不良。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结构</w:t>
      </w:r>
      <w:r>
        <w:rPr>
          <w:rFonts w:ascii="Calibri" w:hAnsi="Calibri" w:eastAsia="WenQuanYi Micro Hei"/>
          <w:b w:val="0"/>
          <w:i w:val="0"/>
          <w:sz w:val="22"/>
        </w:rPr>
        <w:t>。头部航空航运资产的租金表现，与区域设备回租、上市公司尾部、涉房出清完全不是同一类风险。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过往评级梳理曾指出：部分机构关注类占比较高、拨备覆盖偏紧；地产敞口整体不高，但城投相关资产在部分区域金租中占比较高。8号文之后，城投回租是存量自然结清，不是一次性出表。出清是否真实完成，需要看租赁物是否已处置、是否以新的适格设备置换、是否仅靠展期维持。</w:t>
      </w:r>
    </w:p>
    <w:p>
      <w:pPr>
        <w:pStyle w:val="Heading3"/>
      </w:pPr>
      <w:r>
        <w:t>8.2 租赁物风险：金租区别于银行的那一部分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本源回归之后，金租特有的风险会上升而不是下降：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估值风险</w:t>
      </w:r>
      <w:r>
        <w:rPr>
          <w:rFonts w:ascii="Calibri" w:hAnsi="Calibri" w:eastAsia="WenQuanYi Micro Hei"/>
          <w:b w:val="0"/>
          <w:i w:val="0"/>
          <w:sz w:val="22"/>
        </w:rPr>
        <w:t>：低值高买是8号文和2025年办法反复禁止的行为，说明它曾经普遍。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技术迭代</w:t>
      </w:r>
      <w:r>
        <w:rPr>
          <w:rFonts w:ascii="Calibri" w:hAnsi="Calibri" w:eastAsia="WenQuanYi Micro Hei"/>
          <w:b w:val="0"/>
          <w:i w:val="0"/>
          <w:sz w:val="22"/>
        </w:rPr>
        <w:t>：算力设备、储能电池、部分医疗设备更新快，租期若长于技术寿命，余值会塌陷。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二级市场缺失</w:t>
      </w:r>
      <w:r>
        <w:rPr>
          <w:rFonts w:ascii="Calibri" w:hAnsi="Calibri" w:eastAsia="WenQuanYi Micro Hei"/>
          <w:b w:val="0"/>
          <w:i w:val="0"/>
          <w:sz w:val="22"/>
        </w:rPr>
        <w:t>：新兴资产缺少价格曲线和处置渠道，取回权在法律上存在、在市场上不一定变现。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未担保余值</w:t>
      </w:r>
      <w:r>
        <w:rPr>
          <w:rFonts w:ascii="Calibri" w:hAnsi="Calibri" w:eastAsia="WenQuanYi Micro Hei"/>
          <w:b w:val="0"/>
          <w:i w:val="0"/>
          <w:sz w:val="22"/>
        </w:rPr>
        <w:t>：经营性租赁做得越深，余值风险管理就越接近航空租赁公司的核心能力。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权属与登记</w:t>
      </w:r>
      <w:r>
        <w:rPr>
          <w:rFonts w:ascii="Calibri" w:hAnsi="Calibri" w:eastAsia="WenQuanYi Micro Hei"/>
          <w:b w:val="0"/>
          <w:i w:val="0"/>
          <w:sz w:val="22"/>
        </w:rPr>
        <w:t>：应当在指定登记机构办理融资租赁登记；未经登记不得对抗善意第三人的财产类别必须依法登记。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2025年办法要求以租赁物运行状态、价值波动和对债权的覆盖水平做持续监测。这在飞机、船舶上相对成熟，在分散的中小设备上成本很高，需要物联网、厂商数据和保险安排补位。</w:t>
      </w:r>
    </w:p>
    <w:p>
      <w:pPr>
        <w:pStyle w:val="Heading3"/>
      </w:pPr>
      <w:r>
        <w:t>8.3 集中度、流动性、操作与声誉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大单业务（飞机、船舶、能源项目）天然撞击30%/50%集中度上限，这是头部必须持续增资的原因之一。流动性方面，金租负债短期化、资产长期化的错配始终存在，LCR和流动性比例被写入规章后，不能再把同业拆借当成无限的活钱。操作风险集中在评估与购买未分离、合作机构飞单、异地团队管控和自然人承租人的适当性管理。8号文和2024年办法对合作机构名单制、禁止以金租名义销售、禁止无资质增信，都是针对过去通道业务的操作漏洞。</w:t>
      </w:r>
    </w:p>
    <w:p>
      <w:pPr>
        <w:pStyle w:val="Heading3"/>
      </w:pPr>
      <w:r>
        <w:t>8.4 科创赛道的新风险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 xml:space="preserve">算力租赁资产余额2025年末 </w:t>
      </w:r>
      <w:r>
        <w:rPr>
          <w:rFonts w:ascii="Calibri" w:hAnsi="Calibri" w:eastAsia="WenQuanYi Micro Hei"/>
          <w:b/>
          <w:i w:val="0"/>
          <w:sz w:val="22"/>
        </w:rPr>
        <w:t>972.62亿元</w:t>
      </w:r>
      <w:r>
        <w:rPr>
          <w:rFonts w:ascii="Calibri" w:hAnsi="Calibri" w:eastAsia="WenQuanYi Micro Hei"/>
          <w:b w:val="0"/>
          <w:i w:val="0"/>
          <w:sz w:val="22"/>
        </w:rPr>
        <w:t xml:space="preserve">，同比 </w:t>
      </w:r>
      <w:r>
        <w:rPr>
          <w:rFonts w:ascii="Calibri" w:hAnsi="Calibri" w:eastAsia="WenQuanYi Micro Hei"/>
          <w:b/>
          <w:i w:val="0"/>
          <w:sz w:val="22"/>
        </w:rPr>
        <w:t>+109.89%</w:t>
      </w:r>
      <w:r>
        <w:rPr>
          <w:rFonts w:ascii="Calibri" w:hAnsi="Calibri" w:eastAsia="WenQuanYi Micro Hei"/>
          <w:b w:val="0"/>
          <w:i w:val="0"/>
          <w:sz w:val="22"/>
        </w:rPr>
        <w:t xml:space="preserve">；新型储能 </w:t>
      </w:r>
      <w:r>
        <w:rPr>
          <w:rFonts w:ascii="Calibri" w:hAnsi="Calibri" w:eastAsia="WenQuanYi Micro Hei"/>
          <w:b/>
          <w:i w:val="0"/>
          <w:sz w:val="22"/>
        </w:rPr>
        <w:t>567.32亿元</w:t>
      </w:r>
      <w:r>
        <w:rPr>
          <w:rFonts w:ascii="Calibri" w:hAnsi="Calibri" w:eastAsia="WenQuanYi Micro Hei"/>
          <w:b w:val="0"/>
          <w:i w:val="0"/>
          <w:sz w:val="22"/>
        </w:rPr>
        <w:t xml:space="preserve">，同比 </w:t>
      </w:r>
      <w:r>
        <w:rPr>
          <w:rFonts w:ascii="Calibri" w:hAnsi="Calibri" w:eastAsia="WenQuanYi Micro Hei"/>
          <w:b/>
          <w:i w:val="0"/>
          <w:sz w:val="22"/>
        </w:rPr>
        <w:t>+154.66%</w:t>
      </w:r>
      <w:r>
        <w:rPr>
          <w:rFonts w:ascii="Calibri" w:hAnsi="Calibri" w:eastAsia="WenQuanYi Micro Hei"/>
          <w:b w:val="0"/>
          <w:i w:val="0"/>
          <w:sz w:val="22"/>
        </w:rPr>
        <w:t>。增速本身就是风险提示。公开专家讨论已经点出三重风险：技术路线判断失误导致资产加速贬值；残值评估体系不成熟；商业航天、低空经济仍处政策与资本催化阶段，商业模式未稳。稳健的做法是：缩短租期、提高首付或保证金、绑定已验证场景、对厂商回购和保险提出硬条件，而不是按城投回租的久期去“支持新质生产力”。</w:t>
      </w:r>
    </w:p>
    <w:p>
      <w:pPr>
        <w:spacing w:before="80" w:after="80" w:line="240" w:lineRule="auto"/>
      </w:pPr>
      <w:r>
        <w:rPr>
          <w:rFonts w:ascii="Calibri" w:hAnsi="Calibri" w:eastAsia="WenQuanYi Micro Hei"/>
          <w:b w:val="0"/>
          <w:i w:val="0"/>
          <w:color w:val="C45C26"/>
          <w:sz w:val="20"/>
        </w:rPr>
        <w:t>────────────────────────────</w:t>
      </w:r>
    </w:p>
    <w:p>
      <w:pPr>
        <w:pStyle w:val="Heading2"/>
      </w:pPr>
      <w:r>
        <w:t>九、重点赛道深描</w:t>
      </w:r>
    </w:p>
    <w:p>
      <w:pPr>
        <w:pStyle w:val="Heading3"/>
      </w:pPr>
      <w:r>
        <w:t>9.1 航空：经营性租赁的基本盘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飞机租赁是中国金租最接近国际同业的业务。2023年前后，金租机队已占国内租赁机队约八成。交银金租2025年末机队320架，与船舶一起构成其资产的主体。航空租赁的典型结构是：境外专业子公司 + 项目公司持有资产，经营性租赁给航司，租约结束后再营销或拆解。能力门槛包括：飞机选型、租约管理、发动机循环、跨境登记与税务、残值曲线。监管对飞机、船舶项目公司设在境外的，原则上要求由专业子公司开展，进一步抬高了专业门槛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周期性风险来自航司信用、利率和汇率、飞机市值以及地缘对航权与取回的影响。它不是“没有风险”，而是风险类型不同于城投回租：更全球、更资产、更依赖专业团队。</w:t>
      </w:r>
    </w:p>
    <w:p>
      <w:pPr>
        <w:pStyle w:val="Heading3"/>
      </w:pPr>
      <w:r>
        <w:t>9.2 航运：与造船周期绑定的重资产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金租船舶在国内租赁船队中同样占主导。交银金租2025年末船队434艘。航运租赁分享造船业景气、运价周期和绿色动力改造（LNG、甲醇、氨燃料等）带来的更新需求。风险在于船价波动、租家违约时的再租难度，以及环保规则导致的技术过时。对金租，航运是少数能同时做融资租赁、经营性租赁和厂商（船厂）协同的领域。</w:t>
      </w:r>
    </w:p>
    <w:p>
      <w:pPr>
        <w:pStyle w:val="Heading3"/>
      </w:pPr>
      <w:r>
        <w:t>9.3 大型装备与制造业设备更新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大规模设备更新是直租最好的宏观借口，也是最难做成的微观生意。承租人是制造企业，租赁物是机床、产线、工程机械、电力设备、轨道交通装备等。直租要嵌入采购合同、验收、安装和厂商服务，审批链条长于回租。谁能与厂商建立名单制合作、谁能看懂产能周期，谁就能在8号文的50%目标下拿到项目。国银金租2025年租赁投放超过950亿元，其中能源租赁约40%、高端装备约18.5%，是这一方向的代表性结构。</w:t>
      </w:r>
    </w:p>
    <w:p>
      <w:pPr>
        <w:pStyle w:val="Heading3"/>
      </w:pPr>
      <w:r>
        <w:t>9.4 绿色与新能源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绿色租赁已成为部分机构的基本盘：华夏金租绿色资产近986亿元、占比53.4%；浦银金租470.8亿元、占比31%；中信金租超过300亿元。覆盖户用光伏、海上风电、新能源船舶、新能源汽车、储能、基础设施绿色升级等。政策上与“双碳”、设备更新、绿色金融评价一致；风险上要区分：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电站类</w:t>
      </w:r>
      <w:r>
        <w:rPr>
          <w:rFonts w:ascii="Calibri" w:hAnsi="Calibri" w:eastAsia="WenQuanYi Micro Hei"/>
          <w:b w:val="0"/>
          <w:i w:val="0"/>
          <w:sz w:val="22"/>
        </w:rPr>
        <w:t>：电价、消纳、担保结构和项目公司破产隔离；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户用/分散式</w:t>
      </w:r>
      <w:r>
        <w:rPr>
          <w:rFonts w:ascii="Calibri" w:hAnsi="Calibri" w:eastAsia="WenQuanYi Micro Hei"/>
          <w:b w:val="0"/>
          <w:i w:val="0"/>
          <w:sz w:val="22"/>
        </w:rPr>
        <w:t>：小额、海量、依赖合作机构，操作风险和欺诈风险高于主体信用风险；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新能源车船</w:t>
      </w:r>
      <w:r>
        <w:rPr>
          <w:rFonts w:ascii="Calibri" w:hAnsi="Calibri" w:eastAsia="WenQuanYi Micro Hei"/>
          <w:b w:val="0"/>
          <w:i w:val="0"/>
          <w:sz w:val="22"/>
        </w:rPr>
        <w:t>：残值与技术进步。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绿色不是风险豁免。把“绿”写成行业标签、却不做电费和设备核实，只是另一种通道。</w:t>
      </w:r>
    </w:p>
    <w:p>
      <w:pPr>
        <w:pStyle w:val="Heading3"/>
      </w:pPr>
      <w:r>
        <w:t>9.5 算力、储能与其他科创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这是2025年增速最高的增量。逻辑成立：算力设备和储能系统单价高、技术迭代快、企业有“用而不愿一次买断”的需求，直租和经营性租赁在产品上匹配。隐患也成立：GPU和电池的价格曲线陡峭，出租人若按五年融资租赁去赌残值，可能重演某些医疗设备租赁的贬值故事。商业航天、低空经济目前更多是场景开拓，规模尚小，适合作为战略观察仓，不适合作为中小金租的规模替代项。</w:t>
      </w:r>
    </w:p>
    <w:p>
      <w:pPr>
        <w:pStyle w:val="Heading3"/>
      </w:pPr>
      <w:r>
        <w:t>9.6 普惠、厂商租赁与自然人承租人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厂商租赁被2024年办法正式定义：与厂商、经销商及专业服务商合作，以其生产或销售的产品与承租人开展融资租赁。这是国际租赁业的主流获客方式，也是金租服务中小企业设备投资的正道。约束是合作机构名单制、禁止合作方以金租名义销售、独立审批、风险自担。对自然人承租人，办法要求披露年化综合成本、可回溯、禁止强制捆绑和不当催收。普惠租赁可以做，但不能做成没有租赁物管理的消费贷。</w:t>
      </w:r>
    </w:p>
    <w:p>
      <w:pPr>
        <w:spacing w:before="80" w:after="80" w:line="240" w:lineRule="auto"/>
      </w:pPr>
      <w:r>
        <w:rPr>
          <w:rFonts w:ascii="Calibri" w:hAnsi="Calibri" w:eastAsia="WenQuanYi Micro Hei"/>
          <w:b w:val="0"/>
          <w:i w:val="0"/>
          <w:color w:val="C45C26"/>
          <w:sz w:val="20"/>
        </w:rPr>
        <w:t>────────────────────────────</w:t>
      </w:r>
    </w:p>
    <w:p>
      <w:pPr>
        <w:pStyle w:val="Heading2"/>
      </w:pPr>
      <w:r>
        <w:t>十、国际源流、双轨制与比较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国际上几乎没有与中国“金融租赁公司”一一对应的牌照名称。主流市场里，做同一类生意的机构分别叫独立租赁商、银行系租赁子公司、厂商财务公司（captive finance）和航空/航运专业出租人。要理解中国金租为什么必须“回归融物”，先要看这门生意在海外是怎么长出来的、后来又长成了谁。</w:t>
      </w:r>
    </w:p>
    <w:p>
      <w:pPr>
        <w:pStyle w:val="Heading3"/>
      </w:pPr>
      <w:r>
        <w:t>10.1 起源：从租用到独立第三方租赁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租赁作为“用而不必一次买断”的安排，远早于现代金融。两河流域的泥板契约和《汉谟拉比法典》里已有农具、土地和船只的租用条款；中世纪欧洲的商船租约、中国传统社会的耕牛和房屋出典，都属于同一谱系。这些交易解决的是占有与使用，还不是系统化的中长期设备融资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更接近现代形态的一步，发生在19世纪的美国铁路业。机车、车厢造价高、经济寿命长，铁路公司用设备信托凭证（equipment trust certificate）把车辆的所有权放在受托人名下，用租金和运输收入偿付投资人。物权与债权被第一次稳定地绑在同一件可移动的生产设备上。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真正的行业起点，是二战后美国把这种想法做成一家专门公司。1952—1954年，亨利·舍恩菲尔德（Henry B. Schoenfeld）在旧金山创办美国租赁公司（United States Leasing Corporation）。设备租赁与融资协会（ELFA）将其视为第一家以通用设备租赁为主业的独立机构：出租人按承租人指定购买设备，承租人支付租金并承担维修、保险和税负，租期覆盖资产的大部分经济寿命。随后出现Boothe Leasing、Chandler Leasing，以及通用电气信用公司（GECC）、商业信用公司（Commercial Credit）等金融系和厂商系参与者。厂商租赁几乎同时兴起——IBM、施乐发现，把大型主机和复印机租出去，比一次性卖断更能锁定客户、平滑自身的销售周期。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这一阶段留下三条至今仍在起作用的基因：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所有权服务于使用权。</w:t>
      </w:r>
      <w:r>
        <w:rPr>
          <w:rFonts w:ascii="Calibri" w:hAnsi="Calibri" w:eastAsia="WenQuanYi Micro Hei"/>
          <w:b w:val="0"/>
          <w:i w:val="0"/>
          <w:sz w:val="22"/>
        </w:rPr>
        <w:t xml:space="preserve"> 企业要的是产能，不是资产负债表上的固定资产。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独立第三方可以比厂商或银行更专业。</w:t>
      </w:r>
      <w:r>
        <w:rPr>
          <w:rFonts w:ascii="Calibri" w:hAnsi="Calibri" w:eastAsia="WenQuanYi Micro Hei"/>
          <w:b w:val="0"/>
          <w:i w:val="0"/>
          <w:sz w:val="22"/>
        </w:rPr>
        <w:t xml:space="preserve"> 租赁公司的产品是交易结构、余值判断和再投放，而不只是资金。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税、会计和监管会重塑行业，而不是相反。</w:t>
      </w:r>
      <w:r>
        <w:rPr>
          <w:rFonts w:ascii="Calibri" w:hAnsi="Calibri" w:eastAsia="WenQuanYi Micro Hei"/>
          <w:b w:val="0"/>
          <w:i w:val="0"/>
          <w:sz w:val="22"/>
        </w:rPr>
        <w:t xml:space="preserve"> 美国后来的杠杆租赁、真实租赁（true lease）认定、1986年税制改革，以及FAS 13、IAS 17到IFRS 16的会计变迁，每一次都改写了谁来做租赁、做成什么样子。</w:t>
      </w:r>
    </w:p>
    <w:p>
      <w:pPr>
        <w:pStyle w:val="Heading3"/>
      </w:pPr>
      <w:r>
        <w:t>10.2 全球扩散：日本、欧洲与航空租赁中心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1960年代，美国模式向东亚和欧洲输出。1964年，日绵（后为双日）与美国租赁公司在大阪合资成立东方租赁（Orient Leasing），三和银行提供后盾，这就是今天欧力士（ORIX）的前身。租赁进入日本的语境，是高速增长期制造业需要快速更新设备，而又不必把全部资本压在机台上。欧洲则由银行子公司和厂商财务公司两条线推进：德国、法国、英国先后形成以设备与汽车为主的租赁市场，1972年前后欧洲租赁协会（Leaseurope）把各国行业协会拢到同一张网上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1970年代出现了第二个、也是至今最全球化的分支——飞机经营性租赁。1973年，史蒂文·乌德瓦尔-哈齐（Steven Udvar-Házy）等人在洛杉矶创立国际租赁金融公司（ILFC）；1975年，托尼·瑞安（Tony Ryan）在爱尔兰香农自贸区创立GPA（Guinness Peat Aviation）。航空公司由此可以把机队从“买断+贷款”改成“按航季和运力租用”，把残值、再营销和部分技术迭代风险交给出租人。爱尔兰随后凭税收协定、普通法传统和航空专业人才，成为全球飞机租赁的登记与管理中心。GPA在1990年代重组后，人员与资产流向GECAS、AerCap等后继者；ILFC先被AIG收购，2014年再被AerCap买下。2021年AerCap收购通用电气旗下GECAS，把两条历史源流收进同一家公司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1980—2000年代，全球租赁形成比较稳定的三分结构：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时间</w:t>
            </w:r>
          </w:p>
        </w:tc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特征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美国创生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1950—1960年代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独立第三方设备租赁 + 厂商租赁；税和会计开始定义“什么算租赁”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日欧产业化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1960—1980年代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银行系和综合商社进入；租赁成为制造业设备更新的常规工具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航空/航运专业化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1970年代至今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经营性租赁、SPV、跨境登记和残值市场成为独立产业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规模化与并表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1990—2010年代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银行、PE和上市平台提高集中度；中国金租在2007年后加入全球飞机、船舶市场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准则与监管再定价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2016年IFRS 16之后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承租人表外优势减弱，出租人更靠资产运营能力，而不是“帮忙出表”</w:t>
            </w:r>
          </w:p>
        </w:tc>
      </w:tr>
    </w:tbl>
    <w:p/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 xml:space="preserve">White Clarke / Solifi《全球租赁报告》长期显示：北美、欧洲、亚洲合计占全球新增租赁业务的九成以上；美国通常是第一大单一市场，中国自2010年代中期起稳居第二。2024年全球新增租赁业务约 </w:t>
      </w:r>
      <w:r>
        <w:rPr>
          <w:rFonts w:ascii="Calibri" w:hAnsi="Calibri" w:eastAsia="WenQuanYi Micro Hei"/>
          <w:b/>
          <w:i w:val="0"/>
          <w:sz w:val="22"/>
        </w:rPr>
        <w:t>1.54万亿美元</w:t>
      </w:r>
      <w:r>
        <w:rPr>
          <w:rFonts w:ascii="Calibri" w:hAnsi="Calibri" w:eastAsia="WenQuanYi Micro Hei"/>
          <w:b w:val="0"/>
          <w:i w:val="0"/>
          <w:sz w:val="22"/>
        </w:rPr>
        <w:t xml:space="preserve"> 量级，美国新增约 </w:t>
      </w:r>
      <w:r>
        <w:rPr>
          <w:rFonts w:ascii="Calibri" w:hAnsi="Calibri" w:eastAsia="WenQuanYi Micro Hei"/>
          <w:b/>
          <w:i w:val="0"/>
          <w:sz w:val="22"/>
        </w:rPr>
        <w:t>5640亿美元</w:t>
      </w:r>
      <w:r>
        <w:rPr>
          <w:rFonts w:ascii="Calibri" w:hAnsi="Calibri" w:eastAsia="WenQuanYi Micro Hei"/>
          <w:b w:val="0"/>
          <w:i w:val="0"/>
          <w:sz w:val="22"/>
        </w:rPr>
        <w:t>。需要立刻加上口径提醒：这套国际统计含设备租赁、汽车租赁和部分厂商融资，</w:t>
      </w:r>
      <w:r>
        <w:rPr>
          <w:rFonts w:ascii="Calibri" w:hAnsi="Calibri" w:eastAsia="WenQuanYi Micro Hei"/>
          <w:b/>
          <w:i w:val="0"/>
          <w:sz w:val="22"/>
        </w:rPr>
        <w:t>大于且不等于</w:t>
      </w:r>
      <w:r>
        <w:rPr>
          <w:rFonts w:ascii="Calibri" w:hAnsi="Calibri" w:eastAsia="WenQuanYi Micro Hei"/>
          <w:b w:val="0"/>
          <w:i w:val="0"/>
          <w:sz w:val="22"/>
        </w:rPr>
        <w:t>中国持牌金租的5.23万亿元总资产，不能拿来直接比“中国占全球多少”。</w:t>
      </w:r>
    </w:p>
    <w:p>
      <w:pPr>
        <w:pStyle w:val="Heading3"/>
      </w:pPr>
      <w:r>
        <w:t>10.3 国际上的代表性机构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按商业模式而不是按中文“金租”标签，全球头部可以分成四类。机队、资产数字随“自有 / 托管 / 订单”口径而变，下表取2025—2026年公开披露的量级，只用来标定位置。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/>
          <w:i w:val="0"/>
          <w:sz w:val="22"/>
        </w:rPr>
        <w:t>（1）航空专业出租人：最像“以融物为本”的国际样本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机构</w:t>
            </w:r>
          </w:p>
        </w:tc>
        <w:tc>
          <w:tcPr>
            <w:tcW w:type="dxa" w:w="2379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总部 / 上市</w:t>
            </w:r>
          </w:p>
        </w:tc>
        <w:tc>
          <w:tcPr>
            <w:tcW w:type="dxa" w:w="2379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源流与位置</w:t>
            </w:r>
          </w:p>
        </w:tc>
        <w:tc>
          <w:tcPr>
            <w:tcW w:type="dxa" w:w="2379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规模量级（公开口径）</w:t>
            </w:r>
          </w:p>
        </w:tc>
      </w:tr>
      <w:tr>
        <w:tc>
          <w:tcPr>
            <w:tcW w:type="dxa" w:w="237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sz w:val="18"/>
              </w:rPr>
              <w:t>AerCap</w:t>
            </w:r>
          </w:p>
        </w:tc>
        <w:tc>
          <w:tcPr>
            <w:tcW w:type="dxa" w:w="237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都柏林，NYSE: AER</w:t>
            </w:r>
          </w:p>
        </w:tc>
        <w:tc>
          <w:tcPr>
            <w:tcW w:type="dxa" w:w="237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GPA谱系 + 2014年购ILFC + 2021年购GECAS，全球第一大飞机出租人</w:t>
            </w:r>
          </w:p>
        </w:tc>
        <w:tc>
          <w:tcPr>
            <w:tcW w:type="dxa" w:w="237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自有及管理机队约1600—1800架；含发动机、直升机后资产组合更大；总资产约700亿美元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sz w:val="18"/>
              </w:rPr>
              <w:t>SMBC Aviation Capital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都柏林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三井住友金融集团与住友商事控股，2012年接手、2022年购Goshawk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自有、托管及承诺机队合计可到约1000架量级，通常被列为全球第二</w:t>
            </w:r>
          </w:p>
        </w:tc>
      </w:tr>
      <w:tr>
        <w:tc>
          <w:tcPr>
            <w:tcW w:type="dxa" w:w="237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sz w:val="18"/>
              </w:rPr>
              <w:t>Avolon</w:t>
            </w:r>
          </w:p>
        </w:tc>
        <w:tc>
          <w:tcPr>
            <w:tcW w:type="dxa" w:w="237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都柏林</w:t>
            </w:r>
          </w:p>
        </w:tc>
        <w:tc>
          <w:tcPr>
            <w:tcW w:type="dxa" w:w="237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2010年设立，港交所上市；机队年龄偏低</w:t>
            </w:r>
          </w:p>
        </w:tc>
        <w:tc>
          <w:tcPr>
            <w:tcW w:type="dxa" w:w="237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自有及管理约600架量级，若含承诺和收购则更高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sz w:val="18"/>
              </w:rPr>
              <w:t>Air Lease Corporation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洛杉矶，NYSE: ALC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ILFC创始人乌德瓦尔-哈齐再创业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自有及管理约500—550架</w:t>
            </w:r>
          </w:p>
        </w:tc>
      </w:tr>
      <w:tr>
        <w:tc>
          <w:tcPr>
            <w:tcW w:type="dxa" w:w="237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sz w:val="18"/>
              </w:rPr>
              <w:t>BOC Aviation</w:t>
            </w:r>
          </w:p>
        </w:tc>
        <w:tc>
          <w:tcPr>
            <w:tcW w:type="dxa" w:w="237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新加坡，港交所上市</w:t>
            </w:r>
          </w:p>
        </w:tc>
        <w:tc>
          <w:tcPr>
            <w:tcW w:type="dxa" w:w="237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中国银行控股，中资里最接近国际航空租赁平台的一家</w:t>
            </w:r>
          </w:p>
        </w:tc>
        <w:tc>
          <w:tcPr>
            <w:tcW w:type="dxa" w:w="237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自有及管理约440架，另有大规模新机订单</w:t>
            </w:r>
          </w:p>
        </w:tc>
      </w:tr>
    </w:tbl>
    <w:p/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这一组机构的共同点不是“有金融牌照”，而是：</w:t>
      </w:r>
      <w:r>
        <w:rPr>
          <w:rFonts w:ascii="Calibri" w:hAnsi="Calibri" w:eastAsia="WenQuanYi Micro Hei"/>
          <w:b/>
          <w:i w:val="0"/>
          <w:sz w:val="22"/>
        </w:rPr>
        <w:t>会买飞机、会签租约、会在承租人违约后把飞机再租出去。</w:t>
      </w:r>
      <w:r>
        <w:rPr>
          <w:rFonts w:ascii="Calibri" w:hAnsi="Calibri" w:eastAsia="WenQuanYi Micro Hei"/>
          <w:b w:val="0"/>
          <w:i w:val="0"/>
          <w:sz w:val="22"/>
        </w:rPr>
        <w:t xml:space="preserve"> 中国金租里的交银、国银、工银航空板块，组织形态更接近它们，而不是接近做城投回租的区域金租。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/>
          <w:i w:val="0"/>
          <w:sz w:val="22"/>
        </w:rPr>
        <w:t>（2）综合租赁与银行系平台：日本和欧洲的“金租近亲”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机构</w:t>
            </w:r>
          </w:p>
        </w:tc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所属谱系</w:t>
            </w:r>
          </w:p>
        </w:tc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为什么重要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sz w:val="18"/>
              </w:rPr>
              <w:t>欧力士（ORIX）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1964年东方租赁，1989年更名；东京/纽约两地上市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从设备租赁长成涵盖租赁、贷款、保险、不动产和海外投资的综合金融集团，是“租赁公司可以长多大”的上限样本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sz w:val="18"/>
              </w:rPr>
              <w:t>三菱HC资本（Mitsubishi HC Capital）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2021年三菱UFJ租赁与日立资本合并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同时有大银行股东和厂商基因，覆盖国内设备、汽车、海外基础设施和航空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sz w:val="18"/>
              </w:rPr>
              <w:t>东京世纪（Tokyo Century）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伊藤忠、中信、金融机构共同背景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日本租赁第三极，深度绑定厂商与汽车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sz w:val="18"/>
              </w:rPr>
              <w:t>DLL（De Lage Landen）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荷兰合作银行全资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全球最典型的厂商租赁平台之一，深耕农业、工程机械、医疗、食品设备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sz w:val="18"/>
              </w:rPr>
              <w:t>BNP Paribas Leasing Solutions / 法兴设备金融（SGEF）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法国巴黎银行、法国兴业银行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欧洲银行系设备租赁的代表，客户以中小企业和厂商渠道为主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sz w:val="18"/>
              </w:rPr>
              <w:t>西门子金融（Siemens Financial Services）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产业集团财务公司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厂商租赁的德国样本：租赁是销售的延伸，不是独立的类信贷</w:t>
            </w:r>
          </w:p>
        </w:tc>
      </w:tr>
    </w:tbl>
    <w:p/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对中国读者，这类机构比AerCap更有对照价值。它们证明：银行或产业股东可以成为租赁公司的优势，前提是租赁公司必须发展出自己的资产能力和厂商渠道，而不是只做股东的出表管道。日本综合租赁尤其接近中国金租的组织想象——银行系、服务制造业、可以做大——但日本的客户锁定来自主银行关系和长期设备循环，不是来自城投回租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/>
          <w:i w:val="0"/>
          <w:sz w:val="22"/>
        </w:rPr>
        <w:t>（3）厂商财务公司与汽车租赁：租赁渗透率真正高的地方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卡特彼勒金融、约翰迪尔金融、沃尔沃金融服务等，把融资租赁嵌进设备经销体系，是欧美租赁渗透率（租赁占设备投资的比重）长期高于中国的微观原因。汽车方面，Ayvens（原ALD与LeasePlan合并，法兴集团）和Element Fleet代表车辆全生命周期运营，收入来自租金、残值、维护和保险，而不是利差。中国金租若只在对公大项目上找直租，会错过国际上体量最大的租赁场景。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/>
          <w:i w:val="0"/>
          <w:sz w:val="22"/>
        </w:rPr>
        <w:t>（4）中国金租的国际面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工银金租、交银金租、国银金租已经是全球飞机、船舶租赁的重要参与者，机队和船队规模进入世界前列；中银航空租赁则是标准的国际化专业平台。它们在海外被同行视为lessor，在国内被监管视为金融租赁公司。双重身份带来的好处是低成本人民币和美元负债，约束是并表资本、集中度和国内回租转型必须同时完成。</w:t>
      </w:r>
    </w:p>
    <w:p>
      <w:pPr>
        <w:pStyle w:val="Heading3"/>
      </w:pPr>
      <w:r>
        <w:t>10.4 双轨制为什么还在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中国租赁市场长期并行两套牌照。金租少而强，商租多而弱。2018年机构改革后，商租从商务部划转至地方金融管理部门，监管趋势与金租趋同：强调租赁物、限制通道、支持设备更新。中诚信等机构预计，商租监管将继续向金租靠拢，但短期内不会获得同业拆借和金融债的同等待遇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功能分工可以是健康的：金租做大额、跨境、重资产和资本密集型项目；商租做区域、厂商、中小设备。风险在于：商租在地方债务和通道业务出清后，同样面临转型，部分主体可能把风险资产转向金租无法做的灰色地带，或反过来成为金租的“出表通道”——这正是联合租赁、资产转让规则要堵住的口子。2024年办法要求租赁资产转让必须真实、完整、洁净，不得回购、差额补足或抽屉协议。</w:t>
      </w:r>
    </w:p>
    <w:p>
      <w:pPr>
        <w:pStyle w:val="Heading3"/>
      </w:pPr>
      <w:r>
        <w:t>10.5 对中国金租的启示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对照</w:t>
            </w:r>
          </w:p>
        </w:tc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可借鉴</w:t>
            </w:r>
          </w:p>
        </w:tc>
        <w:tc>
          <w:tcPr>
            <w:tcW w:type="dxa" w:w="3173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不可照搬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美国设备租赁与经营性租赁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残值市场、信用评级、厂商租赁渗透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资本市场深度和税法驱动的结构，中国不完全具备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欧洲航空租赁平台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SPV、跨境登记、租约标准化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中国金租仍是银行子公司，资本和风险偏好受母行约束</w:t>
            </w:r>
          </w:p>
        </w:tc>
      </w:tr>
      <w:tr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日本租赁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银行系租赁服务制造业设备更新</w:t>
            </w:r>
          </w:p>
        </w:tc>
        <w:tc>
          <w:tcPr>
            <w:tcW w:type="dxa" w:w="3173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日本主银行制下的客户锁定，与中国金租的全国展业不同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爱尔兰等航空租赁中心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税务与取回制度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中国正在发展自身的特殊目的载体和专业子公司，而不是简单外迁</w:t>
            </w:r>
          </w:p>
        </w:tc>
      </w:tr>
    </w:tbl>
    <w:p/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把国际源流对照过来，中国金租的位置可以收成一句：</w:t>
      </w:r>
      <w:r>
        <w:rPr>
          <w:rFonts w:ascii="Calibri" w:hAnsi="Calibri" w:eastAsia="WenQuanYi Micro Hei"/>
          <w:b/>
          <w:i w:val="0"/>
          <w:sz w:val="22"/>
        </w:rPr>
        <w:t>牌照是中国的，生意逻辑是美国1950年代发明、日本和爱尔兰后来做成熟的。</w:t>
      </w:r>
      <w:r>
        <w:rPr>
          <w:rFonts w:ascii="Calibri" w:hAnsi="Calibri" w:eastAsia="WenQuanYi Micro Hei"/>
          <w:b w:val="0"/>
          <w:i w:val="0"/>
          <w:sz w:val="22"/>
        </w:rPr>
        <w:t xml:space="preserve"> 它既不会变成美国式的独立租赁商，也不会退回普通对公贷款。成功的稳态，更接近“银行子公司 + 专业资产管理机构”：负债和客户协同来自银行，定价、残值和再营销来自租赁。这正是AerCap、ORIX和DLL分别证明过的三条路径——专业化资产平台、综合金融集团、厂商渠道——而不是再做一轮类信贷。</w:t>
      </w:r>
    </w:p>
    <w:p>
      <w:pPr>
        <w:spacing w:before="80" w:after="80" w:line="240" w:lineRule="auto"/>
      </w:pPr>
      <w:r>
        <w:rPr>
          <w:rFonts w:ascii="Calibri" w:hAnsi="Calibri" w:eastAsia="WenQuanYi Micro Hei"/>
          <w:b w:val="0"/>
          <w:i w:val="0"/>
          <w:color w:val="C45C26"/>
          <w:sz w:val="20"/>
        </w:rPr>
        <w:t>────────────────────────────</w:t>
      </w:r>
    </w:p>
    <w:p>
      <w:pPr>
        <w:pStyle w:val="Heading2"/>
      </w:pPr>
      <w:r>
        <w:t>十一、2026—2030年展望与工作建议</w:t>
      </w:r>
    </w:p>
    <w:p>
      <w:pPr>
        <w:pStyle w:val="Heading3"/>
      </w:pPr>
      <w:r>
        <w:t>11.1 基准判断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在现有监管框架不发生方向性反复的前提下，未来几年大概率呈现：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总量温和增长。</w:t>
      </w:r>
      <w:r>
        <w:rPr>
          <w:rFonts w:ascii="Calibri" w:hAnsi="Calibri" w:eastAsia="WenQuanYi Micro Hei"/>
          <w:b w:val="0"/>
          <w:i w:val="0"/>
          <w:sz w:val="22"/>
        </w:rPr>
        <w:t xml:space="preserve"> 行业总资产维持个位数增速，中间伴随部分中小机构缩表。5万亿元不是终点，但不会再复制2014—2019年的斜率。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存量结构继续改善。</w:t>
      </w:r>
      <w:r>
        <w:rPr>
          <w:rFonts w:ascii="Calibri" w:hAnsi="Calibri" w:eastAsia="WenQuanYi Micro Hei"/>
          <w:b w:val="0"/>
          <w:i w:val="0"/>
          <w:sz w:val="22"/>
        </w:rPr>
        <w:t xml:space="preserve"> 2026年新增直租占比达标后，直租和经营性租赁的存量份额会随旧回租到期继续抬升。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头部集中加剧。</w:t>
      </w:r>
      <w:r>
        <w:rPr>
          <w:rFonts w:ascii="Calibri" w:hAnsi="Calibri" w:eastAsia="WenQuanYi Micro Hei"/>
          <w:b w:val="0"/>
          <w:i w:val="0"/>
          <w:sz w:val="22"/>
        </w:rPr>
        <w:t xml:space="preserve"> 资本、发债、专业子公司、跨境能力都会强化马太效应。千亿俱乐部内部也会再分层。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赛道从城投转向设备与科创。</w:t>
      </w:r>
      <w:r>
        <w:rPr>
          <w:rFonts w:ascii="Calibri" w:hAnsi="Calibri" w:eastAsia="WenQuanYi Micro Hei"/>
          <w:b w:val="0"/>
          <w:i w:val="0"/>
          <w:sz w:val="22"/>
        </w:rPr>
        <w:t xml:space="preserve"> 增量看设备更新、绿色、航空航运更新换代和算力储能；风险也从区域财政转向技术和残值。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商租与金租监管趋同，但牌照鸿沟仍在。</w:t>
      </w:r>
      <w:r>
        <w:rPr>
          <w:rFonts w:ascii="Calibri" w:hAnsi="Calibri" w:eastAsia="WenQuanYi Micro Hei"/>
          <w:b w:val="0"/>
          <w:i w:val="0"/>
          <w:sz w:val="22"/>
        </w:rPr>
        <w:t xml:space="preserve"> 真正的全租赁市场整合不会很快发生。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主要不确定性：制造业投资能否提供足够的优质直租需求；银行净息差下行是否侵蚀金租负债优势；科创资产是否在某一轮技术迭代中出现集中减值；地方债务化解是否导致存量回租的隐性重组。</w:t>
      </w:r>
    </w:p>
    <w:p>
      <w:pPr>
        <w:pStyle w:val="Heading3"/>
      </w:pPr>
      <w:r>
        <w:t>11.2 对金融租赁公司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把租赁物管理做成中台能力</w:t>
      </w:r>
      <w:r>
        <w:rPr>
          <w:rFonts w:ascii="Calibri" w:hAnsi="Calibri" w:eastAsia="WenQuanYi Micro Hei"/>
          <w:b w:val="0"/>
          <w:i w:val="0"/>
          <w:sz w:val="22"/>
        </w:rPr>
        <w:t>，而不是合规部门的检查清单。评估与购买分离、余值限额、租后监测、处置渠道，应进入绩效考核。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直租达标不能靠“找一堆能叫直租的合同”。</w:t>
      </w:r>
      <w:r>
        <w:rPr>
          <w:rFonts w:ascii="Calibri" w:hAnsi="Calibri" w:eastAsia="WenQuanYi Micro Hei"/>
          <w:b w:val="0"/>
          <w:i w:val="0"/>
          <w:sz w:val="22"/>
        </w:rPr>
        <w:t xml:space="preserve"> 要以厂商、项目、产业园区为入口，重建获客。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科创赛道设定风险预算。</w:t>
      </w:r>
      <w:r>
        <w:rPr>
          <w:rFonts w:ascii="Calibri" w:hAnsi="Calibri" w:eastAsia="WenQuanYi Micro Hei"/>
          <w:b w:val="0"/>
          <w:i w:val="0"/>
          <w:sz w:val="22"/>
        </w:rPr>
        <w:t xml:space="preserve"> 缩短久期，控制单一技术路线敞口，优先已运营、已发电、已上架的资产，而不是PPT项目。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资本规划前置。</w:t>
      </w:r>
      <w:r>
        <w:rPr>
          <w:rFonts w:ascii="Calibri" w:hAnsi="Calibri" w:eastAsia="WenQuanYi Micro Hei"/>
          <w:b w:val="0"/>
          <w:i w:val="0"/>
          <w:sz w:val="22"/>
        </w:rPr>
        <w:t xml:space="preserve"> 10倍杠杆和集中度决定了能做多大的飞机与能源项目；增资、永续、ABS、分红政策要放在同一张表上。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中小金租应放弃全能银行式的行业覆盖</w:t>
      </w:r>
      <w:r>
        <w:rPr>
          <w:rFonts w:ascii="Calibri" w:hAnsi="Calibri" w:eastAsia="WenQuanYi Micro Hei"/>
          <w:b w:val="0"/>
          <w:i w:val="0"/>
          <w:sz w:val="22"/>
        </w:rPr>
        <w:t>，选择一两个能看懂的设备赛道或区域产业，做厂商租赁和普惠，而不是和交银、国银抢飞机。</w:t>
      </w:r>
    </w:p>
    <w:p>
      <w:pPr>
        <w:pStyle w:val="Heading3"/>
      </w:pPr>
      <w:r>
        <w:t>11.3 对股东银行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金租是并表的中长期资产平台，不是调节贷款规模的通道。股东义务已包括资本补充和流动性支持，需要纳入集团资本规划。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客户协同应服务于新购设备，而不是把银行压降的城投、地产风险转移到金租。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考核上应接受转型期ROE低于历史回租时期，同时要求直租、经营性租赁、不良生成和租赁物处置指标。</w:t>
      </w:r>
    </w:p>
    <w:p>
      <w:pPr>
        <w:pStyle w:val="Heading3"/>
      </w:pPr>
      <w:r>
        <w:t>11.4 对监管观察者</w:t>
      </w:r>
    </w:p>
    <w:p>
      <w:pPr>
        <w:spacing w:before="0" w:after="160" w:line="307" w:lineRule="auto"/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现行框架已经完成“禁止什么”的建设，下一阶段的质量取决于“如何衡量直租成色”。若统计上把名实不符的交易计入直租，50%目标会提前“达成”、本源转型会停在半山腰。经营性租赁的余值风险、科创设备的估值、专业子公司跨境风险，将是比资本充足率更需要新工具的领域。</w:t>
      </w:r>
    </w:p>
    <w:p>
      <w:pPr>
        <w:spacing w:before="80" w:after="80" w:line="240" w:lineRule="auto"/>
      </w:pPr>
      <w:r>
        <w:rPr>
          <w:rFonts w:ascii="Calibri" w:hAnsi="Calibri" w:eastAsia="WenQuanYi Micro Hei"/>
          <w:b w:val="0"/>
          <w:i w:val="0"/>
          <w:color w:val="C45C26"/>
          <w:sz w:val="20"/>
        </w:rPr>
        <w:t>────────────────────────────</w:t>
      </w:r>
    </w:p>
    <w:p>
      <w:pPr>
        <w:pStyle w:val="Heading2"/>
      </w:pPr>
      <w:r>
        <w:t>十二、附录</w:t>
      </w:r>
    </w:p>
    <w:p>
      <w:pPr>
        <w:pStyle w:val="Heading3"/>
      </w:pPr>
      <w:r>
        <w:t>附录A 关键政策年表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时间</w:t>
            </w:r>
          </w:p>
        </w:tc>
        <w:tc>
          <w:tcPr>
            <w:tcW w:type="dxa" w:w="4759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事项</w:t>
            </w:r>
          </w:p>
        </w:tc>
      </w:tr>
      <w:tr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1980</w:t>
            </w:r>
          </w:p>
        </w:tc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中国民航跨国租赁引进波音747SP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1981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中国东方租赁、中国租赁成立</w:t>
            </w:r>
          </w:p>
        </w:tc>
      </w:tr>
      <w:tr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1995</w:t>
            </w:r>
          </w:p>
        </w:tc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《商业银行法》分业，银行退出租赁投资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1999—2001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《合同法》融资租赁专章、租赁会计准则、金租管理办法</w:t>
            </w:r>
          </w:p>
        </w:tc>
      </w:tr>
      <w:tr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2007.3</w:t>
            </w:r>
          </w:p>
        </w:tc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修订《金融租赁公司管理办法》，允许银行作为主要出资人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2007.11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工银金租天津挂牌，银行系金租时代开始</w:t>
            </w:r>
          </w:p>
        </w:tc>
      </w:tr>
      <w:tr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2014</w:t>
            </w:r>
          </w:p>
        </w:tc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银监会令2014年第3号修订管理办法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2018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商租监管职责划转</w:t>
            </w:r>
          </w:p>
        </w:tc>
      </w:tr>
      <w:tr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2022.2</w:t>
            </w:r>
          </w:p>
        </w:tc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12号文：构筑物适格性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2023.10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8号文：租赁物红线、回租限额、2026年新增直租50%目标</w:t>
            </w:r>
          </w:p>
        </w:tc>
      </w:tr>
      <w:tr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2024.8</w:t>
            </w:r>
          </w:p>
        </w:tc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鼓励清单、负面清单、项目公司正面清单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2024.9/11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《金融租赁公司管理办法》公布并于11月1日施行；注册资本最低10亿元等</w:t>
            </w:r>
          </w:p>
        </w:tc>
      </w:tr>
      <w:tr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2025.12 / 2026.1.1</w:t>
            </w:r>
          </w:p>
        </w:tc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《金融租赁公司融资租赁业务管理办法》印发并施行</w:t>
            </w:r>
          </w:p>
        </w:tc>
      </w:tr>
    </w:tbl>
    <w:p/>
    <w:p>
      <w:pPr>
        <w:pStyle w:val="Heading3"/>
      </w:pPr>
      <w:r>
        <w:t>附录B 2025年末行业核心数据（中银协报告公开转述）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4759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总资产</w:t>
            </w:r>
          </w:p>
        </w:tc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5.23万亿元（+7.89%）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不良融资租赁资产率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0.91%</w:t>
            </w:r>
          </w:p>
        </w:tc>
      </w:tr>
      <w:tr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直租资产余额</w:t>
            </w:r>
          </w:p>
        </w:tc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1.84万亿元（+21.05%），占租赁资产39.74%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经营性租赁资产余额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1.07万亿元（+10.25%）</w:t>
            </w:r>
          </w:p>
        </w:tc>
      </w:tr>
      <w:tr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经营性租赁投放</w:t>
            </w:r>
          </w:p>
        </w:tc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2382.50亿元（+11.46%）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算力租赁资产余额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972.62亿元（+109.89%）</w:t>
            </w:r>
          </w:p>
        </w:tc>
      </w:tr>
      <w:tr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新型储能租赁资产余额</w:t>
            </w:r>
          </w:p>
        </w:tc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567.32亿元（+154.66%）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正常经营机构（不含专业子公司）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约65家</w:t>
            </w:r>
          </w:p>
        </w:tc>
      </w:tr>
      <w:tr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千亿级机构</w:t>
            </w:r>
          </w:p>
        </w:tc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16家，合计约3.54万亿元</w:t>
            </w:r>
          </w:p>
        </w:tc>
      </w:tr>
    </w:tbl>
    <w:p/>
    <w:p>
      <w:pPr>
        <w:pStyle w:val="Heading3"/>
      </w:pPr>
      <w:r>
        <w:t>附录C 国际租赁简明年表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时间</w:t>
            </w:r>
          </w:p>
        </w:tc>
        <w:tc>
          <w:tcPr>
            <w:tcW w:type="dxa" w:w="4759"/>
            <w:shd w:val="clear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18"/>
              </w:rPr>
              <w:t>事项</w:t>
            </w:r>
          </w:p>
        </w:tc>
      </w:tr>
      <w:tr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古代至中世纪</w:t>
            </w:r>
          </w:p>
        </w:tc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两河流域租约、《汉谟拉比法典》；商船、农具、房屋的使用让渡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19世纪后期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美国铁路设备信托，物权融资成型</w:t>
            </w:r>
          </w:p>
        </w:tc>
      </w:tr>
      <w:tr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1952—1954</w:t>
            </w:r>
          </w:p>
        </w:tc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旧金山美国租赁公司成立，现代独立第三方设备租赁起步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1964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大阪东方租赁（后ORIX）设立，美国模式进入日本</w:t>
            </w:r>
          </w:p>
        </w:tc>
      </w:tr>
      <w:tr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1972年前后</w:t>
            </w:r>
          </w:p>
        </w:tc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欧洲租赁协会（Leaseurope）成立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1973 / 1975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ILFC创立于洛杉矶；GPA创立于爱尔兰香农，飞机经营性租赁产业化</w:t>
            </w:r>
          </w:p>
        </w:tc>
      </w:tr>
      <w:tr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1986</w:t>
            </w:r>
          </w:p>
        </w:tc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美国税制改革冲击杠杆租赁等税务驱动结构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1990 / 2014 / 2021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AIG收购ILFC；AerCap收购ILFC；AerCap收购GECAS，全球航空租赁高度集中</w:t>
            </w:r>
          </w:p>
        </w:tc>
      </w:tr>
      <w:tr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2016年起</w:t>
            </w:r>
          </w:p>
        </w:tc>
        <w:tc>
          <w:tcPr>
            <w:tcW w:type="dxa" w:w="4759"/>
            <w:shd w:val="clear" w:fill="FFFFF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IFRS 16逐步实施，承租人表外优势减弱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2010年代中期以来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WenQuanYi Micro Hei"/>
                <w:b w:val="0"/>
                <w:i w:val="0"/>
                <w:sz w:val="18"/>
              </w:rPr>
              <w:t>中国成为全球第二大租赁市场（国际统计口径，含商租与汽车等）</w:t>
            </w:r>
          </w:p>
        </w:tc>
      </w:tr>
    </w:tbl>
    <w:p/>
    <w:p>
      <w:pPr>
        <w:pStyle w:val="Heading3"/>
      </w:pPr>
      <w:r>
        <w:t>附录D 概念对照（避免混用）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金租 / 商租</w:t>
      </w:r>
      <w:r>
        <w:rPr>
          <w:rFonts w:ascii="Calibri" w:hAnsi="Calibri" w:eastAsia="WenQuanYi Micro Hei"/>
          <w:b w:val="0"/>
          <w:i w:val="0"/>
          <w:sz w:val="22"/>
        </w:rPr>
        <w:t>：牌照与监管主体不同。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直租 / 回租</w:t>
      </w:r>
      <w:r>
        <w:rPr>
          <w:rFonts w:ascii="Calibri" w:hAnsi="Calibri" w:eastAsia="WenQuanYi Micro Hei"/>
          <w:b w:val="0"/>
          <w:i w:val="0"/>
          <w:sz w:val="22"/>
        </w:rPr>
        <w:t>：交易结构不同。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融资租赁 / 经营性租赁</w:t>
      </w:r>
      <w:r>
        <w:rPr>
          <w:rFonts w:ascii="Calibri" w:hAnsi="Calibri" w:eastAsia="WenQuanYi Micro Hei"/>
          <w:b w:val="0"/>
          <w:i w:val="0"/>
          <w:sz w:val="22"/>
        </w:rPr>
        <w:t>：会计与风险实质不同。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投放 / 余额</w:t>
      </w:r>
      <w:r>
        <w:rPr>
          <w:rFonts w:ascii="Calibri" w:hAnsi="Calibri" w:eastAsia="WenQuanYi Micro Hei"/>
          <w:b w:val="0"/>
          <w:i w:val="0"/>
          <w:sz w:val="22"/>
        </w:rPr>
        <w:t>：流量与存量不同；8号文考核投放结构。</w:t>
      </w:r>
    </w:p>
    <w:p>
      <w:pPr>
        <w:pStyle w:val="ListBullet"/>
        <w:spacing w:before="20" w:after="60" w:line="288" w:lineRule="auto"/>
      </w:pPr>
      <w:r>
        <w:rPr>
          <w:rFonts w:ascii="Calibri" w:hAnsi="Calibri" w:eastAsia="WenQuanYi Micro Hei"/>
          <w:b/>
          <w:i w:val="0"/>
          <w:sz w:val="22"/>
        </w:rPr>
        <w:t>专业子公司 / 项目公司</w:t>
      </w:r>
      <w:r>
        <w:rPr>
          <w:rFonts w:ascii="Calibri" w:hAnsi="Calibri" w:eastAsia="WenQuanYi Micro Hei"/>
          <w:b w:val="0"/>
          <w:i w:val="0"/>
          <w:sz w:val="22"/>
        </w:rPr>
        <w:t>：前者是持续经营的专业化子公司，后者是为特定资产或项目设立的SPV。</w:t>
      </w:r>
    </w:p>
    <w:p>
      <w:pPr>
        <w:spacing w:before="80" w:after="80" w:line="240" w:lineRule="auto"/>
      </w:pPr>
      <w:r>
        <w:rPr>
          <w:rFonts w:ascii="Calibri" w:hAnsi="Calibri" w:eastAsia="WenQuanYi Micro Hei"/>
          <w:b w:val="0"/>
          <w:i w:val="0"/>
          <w:color w:val="C45C26"/>
          <w:sz w:val="20"/>
        </w:rPr>
        <w:t>────────────────────────────</w:t>
      </w:r>
    </w:p>
    <w:p>
      <w:pPr>
        <w:pStyle w:val="Heading2"/>
      </w:pPr>
      <w:r>
        <w:t>主要参考文献与资料来源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国家金融监督管理总局，《金融租赁公司管理办法》，2024年第6号，自2024年11月1日起施行；中国政府网、国务院公报文本。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国家金融监督管理总局，《金融租赁公司融资租赁业务管理办法》（金规〔2025〕25号），2025年12月4日印发，自2026年1月1日起施行。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国家金融监督管理总局，《关于促进金融租赁公司规范经营和合规管理的通知》（金规〔2023〕8号）及融资租赁业务统计口径说明；国务院公报2023年第35号。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原银保监会，《关于加强金融租赁公司融资租赁业务合规监管有关问题的通知》（银保监办发〔2022〕12号）。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中国银行业协会，《中国金融租赁行业发展报告（2024）（2026）》公开报道转述；《经济日报》2026年8月5日《金融租赁行业布局持续优化》等。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金融租赁公司2025年年报及公开信息披露（交银、国银、工银、招银、华夏、中信等，转引公开财经报道）。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联合资信等相关评级机构行业研究报告（资本补充、杠杆与个体分化）。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史燕平等学术与行业回顾（金租十年、银行解禁的制度背景）。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《中华人民共和国民法典》合同编融资租赁合同；《企业会计准则第21号——租赁》。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Equipment Leasing and Finance Association（ELFA）行业史与名人堂材料（美国租赁公司、Henry B. Schoenfeld）。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ORIX、Mitsubishi HC Capital、AerCap公司官方沿革；Leaseurope；White Clarke / Solifi《Global Leasing Report》及《World Leasing Yearbook 2026》公开摘要（全球新增业务规模与国别位次）。</w:t>
      </w:r>
    </w:p>
    <w:p>
      <w:pPr>
        <w:pStyle w:val="ListNumber"/>
        <w:spacing w:before="20" w:after="60" w:line="288" w:lineRule="auto"/>
      </w:pPr>
      <w:r>
        <w:rPr>
          <w:rFonts w:ascii="Calibri" w:hAnsi="Calibri" w:eastAsia="WenQuanYi Micro Hei"/>
          <w:b w:val="0"/>
          <w:i w:val="0"/>
          <w:sz w:val="22"/>
        </w:rPr>
        <w:t>SMBC Aviation Capital、BOC Aviation、Air Lease Corporation等机构2025—2026年公开机队口径（自有/托管/承诺不可直接加总）。</w:t>
      </w:r>
    </w:p>
    <w:p>
      <w:pPr>
        <w:spacing w:before="80" w:after="80" w:line="240" w:lineRule="auto"/>
      </w:pPr>
      <w:r>
        <w:rPr>
          <w:rFonts w:ascii="Calibri" w:hAnsi="Calibri" w:eastAsia="WenQuanYi Micro Hei"/>
          <w:b w:val="0"/>
          <w:i w:val="0"/>
          <w:color w:val="C45C26"/>
          <w:sz w:val="20"/>
        </w:rPr>
        <w:t>────────────────────────────</w:t>
      </w:r>
    </w:p>
    <w:p>
      <w:pPr>
        <w:spacing w:before="160" w:after="80" w:line="288" w:lineRule="auto"/>
      </w:pPr>
      <w:r>
        <w:rPr>
          <w:rFonts w:ascii="Calibri" w:hAnsi="Calibri" w:eastAsia="WenQuanYi Micro Hei"/>
          <w:b w:val="0"/>
          <w:i/>
          <w:color w:val="555555"/>
          <w:sz w:val="20"/>
        </w:rPr>
        <w:t>本文为行业综述，供研究讨论使用，不构成对任何机构的投资建议或监管意见。部分2025年个体数据来自年报披露期的公开报道，若与公司法定披露不一致，以法定披露为准。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WenQuanYi Micro Hei"/>
        <w:b w:val="0"/>
        <w:i w:val="0"/>
        <w:color w:val="555555"/>
        <w:sz w:val="16"/>
      </w:rPr>
      <w:t>中国金融租赁行业综述  ·  2026年9月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Calibri" w:hAnsi="Calibri" w:eastAsia="WenQuanYi Micro 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WenQuanYi Micro He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 w:line="276" w:lineRule="auto"/>
      <w:outlineLvl w:val="1"/>
    </w:pPr>
    <w:rPr>
      <w:rFonts w:asciiTheme="majorHAnsi" w:eastAsiaTheme="majorEastAsia" w:hAnsiTheme="majorHAnsi" w:cstheme="majorBidi" w:ascii="Calibri" w:hAnsi="Calibri" w:eastAsia="WenQuanYi Micro He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Calibri" w:hAnsi="Calibri" w:eastAsia="WenQuanYi Micro 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