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689A" w14:textId="77777777" w:rsidR="00C8187D" w:rsidRPr="00BC00AC" w:rsidRDefault="00BF3026" w:rsidP="00BF3026">
      <w:pPr>
        <w:pStyle w:val="Title"/>
        <w:spacing w:line="360" w:lineRule="auto"/>
        <w:rPr>
          <w:rFonts w:ascii="Times New Roman" w:hAnsi="Times New Roman" w:cs="Times New Roman"/>
        </w:rPr>
      </w:pPr>
      <w:r w:rsidRPr="00BC00AC">
        <w:rPr>
          <w:rFonts w:ascii="Times New Roman" w:hAnsi="Times New Roman" w:cs="Times New Roman"/>
        </w:rPr>
        <w:t>Analyzing Predictive Factors of Academic Success in University</w:t>
      </w:r>
    </w:p>
    <w:p w14:paraId="7AD8DF11" w14:textId="77777777" w:rsidR="00C8187D" w:rsidRPr="00BC00AC" w:rsidRDefault="00BF3026" w:rsidP="00BF3026">
      <w:pPr>
        <w:pStyle w:val="Subtitle"/>
        <w:spacing w:line="360" w:lineRule="auto"/>
        <w:rPr>
          <w:rFonts w:ascii="Times New Roman" w:hAnsi="Times New Roman" w:cs="Times New Roman"/>
          <w:color w:val="auto"/>
        </w:rPr>
      </w:pPr>
      <w:r w:rsidRPr="00BC00AC">
        <w:rPr>
          <w:rFonts w:ascii="Times New Roman" w:hAnsi="Times New Roman" w:cs="Times New Roman"/>
          <w:color w:val="auto"/>
        </w:rPr>
        <w:t>A Linear Regression Analysis of High School Performance, SAT Scores, and Extracurricular Activities</w:t>
      </w:r>
    </w:p>
    <w:p w14:paraId="6CF28A95" w14:textId="7328DE01" w:rsidR="004B5AC7" w:rsidRPr="00BC00AC" w:rsidRDefault="00BF3026" w:rsidP="00BC00AC">
      <w:pPr>
        <w:pStyle w:val="Author"/>
        <w:spacing w:line="480" w:lineRule="auto"/>
        <w:rPr>
          <w:rFonts w:ascii="Times New Roman" w:hAnsi="Times New Roman" w:cs="Times New Roman"/>
        </w:rPr>
      </w:pPr>
      <w:r w:rsidRPr="00BC00AC">
        <w:rPr>
          <w:rFonts w:ascii="Times New Roman" w:hAnsi="Times New Roman" w:cs="Times New Roman"/>
        </w:rPr>
        <w:t>Student Name</w:t>
      </w:r>
      <w:r w:rsidR="004B5AC7" w:rsidRPr="00BC00AC">
        <w:rPr>
          <w:rFonts w:ascii="Times New Roman" w:hAnsi="Times New Roman" w:cs="Times New Roman"/>
        </w:rPr>
        <w:t>:</w:t>
      </w:r>
    </w:p>
    <w:p w14:paraId="01D9B44B" w14:textId="1A261A12" w:rsidR="004B5AC7" w:rsidRPr="00BC00AC" w:rsidRDefault="004B5AC7" w:rsidP="00BC00AC">
      <w:pPr>
        <w:pStyle w:val="BodyText"/>
        <w:spacing w:line="480" w:lineRule="auto"/>
        <w:jc w:val="center"/>
        <w:rPr>
          <w:rFonts w:ascii="Times New Roman" w:hAnsi="Times New Roman" w:cs="Times New Roman"/>
        </w:rPr>
      </w:pPr>
      <w:r w:rsidRPr="00BC00AC">
        <w:rPr>
          <w:rFonts w:ascii="Times New Roman" w:hAnsi="Times New Roman" w:cs="Times New Roman"/>
        </w:rPr>
        <w:t>Instructor’s Name:</w:t>
      </w:r>
    </w:p>
    <w:p w14:paraId="42C2D9BD" w14:textId="7AD9A807" w:rsidR="004B5AC7" w:rsidRPr="00BC00AC" w:rsidRDefault="004B5AC7" w:rsidP="00BC00AC">
      <w:pPr>
        <w:pStyle w:val="BodyText"/>
        <w:spacing w:line="480" w:lineRule="auto"/>
        <w:jc w:val="center"/>
        <w:rPr>
          <w:rFonts w:ascii="Times New Roman" w:hAnsi="Times New Roman" w:cs="Times New Roman"/>
        </w:rPr>
      </w:pPr>
      <w:r w:rsidRPr="00BC00AC">
        <w:rPr>
          <w:rFonts w:ascii="Times New Roman" w:hAnsi="Times New Roman" w:cs="Times New Roman"/>
        </w:rPr>
        <w:t>Department Name:</w:t>
      </w:r>
    </w:p>
    <w:p w14:paraId="0B101C18" w14:textId="380AF82A" w:rsidR="004B5AC7" w:rsidRPr="00BC00AC" w:rsidRDefault="004B5AC7" w:rsidP="00BC00AC">
      <w:pPr>
        <w:pStyle w:val="BodyText"/>
        <w:spacing w:line="480" w:lineRule="auto"/>
        <w:jc w:val="center"/>
        <w:rPr>
          <w:rFonts w:ascii="Times New Roman" w:hAnsi="Times New Roman" w:cs="Times New Roman"/>
        </w:rPr>
      </w:pPr>
      <w:r w:rsidRPr="00BC00AC">
        <w:rPr>
          <w:rFonts w:ascii="Times New Roman" w:hAnsi="Times New Roman" w:cs="Times New Roman"/>
        </w:rPr>
        <w:t>Date of Submission:</w:t>
      </w:r>
    </w:p>
    <w:p w14:paraId="4523EE87" w14:textId="77777777" w:rsidR="004B5AC7" w:rsidRPr="00BC00AC" w:rsidRDefault="004B5AC7" w:rsidP="00BC00AC">
      <w:pPr>
        <w:spacing w:line="480" w:lineRule="auto"/>
        <w:rPr>
          <w:rFonts w:ascii="Times New Roman" w:hAnsi="Times New Roman" w:cs="Times New Roman"/>
        </w:rPr>
      </w:pPr>
      <w:r w:rsidRPr="00BC00AC">
        <w:rPr>
          <w:rFonts w:ascii="Times New Roman" w:hAnsi="Times New Roman" w:cs="Times New Roman"/>
        </w:rPr>
        <w:br w:type="page"/>
      </w:r>
    </w:p>
    <w:p w14:paraId="2FBB5643" w14:textId="77777777" w:rsidR="00C8187D" w:rsidRPr="00BC00AC" w:rsidRDefault="00BF3026" w:rsidP="00BC00AC">
      <w:pPr>
        <w:pStyle w:val="Heading1"/>
        <w:rPr>
          <w:rFonts w:ascii="Times New Roman" w:hAnsi="Times New Roman" w:cs="Times New Roman"/>
          <w:color w:val="auto"/>
        </w:rPr>
      </w:pPr>
      <w:bookmarkStart w:id="0" w:name="introduction"/>
      <w:r w:rsidRPr="00BC00AC">
        <w:rPr>
          <w:rFonts w:ascii="Times New Roman" w:hAnsi="Times New Roman" w:cs="Times New Roman"/>
          <w:color w:val="auto"/>
        </w:rPr>
        <w:lastRenderedPageBreak/>
        <w:t>Introduction</w:t>
      </w:r>
    </w:p>
    <w:p w14:paraId="40E923FA" w14:textId="77777777" w:rsidR="00C8187D" w:rsidRPr="00BC00AC" w:rsidRDefault="00BF3026" w:rsidP="00BC00AC">
      <w:pPr>
        <w:pStyle w:val="FirstParagraph"/>
        <w:spacing w:line="480" w:lineRule="auto"/>
        <w:ind w:firstLine="720"/>
        <w:rPr>
          <w:rFonts w:ascii="Times New Roman" w:hAnsi="Times New Roman" w:cs="Times New Roman"/>
        </w:rPr>
      </w:pPr>
      <w:r w:rsidRPr="00BC00AC">
        <w:rPr>
          <w:rFonts w:ascii="Times New Roman" w:hAnsi="Times New Roman" w:cs="Times New Roman"/>
        </w:rPr>
        <w:t>The challenge of identifying students who will succeed in university settings has long been a critical concern for admission officers. While traditional metrics, such as high school grades and standardized test scores, have been the cornerstone of admissio</w:t>
      </w:r>
      <w:r w:rsidRPr="00BC00AC">
        <w:rPr>
          <w:rFonts w:ascii="Times New Roman" w:hAnsi="Times New Roman" w:cs="Times New Roman"/>
        </w:rPr>
        <w:t>n decisions, there is growing recognition that non-academic factors may also play a significant role in predicting academic success. The study looks at the relationship of university academic performance with three potential predictive factors: high school</w:t>
      </w:r>
      <w:r w:rsidRPr="00BC00AC">
        <w:rPr>
          <w:rFonts w:ascii="Times New Roman" w:hAnsi="Times New Roman" w:cs="Times New Roman"/>
        </w:rPr>
        <w:t xml:space="preserve"> GPA, SAT scores, and extracurricular activity participation. In a sample of 100 fourth-year university students, we carry out linear regression analysis to test these variables in predicting university academic success measured by GPA through the first th</w:t>
      </w:r>
      <w:r w:rsidRPr="00BC00AC">
        <w:rPr>
          <w:rFonts w:ascii="Times New Roman" w:hAnsi="Times New Roman" w:cs="Times New Roman"/>
        </w:rPr>
        <w:t>ree years of university study.</w:t>
      </w:r>
    </w:p>
    <w:p w14:paraId="4B160D47" w14:textId="77777777" w:rsidR="00C8187D" w:rsidRPr="00BC00AC" w:rsidRDefault="00BF3026" w:rsidP="00BC00AC">
      <w:pPr>
        <w:pStyle w:val="Heading1"/>
        <w:rPr>
          <w:rFonts w:ascii="Times New Roman" w:hAnsi="Times New Roman" w:cs="Times New Roman"/>
          <w:color w:val="auto"/>
        </w:rPr>
      </w:pPr>
      <w:bookmarkStart w:id="1" w:name="literature-review"/>
      <w:bookmarkEnd w:id="0"/>
      <w:r w:rsidRPr="00BC00AC">
        <w:rPr>
          <w:rFonts w:ascii="Times New Roman" w:hAnsi="Times New Roman" w:cs="Times New Roman"/>
          <w:color w:val="auto"/>
        </w:rPr>
        <w:t>Literature Review</w:t>
      </w:r>
    </w:p>
    <w:p w14:paraId="01EC7C26" w14:textId="77777777" w:rsidR="00BF3026" w:rsidRDefault="004B5AC7" w:rsidP="00BF3026">
      <w:pPr>
        <w:pStyle w:val="BodyText"/>
        <w:spacing w:line="480" w:lineRule="auto"/>
        <w:ind w:firstLine="720"/>
        <w:rPr>
          <w:rFonts w:ascii="Times New Roman" w:hAnsi="Times New Roman" w:cs="Times New Roman"/>
        </w:rPr>
      </w:pPr>
      <w:r w:rsidRPr="00BC00AC">
        <w:rPr>
          <w:rFonts w:ascii="Times New Roman" w:hAnsi="Times New Roman" w:cs="Times New Roman"/>
        </w:rPr>
        <w:t>The prediction of academic success in higher education has been one of the key issues in educational research. Conventionally, high school GPA has been regarded as one of the most valid predictors of college success (McFarlane, Thorne J. McFarlane, and Bernard 2017). Studies consistently indicate that high school GPA maintains a strong correlation with college performance, possibly because it captures both cognitive abilities and non-cognitive factors such as motivation and study habits.</w:t>
      </w:r>
    </w:p>
    <w:p w14:paraId="799E7091" w14:textId="77777777" w:rsidR="00BF3026" w:rsidRDefault="004B5AC7" w:rsidP="00BF3026">
      <w:pPr>
        <w:pStyle w:val="BodyText"/>
        <w:spacing w:line="480" w:lineRule="auto"/>
        <w:ind w:firstLine="720"/>
        <w:rPr>
          <w:rFonts w:ascii="Times New Roman" w:hAnsi="Times New Roman" w:cs="Times New Roman"/>
        </w:rPr>
      </w:pPr>
      <w:r w:rsidRPr="00BC00AC">
        <w:rPr>
          <w:rFonts w:ascii="Times New Roman" w:hAnsi="Times New Roman" w:cs="Times New Roman"/>
        </w:rPr>
        <w:t xml:space="preserve">Standardized testing, notably the SAT, has also been a major factor in making admission decisions. Research carried out by the College Board (2019) highlights moderate to strong correlations between SAT scores and first-year college GPA. However, some research suggests that the predictive validity of the SAT scores could vary depending on different student </w:t>
      </w:r>
      <w:r w:rsidRPr="00BC00AC">
        <w:rPr>
          <w:rFonts w:ascii="Times New Roman" w:hAnsi="Times New Roman" w:cs="Times New Roman"/>
        </w:rPr>
        <w:lastRenderedPageBreak/>
        <w:t>populations and different institutional contexts (Beatty et al. 2011; Rigdon, Sackett,</w:t>
      </w:r>
      <w:r w:rsidRPr="00BC00AC">
        <w:rPr>
          <w:rFonts w:ascii="Times New Roman" w:hAnsi="Times New Roman" w:cs="Times New Roman"/>
        </w:rPr>
        <w:t xml:space="preserve"> </w:t>
      </w:r>
      <w:r w:rsidRPr="00BC00AC">
        <w:rPr>
          <w:rFonts w:ascii="Times New Roman" w:hAnsi="Times New Roman" w:cs="Times New Roman"/>
        </w:rPr>
        <w:t xml:space="preserve">2009; </w:t>
      </w:r>
      <w:proofErr w:type="spellStart"/>
      <w:r w:rsidRPr="00BC00AC">
        <w:rPr>
          <w:rFonts w:ascii="Times New Roman" w:hAnsi="Times New Roman" w:cs="Times New Roman"/>
        </w:rPr>
        <w:t>Kuncel</w:t>
      </w:r>
      <w:proofErr w:type="spellEnd"/>
      <w:r w:rsidRPr="00BC00AC">
        <w:rPr>
          <w:rFonts w:ascii="Times New Roman" w:hAnsi="Times New Roman" w:cs="Times New Roman"/>
        </w:rPr>
        <w:t xml:space="preserve">, Sackett, and </w:t>
      </w:r>
      <w:proofErr w:type="spellStart"/>
      <w:r w:rsidRPr="00BC00AC">
        <w:rPr>
          <w:rFonts w:ascii="Times New Roman" w:hAnsi="Times New Roman" w:cs="Times New Roman"/>
        </w:rPr>
        <w:t>Borneman</w:t>
      </w:r>
      <w:proofErr w:type="spellEnd"/>
      <w:r w:rsidRPr="00BC00AC">
        <w:rPr>
          <w:rFonts w:ascii="Times New Roman" w:hAnsi="Times New Roman" w:cs="Times New Roman"/>
        </w:rPr>
        <w:t xml:space="preserve"> 2008).</w:t>
      </w:r>
    </w:p>
    <w:p w14:paraId="5198025F" w14:textId="77777777" w:rsidR="00BF3026" w:rsidRDefault="004B5AC7" w:rsidP="00BF3026">
      <w:pPr>
        <w:pStyle w:val="BodyText"/>
        <w:spacing w:line="480" w:lineRule="auto"/>
        <w:ind w:firstLine="720"/>
        <w:rPr>
          <w:rFonts w:ascii="Times New Roman" w:hAnsi="Times New Roman" w:cs="Times New Roman"/>
        </w:rPr>
      </w:pPr>
      <w:r w:rsidRPr="00BC00AC">
        <w:rPr>
          <w:rFonts w:ascii="Times New Roman" w:hAnsi="Times New Roman" w:cs="Times New Roman"/>
        </w:rPr>
        <w:t xml:space="preserve">Most recently, the focus has turned to the predictive power of extracurricular activities toward academic success. Research by authors (H. Marsh and </w:t>
      </w:r>
      <w:proofErr w:type="spellStart"/>
      <w:r w:rsidRPr="00BC00AC">
        <w:rPr>
          <w:rFonts w:ascii="Times New Roman" w:hAnsi="Times New Roman" w:cs="Times New Roman"/>
        </w:rPr>
        <w:t>Kleitman</w:t>
      </w:r>
      <w:proofErr w:type="spellEnd"/>
      <w:r w:rsidRPr="00BC00AC">
        <w:rPr>
          <w:rFonts w:ascii="Times New Roman" w:hAnsi="Times New Roman" w:cs="Times New Roman"/>
        </w:rPr>
        <w:t xml:space="preserve"> 2002) indicated that extracurricular activities were positively linked to academic achievement, thus perhaps improving time management skills, leadership potential, and social capital. However, the relationship between extracurricular involvement and academic performance is complex, with some research suggesting a curvilinear relationship where excessive involvement may detract from academic achievement (Eccles 2006).</w:t>
      </w:r>
    </w:p>
    <w:p w14:paraId="5D24A758" w14:textId="244A4DD1" w:rsidR="00C8187D" w:rsidRPr="00BC00AC" w:rsidRDefault="004B5AC7" w:rsidP="00BF3026">
      <w:pPr>
        <w:pStyle w:val="BodyText"/>
        <w:spacing w:line="480" w:lineRule="auto"/>
        <w:ind w:firstLine="720"/>
        <w:rPr>
          <w:rFonts w:ascii="Times New Roman" w:hAnsi="Times New Roman" w:cs="Times New Roman"/>
        </w:rPr>
      </w:pPr>
      <w:r w:rsidRPr="00BC00AC">
        <w:rPr>
          <w:rFonts w:ascii="Times New Roman" w:hAnsi="Times New Roman" w:cs="Times New Roman"/>
        </w:rPr>
        <w:t>The importance of the current study is that it contributes to the literature by simultaneously estimating these three factors: high school GPA, SAT scores, and extracurricular activities, relative to one another as predictors of university academic success. The results will also be particularly useful for admission officers looking to construct more comprehensive and evidence-based admission criteria.</w:t>
      </w:r>
    </w:p>
    <w:p w14:paraId="6234C271" w14:textId="77777777" w:rsidR="00C8187D" w:rsidRPr="00BC00AC" w:rsidRDefault="00BF3026" w:rsidP="00BF3026">
      <w:pPr>
        <w:pStyle w:val="Heading1"/>
        <w:spacing w:line="360" w:lineRule="auto"/>
        <w:rPr>
          <w:rFonts w:ascii="Times New Roman" w:hAnsi="Times New Roman" w:cs="Times New Roman"/>
          <w:color w:val="auto"/>
        </w:rPr>
      </w:pPr>
      <w:bookmarkStart w:id="2" w:name="results"/>
      <w:bookmarkEnd w:id="1"/>
      <w:r w:rsidRPr="00BC00AC">
        <w:rPr>
          <w:rFonts w:ascii="Times New Roman" w:hAnsi="Times New Roman" w:cs="Times New Roman"/>
          <w:color w:val="auto"/>
        </w:rPr>
        <w:t>Results</w:t>
      </w:r>
    </w:p>
    <w:p w14:paraId="1D146356" w14:textId="77777777" w:rsidR="00C8187D" w:rsidRPr="00BC00AC" w:rsidRDefault="00BF3026" w:rsidP="00BF3026">
      <w:pPr>
        <w:pStyle w:val="Heading2"/>
        <w:spacing w:line="360" w:lineRule="auto"/>
        <w:rPr>
          <w:rFonts w:ascii="Times New Roman" w:hAnsi="Times New Roman" w:cs="Times New Roman"/>
          <w:color w:val="auto"/>
        </w:rPr>
      </w:pPr>
      <w:bookmarkStart w:id="3" w:name="exploratory-data-analysis"/>
      <w:r w:rsidRPr="00BC00AC">
        <w:rPr>
          <w:rFonts w:ascii="Times New Roman" w:hAnsi="Times New Roman" w:cs="Times New Roman"/>
          <w:color w:val="auto"/>
        </w:rPr>
        <w:t>Exploratory Data Analysis</w:t>
      </w:r>
    </w:p>
    <w:p w14:paraId="32339E81" w14:textId="77777777" w:rsidR="00C8187D" w:rsidRPr="00BC00AC" w:rsidRDefault="00BF3026" w:rsidP="00BF3026">
      <w:pPr>
        <w:pStyle w:val="Heading3"/>
        <w:spacing w:line="360" w:lineRule="auto"/>
        <w:rPr>
          <w:rFonts w:ascii="Times New Roman" w:hAnsi="Times New Roman" w:cs="Times New Roman"/>
          <w:color w:val="auto"/>
        </w:rPr>
      </w:pPr>
      <w:bookmarkStart w:id="4" w:name="descriptive-statistics"/>
      <w:r w:rsidRPr="00BC00AC">
        <w:rPr>
          <w:rFonts w:ascii="Times New Roman" w:hAnsi="Times New Roman" w:cs="Times New Roman"/>
          <w:color w:val="auto"/>
        </w:rPr>
        <w:t>Descriptive Statistics</w:t>
      </w:r>
    </w:p>
    <w:p w14:paraId="0154808D" w14:textId="77777777" w:rsidR="00C8187D" w:rsidRPr="00BC00AC" w:rsidRDefault="00BF3026" w:rsidP="00BF3026">
      <w:pPr>
        <w:pStyle w:val="FirstParagraph"/>
        <w:spacing w:line="480" w:lineRule="auto"/>
        <w:ind w:firstLine="720"/>
        <w:rPr>
          <w:rFonts w:ascii="Times New Roman" w:hAnsi="Times New Roman" w:cs="Times New Roman"/>
        </w:rPr>
      </w:pPr>
      <w:r w:rsidRPr="00BC00AC">
        <w:rPr>
          <w:rFonts w:ascii="Times New Roman" w:hAnsi="Times New Roman" w:cs="Times New Roman"/>
        </w:rPr>
        <w:t>The sample included 100 fourth-year university students. The university GPA for the first three years was, on average, 7.28 (SD = 2.37) on a 12-point scale. Students in the sample had entered uni</w:t>
      </w:r>
      <w:r w:rsidRPr="00BC00AC">
        <w:rPr>
          <w:rFonts w:ascii="Times New Roman" w:hAnsi="Times New Roman" w:cs="Times New Roman"/>
        </w:rPr>
        <w:t xml:space="preserve">versity with a mean high school GPA of 7.98 (SD = 2.05), also on a 12-point scale. The average SAT score was 1,083 (SD = 144) out of a possible 1,600 points. Regarding </w:t>
      </w:r>
      <w:r w:rsidRPr="00BC00AC">
        <w:rPr>
          <w:rFonts w:ascii="Times New Roman" w:hAnsi="Times New Roman" w:cs="Times New Roman"/>
        </w:rPr>
        <w:lastRenderedPageBreak/>
        <w:t xml:space="preserve">extracurricular involvement, students reported that they spent an average of 4.8 hrs/wk </w:t>
      </w:r>
      <w:r w:rsidRPr="00BC00AC">
        <w:rPr>
          <w:rFonts w:ascii="Times New Roman" w:hAnsi="Times New Roman" w:cs="Times New Roman"/>
        </w:rPr>
        <w:t>(SD = 3.3) in organized activities during their last year of high school.</w:t>
      </w:r>
    </w:p>
    <w:p w14:paraId="21D451DA" w14:textId="77777777" w:rsidR="00C8187D" w:rsidRPr="00BC00AC" w:rsidRDefault="00BF3026" w:rsidP="00BC00AC">
      <w:pPr>
        <w:pStyle w:val="BodyText"/>
        <w:spacing w:line="480" w:lineRule="auto"/>
        <w:rPr>
          <w:rFonts w:ascii="Times New Roman" w:hAnsi="Times New Roman" w:cs="Times New Roman"/>
        </w:rPr>
      </w:pPr>
      <w:r w:rsidRPr="00BC00AC">
        <w:rPr>
          <w:rFonts w:ascii="Times New Roman" w:hAnsi="Times New Roman" w:cs="Times New Roman"/>
        </w:rPr>
        <w:t>Table 1 presents the descriptive statistics for all variables included in the analysis.</w:t>
      </w:r>
    </w:p>
    <w:p w14:paraId="6954ED9D" w14:textId="77777777" w:rsidR="00C8187D" w:rsidRPr="00BC00AC" w:rsidRDefault="00BF3026" w:rsidP="00BC00AC">
      <w:pPr>
        <w:pStyle w:val="BodyText"/>
        <w:spacing w:line="480" w:lineRule="auto"/>
        <w:rPr>
          <w:rFonts w:ascii="Times New Roman" w:hAnsi="Times New Roman" w:cs="Times New Roman"/>
        </w:rPr>
      </w:pPr>
      <w:r w:rsidRPr="00BC00AC">
        <w:rPr>
          <w:rFonts w:ascii="Times New Roman" w:hAnsi="Times New Roman" w:cs="Times New Roman"/>
          <w:b/>
          <w:bCs/>
        </w:rPr>
        <w:t>Table 1</w:t>
      </w:r>
    </w:p>
    <w:tbl>
      <w:tblPr>
        <w:tblStyle w:val="Table"/>
        <w:tblW w:w="0" w:type="auto"/>
        <w:jc w:val="center"/>
        <w:tblLayout w:type="fixed"/>
        <w:tblLook w:val="0420" w:firstRow="1" w:lastRow="0" w:firstColumn="0" w:lastColumn="0" w:noHBand="0" w:noVBand="1"/>
      </w:tblPr>
      <w:tblGrid>
        <w:gridCol w:w="1878"/>
        <w:gridCol w:w="1536"/>
      </w:tblGrid>
      <w:tr w:rsidR="00BC00AC" w:rsidRPr="00BC00AC" w14:paraId="07FB701E" w14:textId="77777777" w:rsidTr="00C8187D">
        <w:trPr>
          <w:cnfStyle w:val="100000000000" w:firstRow="1" w:lastRow="0" w:firstColumn="0" w:lastColumn="0" w:oddVBand="0" w:evenVBand="0" w:oddHBand="0" w:evenHBand="0" w:firstRowFirstColumn="0" w:firstRowLastColumn="0" w:lastRowFirstColumn="0" w:lastRowLastColumn="0"/>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A2C8812" w14:textId="77777777" w:rsidR="00C8187D" w:rsidRPr="00BC00AC" w:rsidRDefault="00BF3026" w:rsidP="00BF3026">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BC00AC">
              <w:rPr>
                <w:rFonts w:ascii="Times New Roman" w:eastAsia="Arial" w:hAnsi="Times New Roman" w:cs="Times New Roman"/>
                <w:b/>
                <w:sz w:val="22"/>
                <w:szCs w:val="22"/>
              </w:rPr>
              <w:t>Characteristic</w:t>
            </w:r>
          </w:p>
        </w:tc>
        <w:tc>
          <w:tcPr>
            <w:tcW w:w="153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96D0F94" w14:textId="77777777" w:rsidR="00C8187D" w:rsidRPr="00BC00AC" w:rsidRDefault="00BF3026" w:rsidP="00BF3026">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BC00AC">
              <w:rPr>
                <w:rFonts w:ascii="Times New Roman" w:eastAsia="Arial" w:hAnsi="Times New Roman" w:cs="Times New Roman"/>
                <w:b/>
                <w:sz w:val="22"/>
                <w:szCs w:val="22"/>
              </w:rPr>
              <w:t>N = 100</w:t>
            </w:r>
            <w:r w:rsidRPr="00BC00AC">
              <w:rPr>
                <w:rFonts w:ascii="Times New Roman" w:eastAsia="Arial" w:hAnsi="Times New Roman" w:cs="Times New Roman"/>
                <w:sz w:val="22"/>
                <w:szCs w:val="22"/>
                <w:vertAlign w:val="superscript"/>
              </w:rPr>
              <w:t>1</w:t>
            </w:r>
          </w:p>
        </w:tc>
      </w:tr>
      <w:tr w:rsidR="00BC00AC" w:rsidRPr="00BC00AC" w14:paraId="79E4DC3D" w14:textId="77777777" w:rsidTr="00C8187D">
        <w:trPr>
          <w:jc w:val="center"/>
        </w:trPr>
        <w:tc>
          <w:tcPr>
            <w:tcW w:w="18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8F016" w14:textId="77777777" w:rsidR="00C8187D" w:rsidRPr="00BC00AC" w:rsidRDefault="00BF3026" w:rsidP="00BF3026">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proofErr w:type="spellStart"/>
            <w:r w:rsidRPr="00BC00AC">
              <w:rPr>
                <w:rFonts w:ascii="Times New Roman" w:eastAsia="Arial" w:hAnsi="Times New Roman" w:cs="Times New Roman"/>
                <w:sz w:val="22"/>
                <w:szCs w:val="22"/>
              </w:rPr>
              <w:t>Univ_GPA</w:t>
            </w:r>
            <w:proofErr w:type="spellEnd"/>
          </w:p>
        </w:tc>
        <w:tc>
          <w:tcPr>
            <w:tcW w:w="153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F56E1" w14:textId="77777777" w:rsidR="00C8187D" w:rsidRPr="00BC00AC" w:rsidRDefault="00BF3026" w:rsidP="00BF302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C00AC">
              <w:rPr>
                <w:rFonts w:ascii="Times New Roman" w:eastAsia="Arial" w:hAnsi="Times New Roman" w:cs="Times New Roman"/>
                <w:sz w:val="22"/>
                <w:szCs w:val="22"/>
              </w:rPr>
              <w:t>7.28 (2.37)</w:t>
            </w:r>
          </w:p>
        </w:tc>
      </w:tr>
      <w:tr w:rsidR="00BC00AC" w:rsidRPr="00BC00AC" w14:paraId="2E30BBA1" w14:textId="77777777" w:rsidTr="00C8187D">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1FC94" w14:textId="77777777" w:rsidR="00C8187D" w:rsidRPr="00BC00AC" w:rsidRDefault="00BF3026" w:rsidP="00BF3026">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BC00AC">
              <w:rPr>
                <w:rFonts w:ascii="Times New Roman" w:eastAsia="Arial" w:hAnsi="Times New Roman" w:cs="Times New Roman"/>
                <w:sz w:val="22"/>
                <w:szCs w:val="22"/>
              </w:rPr>
              <w:t>HS_GPA</w:t>
            </w: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3B3AD" w14:textId="77777777" w:rsidR="00C8187D" w:rsidRPr="00BC00AC" w:rsidRDefault="00BF3026" w:rsidP="00BF302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C00AC">
              <w:rPr>
                <w:rFonts w:ascii="Times New Roman" w:eastAsia="Arial" w:hAnsi="Times New Roman" w:cs="Times New Roman"/>
                <w:sz w:val="22"/>
                <w:szCs w:val="22"/>
              </w:rPr>
              <w:t>7.98 (2.05)</w:t>
            </w:r>
          </w:p>
        </w:tc>
      </w:tr>
      <w:tr w:rsidR="00BC00AC" w:rsidRPr="00BC00AC" w14:paraId="0B0B3F2D" w14:textId="77777777" w:rsidTr="00C8187D">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AE9C7" w14:textId="77777777" w:rsidR="00C8187D" w:rsidRPr="00BC00AC" w:rsidRDefault="00BF3026" w:rsidP="00BF3026">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BC00AC">
              <w:rPr>
                <w:rFonts w:ascii="Times New Roman" w:eastAsia="Arial" w:hAnsi="Times New Roman" w:cs="Times New Roman"/>
                <w:sz w:val="22"/>
                <w:szCs w:val="22"/>
              </w:rPr>
              <w:t>SAT</w:t>
            </w:r>
          </w:p>
        </w:tc>
        <w:tc>
          <w:tcPr>
            <w:tcW w:w="15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74C6A" w14:textId="77777777" w:rsidR="00C8187D" w:rsidRPr="00BC00AC" w:rsidRDefault="00BF3026" w:rsidP="00BF302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C00AC">
              <w:rPr>
                <w:rFonts w:ascii="Times New Roman" w:eastAsia="Arial" w:hAnsi="Times New Roman" w:cs="Times New Roman"/>
                <w:sz w:val="22"/>
                <w:szCs w:val="22"/>
              </w:rPr>
              <w:t>1,083 (144)</w:t>
            </w:r>
          </w:p>
        </w:tc>
      </w:tr>
      <w:tr w:rsidR="00BC00AC" w:rsidRPr="00BC00AC" w14:paraId="139D3936" w14:textId="77777777" w:rsidTr="00C8187D">
        <w:trPr>
          <w:jc w:val="center"/>
        </w:trPr>
        <w:tc>
          <w:tcPr>
            <w:tcW w:w="18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9834B75" w14:textId="77777777" w:rsidR="00C8187D" w:rsidRPr="00BC00AC" w:rsidRDefault="00BF3026" w:rsidP="00BF3026">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BC00AC">
              <w:rPr>
                <w:rFonts w:ascii="Times New Roman" w:eastAsia="Arial" w:hAnsi="Times New Roman" w:cs="Times New Roman"/>
                <w:sz w:val="22"/>
                <w:szCs w:val="22"/>
              </w:rPr>
              <w:t>Activities</w:t>
            </w:r>
          </w:p>
        </w:tc>
        <w:tc>
          <w:tcPr>
            <w:tcW w:w="153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F2A47D" w14:textId="77777777" w:rsidR="00C8187D" w:rsidRPr="00BC00AC" w:rsidRDefault="00BF3026" w:rsidP="00BF302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C00AC">
              <w:rPr>
                <w:rFonts w:ascii="Times New Roman" w:eastAsia="Arial" w:hAnsi="Times New Roman" w:cs="Times New Roman"/>
                <w:sz w:val="22"/>
                <w:szCs w:val="22"/>
              </w:rPr>
              <w:t>4.8 (3.3)</w:t>
            </w:r>
          </w:p>
        </w:tc>
      </w:tr>
      <w:tr w:rsidR="00BC00AC" w:rsidRPr="00BC00AC" w14:paraId="0B044AD7" w14:textId="77777777" w:rsidTr="00C8187D">
        <w:trPr>
          <w:jc w:val="center"/>
        </w:trPr>
        <w:tc>
          <w:tcPr>
            <w:tcW w:w="3414"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1A89261" w14:textId="77777777" w:rsidR="00C8187D" w:rsidRPr="00BC00AC" w:rsidRDefault="00BF3026" w:rsidP="00BF3026">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BC00AC">
              <w:rPr>
                <w:rFonts w:ascii="Times New Roman" w:eastAsia="Arial" w:hAnsi="Times New Roman" w:cs="Times New Roman"/>
                <w:sz w:val="22"/>
                <w:szCs w:val="22"/>
                <w:vertAlign w:val="superscript"/>
              </w:rPr>
              <w:t>1</w:t>
            </w:r>
            <w:r w:rsidRPr="00BC00AC">
              <w:rPr>
                <w:rFonts w:ascii="Times New Roman" w:eastAsia="Arial" w:hAnsi="Times New Roman" w:cs="Times New Roman"/>
                <w:sz w:val="22"/>
                <w:szCs w:val="22"/>
              </w:rPr>
              <w:t>Mean (SD)</w:t>
            </w:r>
          </w:p>
        </w:tc>
      </w:tr>
    </w:tbl>
    <w:p w14:paraId="3EB7C50A" w14:textId="77777777" w:rsidR="00C8187D" w:rsidRPr="00BC00AC" w:rsidRDefault="00BF3026" w:rsidP="00BC00AC">
      <w:pPr>
        <w:pStyle w:val="BodyText"/>
        <w:spacing w:line="480" w:lineRule="auto"/>
        <w:rPr>
          <w:rFonts w:ascii="Times New Roman" w:hAnsi="Times New Roman" w:cs="Times New Roman"/>
        </w:rPr>
      </w:pPr>
      <w:r w:rsidRPr="00BC00AC">
        <w:rPr>
          <w:rFonts w:ascii="Times New Roman" w:hAnsi="Times New Roman" w:cs="Times New Roman"/>
          <w:i/>
          <w:iCs/>
        </w:rPr>
        <w:t>Note.</w:t>
      </w:r>
      <w:r w:rsidRPr="00BC00AC">
        <w:rPr>
          <w:rFonts w:ascii="Times New Roman" w:hAnsi="Times New Roman" w:cs="Times New Roman"/>
        </w:rPr>
        <w:t xml:space="preserve"> </w:t>
      </w:r>
      <w:r w:rsidRPr="00BC00AC">
        <w:rPr>
          <w:rFonts w:ascii="Times New Roman" w:hAnsi="Times New Roman" w:cs="Times New Roman"/>
        </w:rPr>
        <w:t>GPA = Grade Point Average; SAT = Scholastic Assessment Test. GPA is measured on a 12-point scale. SAT scores range from 400 to 1,600. Extracurricular activities represent average hours per week spent in organized activities during the final year of high sc</w:t>
      </w:r>
      <w:r w:rsidRPr="00BC00AC">
        <w:rPr>
          <w:rFonts w:ascii="Times New Roman" w:hAnsi="Times New Roman" w:cs="Times New Roman"/>
        </w:rPr>
        <w:t>hool.</w:t>
      </w:r>
    </w:p>
    <w:p w14:paraId="2B0EED8C" w14:textId="77777777" w:rsidR="00C8187D" w:rsidRPr="00BC00AC" w:rsidRDefault="00BF3026" w:rsidP="00BC00AC">
      <w:pPr>
        <w:pStyle w:val="Heading3"/>
        <w:spacing w:line="480" w:lineRule="auto"/>
        <w:rPr>
          <w:rFonts w:ascii="Times New Roman" w:hAnsi="Times New Roman" w:cs="Times New Roman"/>
          <w:color w:val="auto"/>
        </w:rPr>
      </w:pPr>
      <w:bookmarkStart w:id="5" w:name="correlation-analysis"/>
      <w:bookmarkEnd w:id="4"/>
      <w:r w:rsidRPr="00BC00AC">
        <w:rPr>
          <w:rFonts w:ascii="Times New Roman" w:hAnsi="Times New Roman" w:cs="Times New Roman"/>
          <w:color w:val="auto"/>
        </w:rPr>
        <w:t>Correlation Analysis</w:t>
      </w:r>
    </w:p>
    <w:p w14:paraId="1E33F066" w14:textId="6199A860" w:rsidR="00C8187D" w:rsidRPr="00BC00AC" w:rsidRDefault="00BF3026" w:rsidP="00BF3026">
      <w:pPr>
        <w:pStyle w:val="FirstParagraph"/>
        <w:spacing w:line="480" w:lineRule="auto"/>
        <w:ind w:firstLine="720"/>
        <w:rPr>
          <w:rFonts w:ascii="Times New Roman" w:hAnsi="Times New Roman" w:cs="Times New Roman"/>
        </w:rPr>
      </w:pPr>
      <w:r w:rsidRPr="00BC00AC">
        <w:rPr>
          <w:rFonts w:ascii="Times New Roman" w:hAnsi="Times New Roman" w:cs="Times New Roman"/>
        </w:rPr>
        <w:t>Some notable patterns were observed in the analysis of the relationships between variables. High school GPA was moderately positively related to university GPA, r =.53, p &lt;.05, indicating that students who did well at high school</w:t>
      </w:r>
      <w:r w:rsidRPr="00BC00AC">
        <w:rPr>
          <w:rFonts w:ascii="Times New Roman" w:hAnsi="Times New Roman" w:cs="Times New Roman"/>
        </w:rPr>
        <w:t xml:space="preserve"> tended to continue doing well at university. Extracurricular activities were weakly positively related to university GPA, r =.12, and high school GPA, r =.13; neither of these relationships was significant.</w:t>
      </w:r>
      <w:r>
        <w:rPr>
          <w:rFonts w:ascii="Times New Roman" w:hAnsi="Times New Roman" w:cs="Times New Roman"/>
        </w:rPr>
        <w:t xml:space="preserve"> </w:t>
      </w:r>
      <w:r w:rsidRPr="00BC00AC">
        <w:rPr>
          <w:rFonts w:ascii="Times New Roman" w:hAnsi="Times New Roman" w:cs="Times New Roman"/>
        </w:rPr>
        <w:t>Even more intriguingly, SAT scores almost do not</w:t>
      </w:r>
      <w:r w:rsidRPr="00BC00AC">
        <w:rPr>
          <w:rFonts w:ascii="Times New Roman" w:hAnsi="Times New Roman" w:cs="Times New Roman"/>
        </w:rPr>
        <w:t xml:space="preserve"> correlate with university GPA, r =.02 and a low negative in high school, r = -.10. The result showed that SAT also correlates poorly and a low negative to the extent of extracurricular activities, r = -.17.</w:t>
      </w:r>
    </w:p>
    <w:p w14:paraId="499A306D" w14:textId="77777777" w:rsidR="00C8187D" w:rsidRPr="00BC00AC" w:rsidRDefault="00BF3026" w:rsidP="00BC00AC">
      <w:pPr>
        <w:pStyle w:val="BodyText"/>
        <w:spacing w:line="480" w:lineRule="auto"/>
        <w:jc w:val="center"/>
        <w:rPr>
          <w:rFonts w:ascii="Times New Roman" w:hAnsi="Times New Roman" w:cs="Times New Roman"/>
        </w:rPr>
      </w:pPr>
      <w:r w:rsidRPr="00BC00AC">
        <w:rPr>
          <w:rFonts w:ascii="Times New Roman" w:hAnsi="Times New Roman" w:cs="Times New Roman"/>
          <w:noProof/>
        </w:rPr>
        <w:lastRenderedPageBreak/>
        <w:drawing>
          <wp:inline distT="0" distB="0" distL="0" distR="0" wp14:anchorId="5CCCE74C" wp14:editId="0D14E474">
            <wp:extent cx="4333875" cy="324802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gression-Analysis_files/figure-docx/unnamed-chunk-5-1.png"/>
                    <pic:cNvPicPr>
                      <a:picLocks noChangeAspect="1" noChangeArrowheads="1"/>
                    </pic:cNvPicPr>
                  </pic:nvPicPr>
                  <pic:blipFill>
                    <a:blip r:embed="rId5"/>
                    <a:stretch>
                      <a:fillRect/>
                    </a:stretch>
                  </pic:blipFill>
                  <pic:spPr bwMode="auto">
                    <a:xfrm>
                      <a:off x="0" y="0"/>
                      <a:ext cx="4334352" cy="3248382"/>
                    </a:xfrm>
                    <a:prstGeom prst="rect">
                      <a:avLst/>
                    </a:prstGeom>
                    <a:noFill/>
                    <a:ln w="9525">
                      <a:noFill/>
                      <a:headEnd/>
                      <a:tailEnd/>
                    </a:ln>
                  </pic:spPr>
                </pic:pic>
              </a:graphicData>
            </a:graphic>
          </wp:inline>
        </w:drawing>
      </w:r>
    </w:p>
    <w:p w14:paraId="3B40A85B" w14:textId="77777777" w:rsidR="00C8187D" w:rsidRPr="00BC00AC" w:rsidRDefault="00BF3026" w:rsidP="00BC00AC">
      <w:pPr>
        <w:pStyle w:val="BodyText"/>
        <w:spacing w:line="480" w:lineRule="auto"/>
        <w:rPr>
          <w:rFonts w:ascii="Times New Roman" w:hAnsi="Times New Roman" w:cs="Times New Roman"/>
        </w:rPr>
      </w:pPr>
      <w:r w:rsidRPr="00BC00AC">
        <w:rPr>
          <w:rFonts w:ascii="Times New Roman" w:hAnsi="Times New Roman" w:cs="Times New Roman"/>
          <w:i/>
          <w:iCs/>
        </w:rPr>
        <w:t>Note.</w:t>
      </w:r>
      <w:r w:rsidRPr="00BC00AC">
        <w:rPr>
          <w:rFonts w:ascii="Times New Roman" w:hAnsi="Times New Roman" w:cs="Times New Roman"/>
        </w:rPr>
        <w:t xml:space="preserve"> </w:t>
      </w:r>
      <w:r w:rsidRPr="00BC00AC">
        <w:rPr>
          <w:rFonts w:ascii="Times New Roman" w:hAnsi="Times New Roman" w:cs="Times New Roman"/>
        </w:rPr>
        <w:t>N = 100. GPA = Grade Point Average; SAT = Scholastic Assessment Test.</w:t>
      </w:r>
    </w:p>
    <w:p w14:paraId="3A876DF8" w14:textId="77777777" w:rsidR="00C8187D" w:rsidRPr="00BC00AC" w:rsidRDefault="00BF3026" w:rsidP="00BC00AC">
      <w:pPr>
        <w:pStyle w:val="Heading2"/>
        <w:spacing w:line="480" w:lineRule="auto"/>
        <w:rPr>
          <w:rFonts w:ascii="Times New Roman" w:hAnsi="Times New Roman" w:cs="Times New Roman"/>
          <w:color w:val="auto"/>
        </w:rPr>
      </w:pPr>
      <w:bookmarkStart w:id="6" w:name="regression-analysis"/>
      <w:bookmarkEnd w:id="3"/>
      <w:bookmarkEnd w:id="5"/>
      <w:r w:rsidRPr="00BC00AC">
        <w:rPr>
          <w:rFonts w:ascii="Times New Roman" w:hAnsi="Times New Roman" w:cs="Times New Roman"/>
          <w:color w:val="auto"/>
        </w:rPr>
        <w:t>Regression Analysis</w:t>
      </w:r>
    </w:p>
    <w:p w14:paraId="74356D52" w14:textId="39B48687" w:rsidR="00C8187D" w:rsidRPr="00BC00AC" w:rsidRDefault="00BF3026" w:rsidP="00BF3026">
      <w:pPr>
        <w:pStyle w:val="FirstParagraph"/>
        <w:spacing w:line="480" w:lineRule="auto"/>
        <w:ind w:firstLine="720"/>
        <w:rPr>
          <w:rFonts w:ascii="Times New Roman" w:hAnsi="Times New Roman" w:cs="Times New Roman"/>
        </w:rPr>
      </w:pPr>
      <w:r w:rsidRPr="00BC00AC">
        <w:rPr>
          <w:rFonts w:ascii="Times New Roman" w:hAnsi="Times New Roman" w:cs="Times New Roman"/>
        </w:rPr>
        <w:t xml:space="preserve">Multiple regression was conducted to predict university GPA based on high school GPA, SAT scores, and extracurricular activities. Overall, the model was significant, </w:t>
      </w:r>
      <w:proofErr w:type="gramStart"/>
      <w:r w:rsidRPr="00BC00AC">
        <w:rPr>
          <w:rFonts w:ascii="Times New Roman" w:hAnsi="Times New Roman" w:cs="Times New Roman"/>
        </w:rPr>
        <w:t>F(</w:t>
      </w:r>
      <w:proofErr w:type="gramEnd"/>
      <w:r w:rsidRPr="00BC00AC">
        <w:rPr>
          <w:rFonts w:ascii="Times New Roman" w:hAnsi="Times New Roman" w:cs="Times New Roman"/>
        </w:rPr>
        <w:t>3, 76) = 11.45, p &lt;.001, accounting for 17% of the variance in university GPA (R² =.17).</w:t>
      </w:r>
      <w:r>
        <w:rPr>
          <w:rFonts w:ascii="Times New Roman" w:hAnsi="Times New Roman" w:cs="Times New Roman"/>
        </w:rPr>
        <w:t xml:space="preserve"> </w:t>
      </w:r>
      <w:r w:rsidRPr="00BC00AC">
        <w:rPr>
          <w:rFonts w:ascii="Times New Roman" w:hAnsi="Times New Roman" w:cs="Times New Roman"/>
        </w:rPr>
        <w:t>High sch</w:t>
      </w:r>
      <w:r w:rsidRPr="00BC00AC">
        <w:rPr>
          <w:rFonts w:ascii="Times New Roman" w:hAnsi="Times New Roman" w:cs="Times New Roman"/>
        </w:rPr>
        <w:t>ool GPA was the sole significant predictor of university GPA, β = 1.27, SE = 0.23, p &lt;.001. The SAT scores were not a significant predictor, β = 0.16, SE = 0.23, p =.48, neither were the extracurricular activities, β = 0.30, SE = 0.23, p =.20. This model c</w:t>
      </w:r>
      <w:r w:rsidRPr="00BC00AC">
        <w:rPr>
          <w:rFonts w:ascii="Times New Roman" w:hAnsi="Times New Roman" w:cs="Times New Roman"/>
        </w:rPr>
        <w:t>an be represented as:</w:t>
      </w:r>
    </w:p>
    <w:p w14:paraId="40AFE850" w14:textId="37799D56" w:rsidR="00C8187D" w:rsidRPr="00BC00AC" w:rsidRDefault="00BF3026" w:rsidP="00BC00AC">
      <w:pPr>
        <w:pStyle w:val="BodyText"/>
        <w:spacing w:line="480" w:lineRule="auto"/>
        <w:rPr>
          <w:rFonts w:ascii="Times New Roman" w:hAnsi="Times New Roman" w:cs="Times New Roman"/>
        </w:rPr>
      </w:pPr>
      <m:oMathPara>
        <m:oMath>
          <m:r>
            <w:rPr>
              <w:rFonts w:ascii="Cambria Math" w:hAnsi="Cambria Math" w:cs="Times New Roman"/>
            </w:rPr>
            <m:t>University GPA = 7.50 + 1.27(HS_GPA) + 0.16(SAT) + 0.30(Activities)</m:t>
          </m:r>
        </m:oMath>
      </m:oMathPara>
    </w:p>
    <w:tbl>
      <w:tblPr>
        <w:tblStyle w:val="TableGrid"/>
        <w:tblW w:w="0" w:type="auto"/>
        <w:tblLook w:val="04A0" w:firstRow="1" w:lastRow="0" w:firstColumn="1" w:lastColumn="0" w:noHBand="0" w:noVBand="1"/>
      </w:tblPr>
      <w:tblGrid>
        <w:gridCol w:w="1915"/>
        <w:gridCol w:w="1915"/>
        <w:gridCol w:w="1915"/>
        <w:gridCol w:w="1915"/>
        <w:gridCol w:w="1916"/>
      </w:tblGrid>
      <w:tr w:rsidR="00BC00AC" w:rsidRPr="00BC00AC" w14:paraId="6EFE984A" w14:textId="77777777" w:rsidTr="00CF7450">
        <w:tc>
          <w:tcPr>
            <w:tcW w:w="1915" w:type="dxa"/>
          </w:tcPr>
          <w:p w14:paraId="7CD9F8C6"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term</w:t>
            </w:r>
          </w:p>
        </w:tc>
        <w:tc>
          <w:tcPr>
            <w:tcW w:w="1915" w:type="dxa"/>
          </w:tcPr>
          <w:p w14:paraId="5129AFC0"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estimate</w:t>
            </w:r>
          </w:p>
        </w:tc>
        <w:tc>
          <w:tcPr>
            <w:tcW w:w="1915" w:type="dxa"/>
          </w:tcPr>
          <w:p w14:paraId="47484146" w14:textId="77777777" w:rsidR="00CF7450" w:rsidRPr="00BC00AC" w:rsidRDefault="00CF7450" w:rsidP="00BF3026">
            <w:pPr>
              <w:pStyle w:val="BodyText"/>
              <w:rPr>
                <w:rFonts w:ascii="Times New Roman" w:hAnsi="Times New Roman" w:cs="Times New Roman"/>
              </w:rPr>
            </w:pPr>
            <w:proofErr w:type="spellStart"/>
            <w:proofErr w:type="gramStart"/>
            <w:r w:rsidRPr="00BC00AC">
              <w:rPr>
                <w:rFonts w:ascii="Times New Roman" w:hAnsi="Times New Roman" w:cs="Times New Roman"/>
              </w:rPr>
              <w:t>std.error</w:t>
            </w:r>
            <w:proofErr w:type="spellEnd"/>
            <w:proofErr w:type="gramEnd"/>
          </w:p>
        </w:tc>
        <w:tc>
          <w:tcPr>
            <w:tcW w:w="1915" w:type="dxa"/>
          </w:tcPr>
          <w:p w14:paraId="39FD032E"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statistic</w:t>
            </w:r>
          </w:p>
        </w:tc>
        <w:tc>
          <w:tcPr>
            <w:tcW w:w="1916" w:type="dxa"/>
          </w:tcPr>
          <w:p w14:paraId="3A6FD301" w14:textId="77777777" w:rsidR="00CF7450" w:rsidRPr="00BC00AC" w:rsidRDefault="00CF7450" w:rsidP="00BF3026">
            <w:pPr>
              <w:pStyle w:val="BodyText"/>
              <w:rPr>
                <w:rFonts w:ascii="Times New Roman" w:hAnsi="Times New Roman" w:cs="Times New Roman"/>
              </w:rPr>
            </w:pPr>
            <w:proofErr w:type="spellStart"/>
            <w:r w:rsidRPr="00BC00AC">
              <w:rPr>
                <w:rFonts w:ascii="Times New Roman" w:hAnsi="Times New Roman" w:cs="Times New Roman"/>
              </w:rPr>
              <w:t>p.value</w:t>
            </w:r>
            <w:proofErr w:type="spellEnd"/>
          </w:p>
        </w:tc>
      </w:tr>
      <w:tr w:rsidR="00BC00AC" w:rsidRPr="00BC00AC" w14:paraId="120F14F5" w14:textId="77777777" w:rsidTr="00CF7450">
        <w:tc>
          <w:tcPr>
            <w:tcW w:w="1915" w:type="dxa"/>
          </w:tcPr>
          <w:p w14:paraId="3825414D"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(Intercept)</w:t>
            </w:r>
          </w:p>
        </w:tc>
        <w:tc>
          <w:tcPr>
            <w:tcW w:w="1915" w:type="dxa"/>
          </w:tcPr>
          <w:p w14:paraId="0846E88A"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7.50</w:t>
            </w:r>
          </w:p>
        </w:tc>
        <w:tc>
          <w:tcPr>
            <w:tcW w:w="1915" w:type="dxa"/>
          </w:tcPr>
          <w:p w14:paraId="2353A723"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0.23</w:t>
            </w:r>
          </w:p>
        </w:tc>
        <w:tc>
          <w:tcPr>
            <w:tcW w:w="1915" w:type="dxa"/>
          </w:tcPr>
          <w:p w14:paraId="5B3FBB9C"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33.28</w:t>
            </w:r>
          </w:p>
        </w:tc>
        <w:tc>
          <w:tcPr>
            <w:tcW w:w="1916" w:type="dxa"/>
          </w:tcPr>
          <w:p w14:paraId="370D3DF8"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0.00</w:t>
            </w:r>
          </w:p>
        </w:tc>
      </w:tr>
      <w:tr w:rsidR="00BC00AC" w:rsidRPr="00BC00AC" w14:paraId="360B6A29" w14:textId="77777777" w:rsidTr="00CF7450">
        <w:tc>
          <w:tcPr>
            <w:tcW w:w="1915" w:type="dxa"/>
          </w:tcPr>
          <w:p w14:paraId="67A3C7E1"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lastRenderedPageBreak/>
              <w:t>HS_GPA</w:t>
            </w:r>
          </w:p>
        </w:tc>
        <w:tc>
          <w:tcPr>
            <w:tcW w:w="1915" w:type="dxa"/>
          </w:tcPr>
          <w:p w14:paraId="1137EA84"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1.27</w:t>
            </w:r>
          </w:p>
        </w:tc>
        <w:tc>
          <w:tcPr>
            <w:tcW w:w="1915" w:type="dxa"/>
          </w:tcPr>
          <w:p w14:paraId="292C9362"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0.23</w:t>
            </w:r>
          </w:p>
        </w:tc>
        <w:tc>
          <w:tcPr>
            <w:tcW w:w="1915" w:type="dxa"/>
          </w:tcPr>
          <w:p w14:paraId="2E1EF0BE"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5.56</w:t>
            </w:r>
          </w:p>
        </w:tc>
        <w:tc>
          <w:tcPr>
            <w:tcW w:w="1916" w:type="dxa"/>
          </w:tcPr>
          <w:p w14:paraId="74067034"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0.00</w:t>
            </w:r>
          </w:p>
        </w:tc>
      </w:tr>
      <w:tr w:rsidR="00BC00AC" w:rsidRPr="00BC00AC" w14:paraId="7A87ED54" w14:textId="77777777" w:rsidTr="00CF7450">
        <w:tc>
          <w:tcPr>
            <w:tcW w:w="1915" w:type="dxa"/>
          </w:tcPr>
          <w:p w14:paraId="6EF476B1"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SAT</w:t>
            </w:r>
          </w:p>
        </w:tc>
        <w:tc>
          <w:tcPr>
            <w:tcW w:w="1915" w:type="dxa"/>
          </w:tcPr>
          <w:p w14:paraId="337A4F4D"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0.16</w:t>
            </w:r>
          </w:p>
        </w:tc>
        <w:tc>
          <w:tcPr>
            <w:tcW w:w="1915" w:type="dxa"/>
          </w:tcPr>
          <w:p w14:paraId="7640FF22"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0.23</w:t>
            </w:r>
          </w:p>
        </w:tc>
        <w:tc>
          <w:tcPr>
            <w:tcW w:w="1915" w:type="dxa"/>
          </w:tcPr>
          <w:p w14:paraId="3688A41A"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0.71</w:t>
            </w:r>
          </w:p>
        </w:tc>
        <w:tc>
          <w:tcPr>
            <w:tcW w:w="1916" w:type="dxa"/>
          </w:tcPr>
          <w:p w14:paraId="330C50E3"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0.48</w:t>
            </w:r>
          </w:p>
        </w:tc>
      </w:tr>
      <w:tr w:rsidR="00BC00AC" w:rsidRPr="00BC00AC" w14:paraId="51D1C339" w14:textId="77777777" w:rsidTr="00CF7450">
        <w:tc>
          <w:tcPr>
            <w:tcW w:w="1915" w:type="dxa"/>
          </w:tcPr>
          <w:p w14:paraId="4BA899B0"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Activities</w:t>
            </w:r>
          </w:p>
        </w:tc>
        <w:tc>
          <w:tcPr>
            <w:tcW w:w="1915" w:type="dxa"/>
          </w:tcPr>
          <w:p w14:paraId="1E1CDD9D"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0.30</w:t>
            </w:r>
          </w:p>
        </w:tc>
        <w:tc>
          <w:tcPr>
            <w:tcW w:w="1915" w:type="dxa"/>
          </w:tcPr>
          <w:p w14:paraId="546EA05B"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0.23</w:t>
            </w:r>
          </w:p>
        </w:tc>
        <w:tc>
          <w:tcPr>
            <w:tcW w:w="1915" w:type="dxa"/>
          </w:tcPr>
          <w:p w14:paraId="330AB879"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1.29</w:t>
            </w:r>
          </w:p>
        </w:tc>
        <w:tc>
          <w:tcPr>
            <w:tcW w:w="1916" w:type="dxa"/>
          </w:tcPr>
          <w:p w14:paraId="3D53C5A3" w14:textId="77777777" w:rsidR="00CF7450" w:rsidRPr="00BC00AC" w:rsidRDefault="00CF7450" w:rsidP="00BF3026">
            <w:pPr>
              <w:pStyle w:val="BodyText"/>
              <w:rPr>
                <w:rFonts w:ascii="Times New Roman" w:hAnsi="Times New Roman" w:cs="Times New Roman"/>
              </w:rPr>
            </w:pPr>
            <w:r w:rsidRPr="00BC00AC">
              <w:rPr>
                <w:rFonts w:ascii="Times New Roman" w:hAnsi="Times New Roman" w:cs="Times New Roman"/>
              </w:rPr>
              <w:t>0.20</w:t>
            </w:r>
          </w:p>
        </w:tc>
      </w:tr>
    </w:tbl>
    <w:p w14:paraId="1AEBBC79" w14:textId="2AA4AE42" w:rsidR="00C8187D" w:rsidRPr="00BC00AC" w:rsidRDefault="00BF3026" w:rsidP="00BC00AC">
      <w:pPr>
        <w:pStyle w:val="BodyText"/>
        <w:spacing w:line="480" w:lineRule="auto"/>
        <w:rPr>
          <w:rFonts w:ascii="Times New Roman" w:hAnsi="Times New Roman" w:cs="Times New Roman"/>
        </w:rPr>
      </w:pPr>
      <w:r w:rsidRPr="00BC00AC">
        <w:rPr>
          <w:rFonts w:ascii="Times New Roman" w:hAnsi="Times New Roman" w:cs="Times New Roman"/>
        </w:rPr>
        <w:t>The model’s performance in making predictions was checked against a test set; this yielded an RMSE of 2.15 and an MAE of 1.84. Given these error metrics and considering the actual versus predicted value visualization shown in Figure 1, moderate predi</w:t>
      </w:r>
      <w:r w:rsidRPr="00BC00AC">
        <w:rPr>
          <w:rFonts w:ascii="Times New Roman" w:hAnsi="Times New Roman" w:cs="Times New Roman"/>
        </w:rPr>
        <w:t>ctive capability with some deviation from perfect prediction was depicted.</w:t>
      </w:r>
    </w:p>
    <w:p w14:paraId="6C401D7E" w14:textId="4A3102FD" w:rsidR="00C8187D" w:rsidRPr="00BC00AC" w:rsidRDefault="00BF3026" w:rsidP="00BF3026">
      <w:pPr>
        <w:pStyle w:val="BodyText"/>
        <w:spacing w:line="360" w:lineRule="auto"/>
        <w:rPr>
          <w:rFonts w:ascii="Times New Roman" w:hAnsi="Times New Roman" w:cs="Times New Roman"/>
        </w:rPr>
      </w:pPr>
      <w:r w:rsidRPr="00BC00AC">
        <w:rPr>
          <w:rFonts w:ascii="Times New Roman" w:hAnsi="Times New Roman" w:cs="Times New Roman"/>
          <w:b/>
          <w:bCs/>
        </w:rPr>
        <w:t>Figure 1</w:t>
      </w:r>
      <w:r w:rsidRPr="00BC00AC">
        <w:rPr>
          <w:rFonts w:ascii="Times New Roman" w:hAnsi="Times New Roman" w:cs="Times New Roman"/>
        </w:rPr>
        <w:br/>
      </w:r>
      <w:r w:rsidRPr="00BC00AC">
        <w:rPr>
          <w:rFonts w:ascii="Times New Roman" w:hAnsi="Times New Roman" w:cs="Times New Roman"/>
          <w:i/>
          <w:iCs/>
        </w:rPr>
        <w:t>Scatter Plot of Actual versus Predicted University GPA</w:t>
      </w:r>
    </w:p>
    <w:p w14:paraId="72B8667A" w14:textId="77777777" w:rsidR="00C8187D" w:rsidRPr="00BC00AC" w:rsidRDefault="00BF3026" w:rsidP="00BC00AC">
      <w:pPr>
        <w:pStyle w:val="BodyText"/>
        <w:spacing w:line="480" w:lineRule="auto"/>
        <w:jc w:val="center"/>
        <w:rPr>
          <w:rFonts w:ascii="Times New Roman" w:hAnsi="Times New Roman" w:cs="Times New Roman"/>
        </w:rPr>
      </w:pPr>
      <w:r w:rsidRPr="00BC00AC">
        <w:rPr>
          <w:rFonts w:ascii="Times New Roman" w:hAnsi="Times New Roman" w:cs="Times New Roman"/>
          <w:noProof/>
        </w:rPr>
        <w:drawing>
          <wp:inline distT="0" distB="0" distL="0" distR="0" wp14:anchorId="0D1B1645" wp14:editId="6331FEA6">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egression-Analysis_files/figure-docx/unnamed-chunk-10-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7405254" w14:textId="558CE510" w:rsidR="00C8187D" w:rsidRPr="00BC00AC" w:rsidRDefault="00BF3026" w:rsidP="00BC00AC">
      <w:pPr>
        <w:pStyle w:val="BodyText"/>
        <w:spacing w:line="480" w:lineRule="auto"/>
        <w:rPr>
          <w:rFonts w:ascii="Times New Roman" w:hAnsi="Times New Roman" w:cs="Times New Roman"/>
        </w:rPr>
      </w:pPr>
      <w:r>
        <w:rPr>
          <w:rFonts w:ascii="Times New Roman" w:hAnsi="Times New Roman" w:cs="Times New Roman"/>
          <w:i/>
          <w:iCs/>
        </w:rPr>
        <w:t xml:space="preserve">Note: </w:t>
      </w:r>
      <w:r w:rsidRPr="00BC00AC">
        <w:rPr>
          <w:rFonts w:ascii="Times New Roman" w:hAnsi="Times New Roman" w:cs="Times New Roman"/>
        </w:rPr>
        <w:t>Figure shows a scatter plot with actual GPA on the x-axis and predicted GPA on the y-axis, with points showing moderate dispersion around the diagonal line of perfect prediction</w:t>
      </w:r>
    </w:p>
    <w:p w14:paraId="69A32BAB" w14:textId="77777777" w:rsidR="00C8187D" w:rsidRPr="00BC00AC" w:rsidRDefault="00BF3026" w:rsidP="00BC00AC">
      <w:pPr>
        <w:pStyle w:val="BodyText"/>
        <w:spacing w:line="480" w:lineRule="auto"/>
        <w:rPr>
          <w:rFonts w:ascii="Times New Roman" w:hAnsi="Times New Roman" w:cs="Times New Roman"/>
        </w:rPr>
      </w:pPr>
      <w:r w:rsidRPr="00BC00AC">
        <w:rPr>
          <w:rFonts w:ascii="Times New Roman" w:hAnsi="Times New Roman" w:cs="Times New Roman"/>
        </w:rPr>
        <w:lastRenderedPageBreak/>
        <w:t>Model diagnostics-A</w:t>
      </w:r>
      <w:r w:rsidRPr="00BC00AC">
        <w:rPr>
          <w:rFonts w:ascii="Times New Roman" w:hAnsi="Times New Roman" w:cs="Times New Roman"/>
        </w:rPr>
        <w:t>IC = 344.99 and BIC = 356.90-and the scatter plot of predicted versus actual values indicate that although the model captures some meaningful relationships, there might be other factors that influence university academic performance not taken into consider</w:t>
      </w:r>
      <w:r w:rsidRPr="00BC00AC">
        <w:rPr>
          <w:rFonts w:ascii="Times New Roman" w:hAnsi="Times New Roman" w:cs="Times New Roman"/>
        </w:rPr>
        <w:t>ation in this model.</w:t>
      </w:r>
    </w:p>
    <w:p w14:paraId="33CF2014" w14:textId="77777777" w:rsidR="00C8187D" w:rsidRPr="00BC00AC" w:rsidRDefault="00BF3026" w:rsidP="00BF3026">
      <w:pPr>
        <w:pStyle w:val="BodyText"/>
        <w:spacing w:line="480" w:lineRule="auto"/>
        <w:ind w:firstLine="720"/>
        <w:rPr>
          <w:rFonts w:ascii="Times New Roman" w:hAnsi="Times New Roman" w:cs="Times New Roman"/>
        </w:rPr>
      </w:pPr>
      <w:r w:rsidRPr="00BC00AC">
        <w:rPr>
          <w:rFonts w:ascii="Times New Roman" w:hAnsi="Times New Roman" w:cs="Times New Roman"/>
        </w:rPr>
        <w:t xml:space="preserve">These findings indicate that high school GPA is still a valid predictor of success at the university level, but SAT scores and extracurricular activities may be less valid predictors than traditionally believed. Admission officers may </w:t>
      </w:r>
      <w:r w:rsidRPr="00BC00AC">
        <w:rPr>
          <w:rFonts w:ascii="Times New Roman" w:hAnsi="Times New Roman" w:cs="Times New Roman"/>
        </w:rPr>
        <w:t>want to place more weight on applicants’ high school GPAs while de-emphasizing the applicant’s SAT scores and extracurricular activities as predictors of academic success.</w:t>
      </w:r>
    </w:p>
    <w:p w14:paraId="2C0E7AC1" w14:textId="77777777" w:rsidR="00C8187D" w:rsidRPr="00BC00AC" w:rsidRDefault="00BF3026" w:rsidP="00BF3026">
      <w:pPr>
        <w:pStyle w:val="Heading1"/>
        <w:rPr>
          <w:rFonts w:ascii="Times New Roman" w:hAnsi="Times New Roman" w:cs="Times New Roman"/>
          <w:color w:val="auto"/>
        </w:rPr>
      </w:pPr>
      <w:bookmarkStart w:id="7" w:name="conclusion"/>
      <w:bookmarkEnd w:id="2"/>
      <w:bookmarkEnd w:id="6"/>
      <w:r w:rsidRPr="00BC00AC">
        <w:rPr>
          <w:rFonts w:ascii="Times New Roman" w:hAnsi="Times New Roman" w:cs="Times New Roman"/>
          <w:color w:val="auto"/>
        </w:rPr>
        <w:t>Conclusion</w:t>
      </w:r>
    </w:p>
    <w:p w14:paraId="7DB96CCA" w14:textId="77777777" w:rsidR="00BF3026" w:rsidRDefault="00BF3026" w:rsidP="00BF3026">
      <w:pPr>
        <w:pStyle w:val="FirstParagraph"/>
        <w:spacing w:line="480" w:lineRule="auto"/>
        <w:ind w:firstLine="720"/>
        <w:rPr>
          <w:rFonts w:ascii="Times New Roman" w:hAnsi="Times New Roman" w:cs="Times New Roman"/>
        </w:rPr>
      </w:pPr>
      <w:r w:rsidRPr="00BC00AC">
        <w:rPr>
          <w:rFonts w:ascii="Times New Roman" w:hAnsi="Times New Roman" w:cs="Times New Roman"/>
        </w:rPr>
        <w:t xml:space="preserve">This study investigated the predictive relationships between traditional </w:t>
      </w:r>
      <w:r w:rsidRPr="00BC00AC">
        <w:rPr>
          <w:rFonts w:ascii="Times New Roman" w:hAnsi="Times New Roman" w:cs="Times New Roman"/>
        </w:rPr>
        <w:t>and non-traditional admission criteria and academic success at the university level. The findings yield several important implications for university admission policies and practices.</w:t>
      </w:r>
      <w:r>
        <w:rPr>
          <w:rFonts w:ascii="Times New Roman" w:hAnsi="Times New Roman" w:cs="Times New Roman"/>
        </w:rPr>
        <w:t xml:space="preserve"> </w:t>
      </w:r>
      <w:r w:rsidRPr="00BC00AC">
        <w:rPr>
          <w:rFonts w:ascii="Times New Roman" w:hAnsi="Times New Roman" w:cs="Times New Roman"/>
        </w:rPr>
        <w:t>The results of the analysis revealed that high school GPA is the best pr</w:t>
      </w:r>
      <w:r w:rsidRPr="00BC00AC">
        <w:rPr>
          <w:rFonts w:ascii="Times New Roman" w:hAnsi="Times New Roman" w:cs="Times New Roman"/>
        </w:rPr>
        <w:t>edictor of university academic performance, with a significant positive relationship with university GPA. Therefore, our finding is in consonance with earlier studies that academic achievements in high school serve to this day as the gold standard predicto</w:t>
      </w:r>
      <w:r w:rsidRPr="00BC00AC">
        <w:rPr>
          <w:rFonts w:ascii="Times New Roman" w:hAnsi="Times New Roman" w:cs="Times New Roman"/>
        </w:rPr>
        <w:t>r of future success at university.</w:t>
      </w:r>
    </w:p>
    <w:p w14:paraId="78CCABAA" w14:textId="08534637" w:rsidR="00C8187D" w:rsidRPr="00BC00AC" w:rsidRDefault="00BF3026" w:rsidP="00BF3026">
      <w:pPr>
        <w:pStyle w:val="FirstParagraph"/>
        <w:spacing w:line="480" w:lineRule="auto"/>
        <w:ind w:firstLine="720"/>
        <w:rPr>
          <w:rFonts w:ascii="Times New Roman" w:hAnsi="Times New Roman" w:cs="Times New Roman"/>
        </w:rPr>
      </w:pPr>
      <w:r w:rsidRPr="00BC00AC">
        <w:rPr>
          <w:rFonts w:ascii="Times New Roman" w:hAnsi="Times New Roman" w:cs="Times New Roman"/>
        </w:rPr>
        <w:t>However, academic achievement or success in higher education obviously became an intricate phenomenon that our proposed model could explain no more than 17% of its variation using the variables considered here.</w:t>
      </w:r>
    </w:p>
    <w:p w14:paraId="5EE29596" w14:textId="77777777" w:rsidR="00C8187D" w:rsidRPr="00BC00AC" w:rsidRDefault="00BF3026" w:rsidP="00BC00AC">
      <w:pPr>
        <w:pStyle w:val="BodyText"/>
        <w:spacing w:line="480" w:lineRule="auto"/>
        <w:rPr>
          <w:rFonts w:ascii="Times New Roman" w:hAnsi="Times New Roman" w:cs="Times New Roman"/>
        </w:rPr>
      </w:pPr>
      <w:r w:rsidRPr="00BC00AC">
        <w:rPr>
          <w:rFonts w:ascii="Times New Roman" w:hAnsi="Times New Roman" w:cs="Times New Roman"/>
        </w:rPr>
        <w:t>Surprising</w:t>
      </w:r>
      <w:r w:rsidRPr="00BC00AC">
        <w:rPr>
          <w:rFonts w:ascii="Times New Roman" w:hAnsi="Times New Roman" w:cs="Times New Roman"/>
        </w:rPr>
        <w:t xml:space="preserve">ly, SAT scores did not show any significant relationship with university GPA, challenging the traditional emphasis placed on standardized testing in admission decisions. This </w:t>
      </w:r>
      <w:r w:rsidRPr="00BC00AC">
        <w:rPr>
          <w:rFonts w:ascii="Times New Roman" w:hAnsi="Times New Roman" w:cs="Times New Roman"/>
        </w:rPr>
        <w:lastRenderedPageBreak/>
        <w:t>finding adds to the ongoing debate about the value of standardized testing in pre</w:t>
      </w:r>
      <w:r w:rsidRPr="00BC00AC">
        <w:rPr>
          <w:rFonts w:ascii="Times New Roman" w:hAnsi="Times New Roman" w:cs="Times New Roman"/>
        </w:rPr>
        <w:t>dicting academic success and supports the growing trend among universities to adopt test-optional policies.</w:t>
      </w:r>
    </w:p>
    <w:p w14:paraId="35918D02" w14:textId="77777777" w:rsidR="00C8187D" w:rsidRPr="00BC00AC" w:rsidRDefault="00BF3026" w:rsidP="00BF3026">
      <w:pPr>
        <w:pStyle w:val="BodyText"/>
        <w:spacing w:line="480" w:lineRule="auto"/>
        <w:ind w:firstLine="720"/>
        <w:rPr>
          <w:rFonts w:ascii="Times New Roman" w:hAnsi="Times New Roman" w:cs="Times New Roman"/>
        </w:rPr>
      </w:pPr>
      <w:r w:rsidRPr="00BC00AC">
        <w:rPr>
          <w:rFonts w:ascii="Times New Roman" w:hAnsi="Times New Roman" w:cs="Times New Roman"/>
        </w:rPr>
        <w:t>Similarly, the hours spent in extracurricular activities, while showing a positive trend, did not emerge as a statistically significant predictor of</w:t>
      </w:r>
      <w:r w:rsidRPr="00BC00AC">
        <w:rPr>
          <w:rFonts w:ascii="Times New Roman" w:hAnsi="Times New Roman" w:cs="Times New Roman"/>
        </w:rPr>
        <w:t xml:space="preserve"> university performance. This suggests that while extracurricular involvement may contribute to student development in other important ways, its direct impact on academic performance may be limited or more complex than initially hypothesized.</w:t>
      </w:r>
    </w:p>
    <w:p w14:paraId="6AE626E0" w14:textId="77777777" w:rsidR="00BC00AC" w:rsidRPr="00BC00AC" w:rsidRDefault="00BC00AC" w:rsidP="00BC00AC">
      <w:pPr>
        <w:spacing w:line="480" w:lineRule="auto"/>
        <w:rPr>
          <w:rFonts w:ascii="Times New Roman" w:eastAsiaTheme="majorEastAsia" w:hAnsi="Times New Roman" w:cs="Times New Roman"/>
          <w:sz w:val="40"/>
          <w:szCs w:val="40"/>
        </w:rPr>
      </w:pPr>
      <w:bookmarkStart w:id="8" w:name="references"/>
      <w:bookmarkEnd w:id="7"/>
      <w:r w:rsidRPr="00BC00AC">
        <w:rPr>
          <w:rFonts w:ascii="Times New Roman" w:hAnsi="Times New Roman" w:cs="Times New Roman"/>
        </w:rPr>
        <w:br w:type="page"/>
      </w:r>
    </w:p>
    <w:p w14:paraId="2BDB66AF" w14:textId="6E0903DD" w:rsidR="00C8187D" w:rsidRPr="00BC00AC" w:rsidRDefault="00BF3026" w:rsidP="00BC00AC">
      <w:pPr>
        <w:pStyle w:val="Heading1"/>
        <w:spacing w:line="480" w:lineRule="auto"/>
        <w:rPr>
          <w:rFonts w:ascii="Times New Roman" w:hAnsi="Times New Roman" w:cs="Times New Roman"/>
          <w:color w:val="auto"/>
        </w:rPr>
      </w:pPr>
      <w:r w:rsidRPr="00BC00AC">
        <w:rPr>
          <w:rFonts w:ascii="Times New Roman" w:hAnsi="Times New Roman" w:cs="Times New Roman"/>
          <w:color w:val="auto"/>
        </w:rPr>
        <w:lastRenderedPageBreak/>
        <w:t>References</w:t>
      </w:r>
    </w:p>
    <w:p w14:paraId="1AFF2310" w14:textId="77777777" w:rsidR="00C8187D" w:rsidRPr="00BC00AC" w:rsidRDefault="00BF3026" w:rsidP="00BC00AC">
      <w:pPr>
        <w:pStyle w:val="Bibliography"/>
        <w:spacing w:line="480" w:lineRule="auto"/>
        <w:ind w:left="720" w:hanging="720"/>
        <w:rPr>
          <w:rFonts w:ascii="Times New Roman" w:hAnsi="Times New Roman" w:cs="Times New Roman"/>
        </w:rPr>
      </w:pPr>
      <w:bookmarkStart w:id="9" w:name="ref-beatty2011"/>
      <w:bookmarkStart w:id="10" w:name="refs"/>
      <w:r w:rsidRPr="00BC00AC">
        <w:rPr>
          <w:rFonts w:ascii="Times New Roman" w:hAnsi="Times New Roman" w:cs="Times New Roman"/>
        </w:rPr>
        <w:t>Be</w:t>
      </w:r>
      <w:r w:rsidRPr="00BC00AC">
        <w:rPr>
          <w:rFonts w:ascii="Times New Roman" w:hAnsi="Times New Roman" w:cs="Times New Roman"/>
        </w:rPr>
        <w:t xml:space="preserve">atty, Adam, Paul R. Sackett, Nathan R. Kuncel, Thomas Kiger, Winny Shen, and Jana Rigdon. 2011. “Estimating the Reliability of College Grades.” American Psychological Association (APA). </w:t>
      </w:r>
      <w:hyperlink r:id="rId7">
        <w:r w:rsidRPr="00BC00AC">
          <w:rPr>
            <w:rStyle w:val="Hyperlink"/>
            <w:rFonts w:ascii="Times New Roman" w:hAnsi="Times New Roman" w:cs="Times New Roman"/>
            <w:color w:val="auto"/>
          </w:rPr>
          <w:t>https://doi.</w:t>
        </w:r>
        <w:r w:rsidRPr="00BC00AC">
          <w:rPr>
            <w:rStyle w:val="Hyperlink"/>
            <w:rFonts w:ascii="Times New Roman" w:hAnsi="Times New Roman" w:cs="Times New Roman"/>
            <w:color w:val="auto"/>
          </w:rPr>
          <w:t>org/10.1037/e518362013-262</w:t>
        </w:r>
      </w:hyperlink>
      <w:r w:rsidRPr="00BC00AC">
        <w:rPr>
          <w:rFonts w:ascii="Times New Roman" w:hAnsi="Times New Roman" w:cs="Times New Roman"/>
        </w:rPr>
        <w:t>.</w:t>
      </w:r>
    </w:p>
    <w:p w14:paraId="48F0EE56" w14:textId="77777777" w:rsidR="00C8187D" w:rsidRPr="00BC00AC" w:rsidRDefault="00BF3026" w:rsidP="00BC00AC">
      <w:pPr>
        <w:pStyle w:val="Bibliography"/>
        <w:spacing w:line="480" w:lineRule="auto"/>
        <w:ind w:left="720" w:hanging="720"/>
        <w:rPr>
          <w:rFonts w:ascii="Times New Roman" w:hAnsi="Times New Roman" w:cs="Times New Roman"/>
        </w:rPr>
      </w:pPr>
      <w:bookmarkStart w:id="11" w:name="ref-eccles2006"/>
      <w:bookmarkEnd w:id="9"/>
      <w:r w:rsidRPr="00BC00AC">
        <w:rPr>
          <w:rFonts w:ascii="Times New Roman" w:hAnsi="Times New Roman" w:cs="Times New Roman"/>
        </w:rPr>
        <w:t xml:space="preserve">Eccles, Ronald, and Khawla Sadiq Jawad Eccles. 2006. “Placebo Effect.” </w:t>
      </w:r>
      <w:r w:rsidRPr="00BC00AC">
        <w:rPr>
          <w:rFonts w:ascii="Times New Roman" w:hAnsi="Times New Roman" w:cs="Times New Roman"/>
          <w:i/>
          <w:iCs/>
        </w:rPr>
        <w:t>Encyclopedia of Life Sciences</w:t>
      </w:r>
      <w:r w:rsidRPr="00BC00AC">
        <w:rPr>
          <w:rFonts w:ascii="Times New Roman" w:hAnsi="Times New Roman" w:cs="Times New Roman"/>
        </w:rPr>
        <w:t xml:space="preserve">, January. </w:t>
      </w:r>
      <w:hyperlink r:id="rId8">
        <w:r w:rsidRPr="00BC00AC">
          <w:rPr>
            <w:rStyle w:val="Hyperlink"/>
            <w:rFonts w:ascii="Times New Roman" w:hAnsi="Times New Roman" w:cs="Times New Roman"/>
            <w:color w:val="auto"/>
          </w:rPr>
          <w:t>https://doi.org/10.1038/npg.els.0004114</w:t>
        </w:r>
      </w:hyperlink>
      <w:r w:rsidRPr="00BC00AC">
        <w:rPr>
          <w:rFonts w:ascii="Times New Roman" w:hAnsi="Times New Roman" w:cs="Times New Roman"/>
        </w:rPr>
        <w:t>.</w:t>
      </w:r>
    </w:p>
    <w:p w14:paraId="5DF424B2" w14:textId="77777777" w:rsidR="00C8187D" w:rsidRPr="00BC00AC" w:rsidRDefault="00BF3026" w:rsidP="00BC00AC">
      <w:pPr>
        <w:pStyle w:val="Bibliography"/>
        <w:spacing w:line="480" w:lineRule="auto"/>
        <w:ind w:left="720" w:hanging="720"/>
        <w:rPr>
          <w:rFonts w:ascii="Times New Roman" w:hAnsi="Times New Roman" w:cs="Times New Roman"/>
        </w:rPr>
      </w:pPr>
      <w:bookmarkStart w:id="12" w:name="ref-kuncel2008"/>
      <w:bookmarkEnd w:id="11"/>
      <w:r w:rsidRPr="00BC00AC">
        <w:rPr>
          <w:rFonts w:ascii="Times New Roman" w:hAnsi="Times New Roman" w:cs="Times New Roman"/>
        </w:rPr>
        <w:t>Kuncel, Nathan, P</w:t>
      </w:r>
      <w:r w:rsidRPr="00BC00AC">
        <w:rPr>
          <w:rFonts w:ascii="Times New Roman" w:hAnsi="Times New Roman" w:cs="Times New Roman"/>
        </w:rPr>
        <w:t xml:space="preserve">aul Sackett, and Matthew Borneman. 2008. “Aggregating up to Dimension Scores in Assessment Centers.” American Psychological Association (APA). </w:t>
      </w:r>
      <w:hyperlink r:id="rId9">
        <w:r w:rsidRPr="00BC00AC">
          <w:rPr>
            <w:rStyle w:val="Hyperlink"/>
            <w:rFonts w:ascii="Times New Roman" w:hAnsi="Times New Roman" w:cs="Times New Roman"/>
            <w:color w:val="auto"/>
          </w:rPr>
          <w:t>https://doi.org/10.1037/e518442013-675</w:t>
        </w:r>
      </w:hyperlink>
      <w:r w:rsidRPr="00BC00AC">
        <w:rPr>
          <w:rFonts w:ascii="Times New Roman" w:hAnsi="Times New Roman" w:cs="Times New Roman"/>
        </w:rPr>
        <w:t>.</w:t>
      </w:r>
    </w:p>
    <w:p w14:paraId="7A309721" w14:textId="77777777" w:rsidR="00C8187D" w:rsidRPr="00BC00AC" w:rsidRDefault="00BF3026" w:rsidP="00BC00AC">
      <w:pPr>
        <w:pStyle w:val="Bibliography"/>
        <w:spacing w:line="480" w:lineRule="auto"/>
        <w:ind w:left="720" w:hanging="720"/>
        <w:rPr>
          <w:rFonts w:ascii="Times New Roman" w:hAnsi="Times New Roman" w:cs="Times New Roman"/>
        </w:rPr>
      </w:pPr>
      <w:bookmarkStart w:id="13" w:name="ref-marsh2003"/>
      <w:bookmarkEnd w:id="12"/>
      <w:r w:rsidRPr="00BC00AC">
        <w:rPr>
          <w:rFonts w:ascii="Times New Roman" w:hAnsi="Times New Roman" w:cs="Times New Roman"/>
        </w:rPr>
        <w:t xml:space="preserve">Marsh, Herbert W., and Sabina Kleitman. 2003. “School Athletic Participation: Mostly Gain with Little Pain.” </w:t>
      </w:r>
      <w:r w:rsidRPr="00BC00AC">
        <w:rPr>
          <w:rFonts w:ascii="Times New Roman" w:hAnsi="Times New Roman" w:cs="Times New Roman"/>
          <w:i/>
          <w:iCs/>
        </w:rPr>
        <w:t>Journal of Sport and Exercise Psychology</w:t>
      </w:r>
      <w:r w:rsidRPr="00BC00AC">
        <w:rPr>
          <w:rFonts w:ascii="Times New Roman" w:hAnsi="Times New Roman" w:cs="Times New Roman"/>
        </w:rPr>
        <w:t xml:space="preserve"> 25 (2): 205–28. </w:t>
      </w:r>
      <w:hyperlink r:id="rId10">
        <w:r w:rsidRPr="00BC00AC">
          <w:rPr>
            <w:rStyle w:val="Hyperlink"/>
            <w:rFonts w:ascii="Times New Roman" w:hAnsi="Times New Roman" w:cs="Times New Roman"/>
            <w:color w:val="auto"/>
          </w:rPr>
          <w:t>https://doi.org/10.1123/jsep.25.2</w:t>
        </w:r>
        <w:r w:rsidRPr="00BC00AC">
          <w:rPr>
            <w:rStyle w:val="Hyperlink"/>
            <w:rFonts w:ascii="Times New Roman" w:hAnsi="Times New Roman" w:cs="Times New Roman"/>
            <w:color w:val="auto"/>
          </w:rPr>
          <w:t>.205</w:t>
        </w:r>
      </w:hyperlink>
      <w:r w:rsidRPr="00BC00AC">
        <w:rPr>
          <w:rFonts w:ascii="Times New Roman" w:hAnsi="Times New Roman" w:cs="Times New Roman"/>
        </w:rPr>
        <w:t>.</w:t>
      </w:r>
    </w:p>
    <w:p w14:paraId="3522BE5B" w14:textId="77777777" w:rsidR="00C8187D" w:rsidRPr="00BC00AC" w:rsidRDefault="00BF3026" w:rsidP="00BC00AC">
      <w:pPr>
        <w:pStyle w:val="Bibliography"/>
        <w:spacing w:line="480" w:lineRule="auto"/>
        <w:ind w:left="720" w:hanging="720"/>
        <w:rPr>
          <w:rFonts w:ascii="Times New Roman" w:hAnsi="Times New Roman" w:cs="Times New Roman"/>
        </w:rPr>
      </w:pPr>
      <w:bookmarkStart w:id="14" w:name="ref-marsh2002"/>
      <w:bookmarkEnd w:id="13"/>
      <w:r w:rsidRPr="00BC00AC">
        <w:rPr>
          <w:rFonts w:ascii="Times New Roman" w:hAnsi="Times New Roman" w:cs="Times New Roman"/>
        </w:rPr>
        <w:t xml:space="preserve">Marsh, Herbert, and Sabina Kleitman. 2002. “Extracurricular School Activities: The Good, the Bad, and the Nonlinear.” </w:t>
      </w:r>
      <w:r w:rsidRPr="00BC00AC">
        <w:rPr>
          <w:rFonts w:ascii="Times New Roman" w:hAnsi="Times New Roman" w:cs="Times New Roman"/>
          <w:i/>
          <w:iCs/>
        </w:rPr>
        <w:t>Harvard Educational Review</w:t>
      </w:r>
      <w:r w:rsidRPr="00BC00AC">
        <w:rPr>
          <w:rFonts w:ascii="Times New Roman" w:hAnsi="Times New Roman" w:cs="Times New Roman"/>
        </w:rPr>
        <w:t xml:space="preserve"> 72 (4): 464–515. </w:t>
      </w:r>
      <w:hyperlink r:id="rId11">
        <w:r w:rsidRPr="00BC00AC">
          <w:rPr>
            <w:rStyle w:val="Hyperlink"/>
            <w:rFonts w:ascii="Times New Roman" w:hAnsi="Times New Roman" w:cs="Times New Roman"/>
            <w:color w:val="auto"/>
          </w:rPr>
          <w:t>https://doi.org/1</w:t>
        </w:r>
        <w:r w:rsidRPr="00BC00AC">
          <w:rPr>
            <w:rStyle w:val="Hyperlink"/>
            <w:rFonts w:ascii="Times New Roman" w:hAnsi="Times New Roman" w:cs="Times New Roman"/>
            <w:color w:val="auto"/>
          </w:rPr>
          <w:t>0.17763/haer.72.4.051388703v7v7736</w:t>
        </w:r>
      </w:hyperlink>
      <w:r w:rsidRPr="00BC00AC">
        <w:rPr>
          <w:rFonts w:ascii="Times New Roman" w:hAnsi="Times New Roman" w:cs="Times New Roman"/>
        </w:rPr>
        <w:t>.</w:t>
      </w:r>
    </w:p>
    <w:p w14:paraId="10ED7C28" w14:textId="77777777" w:rsidR="00C8187D" w:rsidRPr="00BC00AC" w:rsidRDefault="00BF3026" w:rsidP="00BC00AC">
      <w:pPr>
        <w:pStyle w:val="Bibliography"/>
        <w:spacing w:line="480" w:lineRule="auto"/>
        <w:ind w:left="720" w:hanging="720"/>
        <w:rPr>
          <w:rFonts w:ascii="Times New Roman" w:hAnsi="Times New Roman" w:cs="Times New Roman"/>
        </w:rPr>
      </w:pPr>
      <w:bookmarkStart w:id="15" w:name="ref-McFarlane2017"/>
      <w:bookmarkEnd w:id="14"/>
      <w:r w:rsidRPr="00BC00AC">
        <w:rPr>
          <w:rFonts w:ascii="Times New Roman" w:hAnsi="Times New Roman" w:cs="Times New Roman"/>
        </w:rPr>
        <w:t xml:space="preserve">McFarlane, Jameson, Thorne J. McFarlane, and Leon Bernard. 2017. “Academic Influence </w:t>
      </w:r>
      <w:proofErr w:type="gramStart"/>
      <w:r w:rsidRPr="00BC00AC">
        <w:rPr>
          <w:rFonts w:ascii="Times New Roman" w:hAnsi="Times New Roman" w:cs="Times New Roman"/>
        </w:rPr>
        <w:t>Of</w:t>
      </w:r>
      <w:proofErr w:type="gramEnd"/>
      <w:r w:rsidRPr="00BC00AC">
        <w:rPr>
          <w:rFonts w:ascii="Times New Roman" w:hAnsi="Times New Roman" w:cs="Times New Roman"/>
        </w:rPr>
        <w:t xml:space="preserve"> Social Network Sites On The Collegiate Performance Of Technical College Students.” </w:t>
      </w:r>
      <w:r w:rsidRPr="00BC00AC">
        <w:rPr>
          <w:rFonts w:ascii="Times New Roman" w:hAnsi="Times New Roman" w:cs="Times New Roman"/>
          <w:i/>
          <w:iCs/>
        </w:rPr>
        <w:t>Zenodo</w:t>
      </w:r>
      <w:r w:rsidRPr="00BC00AC">
        <w:rPr>
          <w:rFonts w:ascii="Times New Roman" w:hAnsi="Times New Roman" w:cs="Times New Roman"/>
        </w:rPr>
        <w:t xml:space="preserve">, April. </w:t>
      </w:r>
      <w:hyperlink r:id="rId12">
        <w:r w:rsidRPr="00BC00AC">
          <w:rPr>
            <w:rStyle w:val="Hyperlink"/>
            <w:rFonts w:ascii="Times New Roman" w:hAnsi="Times New Roman" w:cs="Times New Roman"/>
            <w:color w:val="auto"/>
          </w:rPr>
          <w:t>https://doi.org/10.5281/ZENODO.1130917</w:t>
        </w:r>
      </w:hyperlink>
      <w:r w:rsidRPr="00BC00AC">
        <w:rPr>
          <w:rFonts w:ascii="Times New Roman" w:hAnsi="Times New Roman" w:cs="Times New Roman"/>
        </w:rPr>
        <w:t>.</w:t>
      </w:r>
    </w:p>
    <w:p w14:paraId="01C0CEDF" w14:textId="77777777" w:rsidR="00C8187D" w:rsidRPr="00BC00AC" w:rsidRDefault="00BF3026" w:rsidP="00BC00AC">
      <w:pPr>
        <w:pStyle w:val="Bibliography"/>
        <w:spacing w:line="480" w:lineRule="auto"/>
        <w:ind w:left="720" w:hanging="720"/>
        <w:rPr>
          <w:rFonts w:ascii="Times New Roman" w:hAnsi="Times New Roman" w:cs="Times New Roman"/>
        </w:rPr>
      </w:pPr>
      <w:bookmarkStart w:id="16" w:name="ref-rigdon2009"/>
      <w:bookmarkEnd w:id="15"/>
      <w:r w:rsidRPr="00BC00AC">
        <w:rPr>
          <w:rFonts w:ascii="Times New Roman" w:hAnsi="Times New Roman" w:cs="Times New Roman"/>
        </w:rPr>
        <w:lastRenderedPageBreak/>
        <w:t xml:space="preserve">Rigdon, Jana, Paul R. Sackett, and Nathan R. Kuncel. 2009. “Current Look at Gender and Math Performance in Standardized Testing.” American Psychological Association (APA). </w:t>
      </w:r>
      <w:hyperlink r:id="rId13">
        <w:r w:rsidRPr="00BC00AC">
          <w:rPr>
            <w:rStyle w:val="Hyperlink"/>
            <w:rFonts w:ascii="Times New Roman" w:hAnsi="Times New Roman" w:cs="Times New Roman"/>
            <w:color w:val="auto"/>
          </w:rPr>
          <w:t>https://doi.org/10.1037/e518422013-548</w:t>
        </w:r>
      </w:hyperlink>
      <w:r w:rsidRPr="00BC00AC">
        <w:rPr>
          <w:rFonts w:ascii="Times New Roman" w:hAnsi="Times New Roman" w:cs="Times New Roman"/>
        </w:rPr>
        <w:t>.</w:t>
      </w:r>
      <w:bookmarkEnd w:id="8"/>
      <w:bookmarkEnd w:id="10"/>
      <w:bookmarkEnd w:id="16"/>
    </w:p>
    <w:sectPr w:rsidR="00C8187D" w:rsidRPr="00BC00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2AA84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8187D"/>
    <w:rsid w:val="004B5AC7"/>
    <w:rsid w:val="00BC00AC"/>
    <w:rsid w:val="00BF3026"/>
    <w:rsid w:val="00C8187D"/>
    <w:rsid w:val="00C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24771"/>
  <w15:docId w15:val="{A8E22806-667C-41D3-924D-950CB475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F74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348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npg.els.0004114" TargetMode="External"/><Relationship Id="rId13" Type="http://schemas.openxmlformats.org/officeDocument/2006/relationships/hyperlink" Target="https://doi.org/10.1037/e518422013-548" TargetMode="External"/><Relationship Id="rId3" Type="http://schemas.openxmlformats.org/officeDocument/2006/relationships/settings" Target="settings.xml"/><Relationship Id="rId7" Type="http://schemas.openxmlformats.org/officeDocument/2006/relationships/hyperlink" Target="https://doi.org/10.1037/e518362013-262" TargetMode="External"/><Relationship Id="rId12" Type="http://schemas.openxmlformats.org/officeDocument/2006/relationships/hyperlink" Target="https://doi.org/10.5281/ZENODO.11309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7763/haer.72.4.051388703v7v773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123/jsep.25.2.205" TargetMode="External"/><Relationship Id="rId4" Type="http://schemas.openxmlformats.org/officeDocument/2006/relationships/webSettings" Target="webSettings.xml"/><Relationship Id="rId9" Type="http://schemas.openxmlformats.org/officeDocument/2006/relationships/hyperlink" Target="https://doi.org/10.1037/e518442013-6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1495</Words>
  <Characters>8972</Characters>
  <Application>Microsoft Office Word</Application>
  <DocSecurity>0</DocSecurity>
  <Lines>183</Lines>
  <Paragraphs>96</Paragraphs>
  <ScaleCrop>false</ScaleCrop>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Predictive Factors of Academic Success in University</dc:title>
  <dc:creator>Student Name</dc:creator>
  <cp:keywords/>
  <cp:lastModifiedBy>Maxwell Simiyu</cp:lastModifiedBy>
  <cp:revision>5</cp:revision>
  <dcterms:created xsi:type="dcterms:W3CDTF">2024-12-01T13:20:00Z</dcterms:created>
  <dcterms:modified xsi:type="dcterms:W3CDTF">2024-12-01T13:30:00Z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output">
    <vt:lpwstr>word_document</vt:lpwstr>
  </property>
  <property fmtid="{D5CDD505-2E9C-101B-9397-08002B2CF9AE}" pid="5" name="subtitle">
    <vt:lpwstr>A Linear Regression Analysis of High School Performance, SAT Scores, and Extracurricular Activities</vt:lpwstr>
  </property>
  <property fmtid="{D5CDD505-2E9C-101B-9397-08002B2CF9AE}" pid="6" name="GrammarlyDocumentId">
    <vt:lpwstr>d933b9673fec0d55392514ae80492f483f729a01f4f5b43f9a640cd92f38c0df</vt:lpwstr>
  </property>
</Properties>
</file>