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766D72ED" w:rsidP="766D72ED" w:rsidRDefault="766D72ED" w14:paraId="77140B34" w14:textId="223FBF48">
      <w:pPr>
        <w:pStyle w:val="Title"/>
        <w:spacing w:before="0"/>
        <w:jc w:val="center"/>
        <w:rPr>
          <w:sz w:val="56"/>
          <w:szCs w:val="56"/>
        </w:rPr>
      </w:pPr>
    </w:p>
    <w:p w:rsidR="00115465" w:rsidP="766D72ED" w:rsidRDefault="00000000" w14:paraId="4E24B86B" w14:textId="0DEF9F85">
      <w:pPr>
        <w:pStyle w:val="Title"/>
        <w:spacing w:before="0"/>
        <w:jc w:val="center"/>
        <w:rPr>
          <w:sz w:val="52"/>
          <w:szCs w:val="52"/>
        </w:rPr>
      </w:pPr>
      <w:bookmarkStart w:name="_lluosr89mtdo" w:id="1"/>
      <w:bookmarkEnd w:id="1"/>
      <w:r w:rsidRPr="766D72ED" w:rsidR="766D72ED">
        <w:rPr>
          <w:sz w:val="56"/>
          <w:szCs w:val="56"/>
        </w:rPr>
        <w:t>MLE Student Capstone</w:t>
      </w:r>
    </w:p>
    <w:p w:rsidR="00115465" w:rsidP="766D72ED" w:rsidRDefault="00115465" w14:paraId="7A3BA2CE" w14:textId="15D0EEAB">
      <w:pPr>
        <w:pStyle w:val="Normal"/>
        <w:jc w:val="center"/>
      </w:pPr>
      <w:r w:rsidR="766D72ED">
        <w:rPr/>
        <w:t>1 Page Narrative</w:t>
      </w:r>
    </w:p>
    <w:p w:rsidR="00115465" w:rsidP="766D72ED" w:rsidRDefault="00115465" w14:paraId="3DEA79DA" w14:textId="171CB1CD">
      <w:pPr>
        <w:pStyle w:val="Normal"/>
        <w:jc w:val="center"/>
      </w:pPr>
    </w:p>
    <w:p w:rsidR="00115465" w:rsidP="766D72ED" w:rsidRDefault="00115465" w14:paraId="71C3C439" w14:textId="0EFEF44A">
      <w:pPr>
        <w:pStyle w:val="Normal"/>
        <w:jc w:val="center"/>
      </w:pPr>
    </w:p>
    <w:tbl>
      <w:tblPr>
        <w:tblW w:w="90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4470"/>
        <w:gridCol w:w="4530"/>
      </w:tblGrid>
      <w:tr w:rsidR="00115465" w:rsidTr="766D72ED" w14:paraId="07BEBADB" w14:textId="77777777">
        <w:trPr>
          <w:trHeight w:val="531"/>
        </w:trPr>
        <w:tc>
          <w:tcPr>
            <w:tcW w:w="4470" w:type="dxa"/>
            <w:shd w:val="clear" w:color="auto" w:fill="auto"/>
            <w:tcMar>
              <w:top w:w="100" w:type="dxa"/>
              <w:left w:w="100" w:type="dxa"/>
              <w:bottom w:w="100" w:type="dxa"/>
              <w:right w:w="100" w:type="dxa"/>
            </w:tcMar>
          </w:tcPr>
          <w:p w:rsidR="00115465" w:rsidRDefault="00000000" w14:paraId="7E4BB95C" w14:textId="77777777">
            <w:r>
              <w:t>Project Title</w:t>
            </w:r>
          </w:p>
        </w:tc>
        <w:tc>
          <w:tcPr>
            <w:tcW w:w="4530" w:type="dxa"/>
            <w:shd w:val="clear" w:color="auto" w:fill="auto"/>
            <w:tcMar>
              <w:top w:w="100" w:type="dxa"/>
              <w:left w:w="100" w:type="dxa"/>
              <w:bottom w:w="100" w:type="dxa"/>
              <w:right w:w="100" w:type="dxa"/>
            </w:tcMar>
          </w:tcPr>
          <w:p w:rsidR="00115465" w:rsidRDefault="00775B76" w14:paraId="3A130BF6" w14:textId="1BC65C96">
            <w:pPr>
              <w:widowControl w:val="0"/>
            </w:pPr>
            <w:r w:rsidR="766D72ED">
              <w:rPr/>
              <w:t>Healthcare Anomaly Detection</w:t>
            </w:r>
          </w:p>
        </w:tc>
      </w:tr>
      <w:tr w:rsidR="00115465" w:rsidTr="766D72ED" w14:paraId="716A9F34" w14:textId="77777777">
        <w:trPr>
          <w:trHeight w:val="435"/>
        </w:trPr>
        <w:tc>
          <w:tcPr>
            <w:tcW w:w="4470" w:type="dxa"/>
            <w:shd w:val="clear" w:color="auto" w:fill="auto"/>
            <w:tcMar>
              <w:top w:w="100" w:type="dxa"/>
              <w:left w:w="100" w:type="dxa"/>
              <w:bottom w:w="100" w:type="dxa"/>
              <w:right w:w="100" w:type="dxa"/>
            </w:tcMar>
          </w:tcPr>
          <w:p w:rsidR="00115465" w:rsidRDefault="00000000" w14:paraId="3B1318E8" w14:textId="77777777">
            <w:r>
              <w:t>Industry Sponsor</w:t>
            </w:r>
          </w:p>
        </w:tc>
        <w:tc>
          <w:tcPr>
            <w:tcW w:w="4530" w:type="dxa"/>
            <w:shd w:val="clear" w:color="auto" w:fill="auto"/>
            <w:tcMar>
              <w:top w:w="100" w:type="dxa"/>
              <w:left w:w="100" w:type="dxa"/>
              <w:bottom w:w="100" w:type="dxa"/>
              <w:right w:w="100" w:type="dxa"/>
            </w:tcMar>
          </w:tcPr>
          <w:p w:rsidR="00115465" w:rsidRDefault="00000000" w14:paraId="66AF62B5" w14:textId="7D18C5FF">
            <w:pPr>
              <w:widowControl w:val="0"/>
            </w:pPr>
            <w:r w:rsidR="766D72ED">
              <w:rPr/>
              <w:t>-none-</w:t>
            </w:r>
          </w:p>
        </w:tc>
      </w:tr>
      <w:tr w:rsidR="766D72ED" w:rsidTr="766D72ED" w14:paraId="47E35262">
        <w:trPr>
          <w:trHeight w:val="300"/>
        </w:trPr>
        <w:tc>
          <w:tcPr>
            <w:tcW w:w="4470" w:type="dxa"/>
            <w:shd w:val="clear" w:color="auto" w:fill="auto"/>
            <w:tcMar>
              <w:top w:w="100" w:type="dxa"/>
              <w:left w:w="100" w:type="dxa"/>
              <w:bottom w:w="100" w:type="dxa"/>
              <w:right w:w="100" w:type="dxa"/>
            </w:tcMar>
          </w:tcPr>
          <w:p w:rsidR="766D72ED" w:rsidP="766D72ED" w:rsidRDefault="766D72ED" w14:paraId="22FD6F50" w14:textId="5E144E07">
            <w:pPr>
              <w:pStyle w:val="Normal"/>
            </w:pPr>
            <w:r w:rsidR="766D72ED">
              <w:rPr/>
              <w:t>Team Members</w:t>
            </w:r>
          </w:p>
        </w:tc>
        <w:tc>
          <w:tcPr>
            <w:tcW w:w="4530" w:type="dxa"/>
            <w:shd w:val="clear" w:color="auto" w:fill="auto"/>
            <w:tcMar>
              <w:top w:w="100" w:type="dxa"/>
              <w:left w:w="100" w:type="dxa"/>
              <w:bottom w:w="100" w:type="dxa"/>
              <w:right w:w="100" w:type="dxa"/>
            </w:tcMar>
          </w:tcPr>
          <w:p w:rsidR="766D72ED" w:rsidP="766D72ED" w:rsidRDefault="766D72ED" w14:paraId="32A75A1F" w14:textId="76EAD1E6">
            <w:pPr>
              <w:pStyle w:val="Normal"/>
            </w:pPr>
            <w:r w:rsidR="766D72ED">
              <w:rPr/>
              <w:t>McKone, Sharma</w:t>
            </w:r>
          </w:p>
          <w:p w:rsidR="766D72ED" w:rsidP="766D72ED" w:rsidRDefault="766D72ED" w14:paraId="7EF3F35F" w14:textId="0B8C57F3">
            <w:pPr>
              <w:pStyle w:val="Normal"/>
            </w:pPr>
            <w:r w:rsidR="766D72ED">
              <w:rPr/>
              <w:t>Chavarria, Lederer</w:t>
            </w:r>
          </w:p>
        </w:tc>
      </w:tr>
    </w:tbl>
    <w:p w:rsidR="00115465" w:rsidP="766D72ED" w:rsidRDefault="00115465" w14:paraId="40D7780E" w14:textId="7A447594">
      <w:pPr>
        <w:widowControl w:val="0"/>
        <w:rPr>
          <w:color w:val="0E101A"/>
        </w:rPr>
      </w:pPr>
    </w:p>
    <w:p w:rsidR="00115465" w:rsidP="766D72ED" w:rsidRDefault="00115465" w14:paraId="226A8BD9" w14:textId="3BE11C17">
      <w:pPr>
        <w:pStyle w:val="Normal"/>
      </w:pPr>
    </w:p>
    <w:p w:rsidR="766D72ED" w:rsidP="766D72ED" w:rsidRDefault="766D72ED" w14:paraId="202E2C09" w14:textId="43D5172E">
      <w:pPr>
        <w:pStyle w:val="Normal"/>
        <w:widowControl w:val="0"/>
        <w:rPr>
          <w:color w:val="0E101A"/>
        </w:rPr>
      </w:pPr>
      <w:r w:rsidRPr="766D72ED" w:rsidR="766D72ED">
        <w:rPr>
          <w:color w:val="0E101A"/>
        </w:rPr>
        <w:t>Healthcare fraud is an expensive white-collar crime in the US and leads to an increase in healthcare premiums, and a reduction in quality and access to care.  The National Health Care Anti-Fraud Association</w:t>
      </w:r>
      <w:hyperlink w:anchor="B1" r:id="Rf37ecdc051e7481c">
        <w:r w:rsidRPr="766D72ED" w:rsidR="766D72ED">
          <w:rPr>
            <w:rStyle w:val="Hyperlink"/>
            <w:color w:val="4A6EE0"/>
          </w:rPr>
          <w:t>1</w:t>
        </w:r>
      </w:hyperlink>
      <w:r w:rsidRPr="766D72ED" w:rsidR="766D72ED">
        <w:rPr>
          <w:color w:val="0E101A"/>
        </w:rPr>
        <w:t> conservatively estimates that about 3 percent of US healthcare spending is lost to fraud per year ($300 billion approximately).</w:t>
      </w:r>
    </w:p>
    <w:p w:rsidR="766D72ED" w:rsidP="766D72ED" w:rsidRDefault="766D72ED" w14:paraId="47E6ED0B" w14:textId="79567A43">
      <w:pPr>
        <w:widowControl w:val="0"/>
        <w:rPr>
          <w:color w:val="0E101A"/>
        </w:rPr>
      </w:pPr>
    </w:p>
    <w:p w:rsidR="766D72ED" w:rsidP="766D72ED" w:rsidRDefault="766D72ED" w14:paraId="74BE86C5" w14:textId="079A2F10">
      <w:pPr>
        <w:pStyle w:val="Normal"/>
        <w:widowControl w:val="0"/>
        <w:bidi w:val="0"/>
        <w:spacing w:before="0" w:beforeAutospacing="off" w:after="0" w:afterAutospacing="off" w:line="276" w:lineRule="auto"/>
        <w:ind w:left="0" w:right="0"/>
        <w:jc w:val="left"/>
        <w:rPr>
          <w:color w:val="0E101A"/>
        </w:rPr>
      </w:pPr>
      <w:r w:rsidRPr="766D72ED" w:rsidR="766D72ED">
        <w:rPr>
          <w:color w:val="0E101A"/>
        </w:rPr>
        <w:t>Machine Learning techniques can identify current and evolving anomalies in claims data.  As fraud becomes more sophisticated across an increasing number of annual transactions, an ML solution provides an opportunity to greatly reduce the effort, time and associated cost spent in identifying claims anomalies, and recouping any misappropriated funds.</w:t>
      </w:r>
    </w:p>
    <w:p w:rsidR="766D72ED" w:rsidP="766D72ED" w:rsidRDefault="766D72ED" w14:paraId="7CF3697F" w14:textId="134A848C">
      <w:pPr>
        <w:pStyle w:val="Normal"/>
        <w:widowControl w:val="0"/>
        <w:bidi w:val="0"/>
        <w:spacing w:before="0" w:beforeAutospacing="off" w:after="0" w:afterAutospacing="off" w:line="276" w:lineRule="auto"/>
        <w:ind w:left="0" w:right="0"/>
        <w:jc w:val="left"/>
        <w:rPr>
          <w:color w:val="0E101A"/>
        </w:rPr>
      </w:pPr>
    </w:p>
    <w:p w:rsidR="766D72ED" w:rsidP="766D72ED" w:rsidRDefault="766D72ED" w14:paraId="058ABBE6" w14:textId="53F78915">
      <w:pPr>
        <w:pStyle w:val="Normal"/>
        <w:widowControl w:val="0"/>
        <w:bidi w:val="0"/>
        <w:spacing w:before="0" w:beforeAutospacing="off" w:after="0" w:afterAutospacing="off" w:line="276" w:lineRule="auto"/>
        <w:ind w:left="0" w:right="0"/>
        <w:jc w:val="left"/>
        <w:rPr>
          <w:color w:val="0E101A"/>
        </w:rPr>
      </w:pPr>
      <w:r w:rsidRPr="766D72ED" w:rsidR="766D72ED">
        <w:rPr>
          <w:color w:val="0E101A"/>
        </w:rPr>
        <w:t xml:space="preserve">To illustrate the capabilities of Machine Learning to identify claims anomalies, this capstone project team has developed two solutions:  </w:t>
      </w:r>
    </w:p>
    <w:p w:rsidR="766D72ED" w:rsidP="766D72ED" w:rsidRDefault="766D72ED" w14:paraId="790F5EC9" w14:textId="51E248B4">
      <w:pPr>
        <w:pStyle w:val="ListParagraph"/>
        <w:widowControl w:val="0"/>
        <w:numPr>
          <w:ilvl w:val="0"/>
          <w:numId w:val="5"/>
        </w:numPr>
        <w:bidi w:val="0"/>
        <w:spacing w:before="0" w:beforeAutospacing="off" w:after="0" w:afterAutospacing="off" w:line="276" w:lineRule="auto"/>
        <w:ind w:right="0"/>
        <w:jc w:val="left"/>
        <w:rPr>
          <w:color w:val="0E101A"/>
        </w:rPr>
      </w:pPr>
      <w:r w:rsidRPr="766D72ED" w:rsidR="766D72ED">
        <w:rPr>
          <w:color w:val="0E101A"/>
        </w:rPr>
        <w:t>a supervised Logistic Regression Model to identify potential anomalies at the provider level</w:t>
      </w:r>
    </w:p>
    <w:p w:rsidR="766D72ED" w:rsidP="766D72ED" w:rsidRDefault="766D72ED" w14:paraId="25DD5B18" w14:textId="4E009E99">
      <w:pPr>
        <w:pStyle w:val="ListParagraph"/>
        <w:widowControl w:val="0"/>
        <w:numPr>
          <w:ilvl w:val="0"/>
          <w:numId w:val="5"/>
        </w:numPr>
        <w:bidi w:val="0"/>
        <w:spacing w:before="0" w:beforeAutospacing="off" w:after="0" w:afterAutospacing="off" w:line="276" w:lineRule="auto"/>
        <w:ind w:right="0"/>
        <w:jc w:val="left"/>
        <w:rPr>
          <w:color w:val="0E101A"/>
        </w:rPr>
      </w:pPr>
      <w:r w:rsidRPr="766D72ED" w:rsidR="766D72ED">
        <w:rPr>
          <w:color w:val="0E101A"/>
        </w:rPr>
        <w:t xml:space="preserve">an unsupervised </w:t>
      </w:r>
      <w:proofErr w:type="spellStart"/>
      <w:r w:rsidRPr="766D72ED" w:rsidR="766D72ED">
        <w:rPr>
          <w:color w:val="0E101A"/>
        </w:rPr>
        <w:t>KMeans</w:t>
      </w:r>
      <w:proofErr w:type="spellEnd"/>
      <w:r w:rsidRPr="766D72ED" w:rsidR="766D72ED">
        <w:rPr>
          <w:color w:val="0E101A"/>
        </w:rPr>
        <w:t xml:space="preserve"> Clustering Model to identify potential anomalies at the claim level</w:t>
      </w:r>
    </w:p>
    <w:p w:rsidR="766D72ED" w:rsidP="766D72ED" w:rsidRDefault="766D72ED" w14:paraId="2467D14C" w14:textId="36CB993A">
      <w:pPr>
        <w:pStyle w:val="Normal"/>
        <w:widowControl w:val="0"/>
        <w:bidi w:val="0"/>
        <w:spacing w:before="0" w:beforeAutospacing="off" w:after="0" w:afterAutospacing="off" w:line="276" w:lineRule="auto"/>
        <w:ind w:left="0" w:right="0"/>
        <w:jc w:val="left"/>
        <w:rPr>
          <w:color w:val="0E101A"/>
        </w:rPr>
      </w:pPr>
    </w:p>
    <w:p w:rsidR="766D72ED" w:rsidP="766D72ED" w:rsidRDefault="766D72ED" w14:paraId="55BBD18D" w14:textId="6B6CFAFD">
      <w:pPr>
        <w:pStyle w:val="Normal"/>
        <w:widowControl w:val="0"/>
        <w:bidi w:val="0"/>
        <w:spacing w:before="0" w:beforeAutospacing="off" w:after="0" w:afterAutospacing="off" w:line="276" w:lineRule="auto"/>
        <w:ind w:left="0" w:right="0"/>
        <w:jc w:val="left"/>
        <w:rPr>
          <w:color w:val="0E101A"/>
        </w:rPr>
      </w:pPr>
      <w:r w:rsidRPr="766D72ED" w:rsidR="766D72ED">
        <w:rPr>
          <w:color w:val="0E101A"/>
        </w:rPr>
        <w:t xml:space="preserve">These solutions are hosted on Amazon EC2 utilizing a </w:t>
      </w:r>
      <w:proofErr w:type="spellStart"/>
      <w:r w:rsidRPr="766D72ED" w:rsidR="766D72ED">
        <w:rPr>
          <w:color w:val="0E101A"/>
        </w:rPr>
        <w:t>Streamlit</w:t>
      </w:r>
      <w:proofErr w:type="spellEnd"/>
      <w:r w:rsidRPr="766D72ED" w:rsidR="766D72ED">
        <w:rPr>
          <w:color w:val="0E101A"/>
        </w:rPr>
        <w:t xml:space="preserve"> front end for illustration.  Fast API endpoints are in final development to expose the model for on-demand supervised and unsupervised predictions.  </w:t>
      </w:r>
    </w:p>
    <w:p w:rsidR="766D72ED" w:rsidP="766D72ED" w:rsidRDefault="766D72ED" w14:paraId="66AE4E5C" w14:textId="612C2E38">
      <w:pPr>
        <w:pStyle w:val="Normal"/>
        <w:widowControl w:val="0"/>
        <w:bidi w:val="0"/>
        <w:spacing w:before="0" w:beforeAutospacing="off" w:after="0" w:afterAutospacing="off" w:line="276" w:lineRule="auto"/>
        <w:ind w:left="0" w:right="0"/>
        <w:jc w:val="left"/>
        <w:rPr>
          <w:color w:val="0E101A"/>
        </w:rPr>
      </w:pPr>
    </w:p>
    <w:sectPr w:rsidR="00115465">
      <w:headerReference w:type="default" r:id="rId12"/>
      <w:headerReference w:type="first" r:id="rId13"/>
      <w:footerReference w:type="first" r:id="rId14"/>
      <w:pgSz w:w="11900" w:h="16840" w:orient="portrait"/>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45467" w:rsidRDefault="00F45467" w14:paraId="2B80A591" w14:textId="77777777">
      <w:pPr>
        <w:spacing w:line="240" w:lineRule="auto"/>
      </w:pPr>
      <w:r>
        <w:separator/>
      </w:r>
    </w:p>
  </w:endnote>
  <w:endnote w:type="continuationSeparator" w:id="0">
    <w:p w:rsidR="00F45467" w:rsidRDefault="00F45467" w14:paraId="547DF601"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roxima Nova">
    <w:altName w:val="Tahoma"/>
    <w:panose1 w:val="020B0604020202020204"/>
    <w:charset w:val="00"/>
    <w:family w:val="auto"/>
    <w:pitch w:val="default"/>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5465" w:rsidRDefault="00115465" w14:paraId="605056CE"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45467" w:rsidRDefault="00F45467" w14:paraId="2A43FF60" w14:textId="77777777">
      <w:pPr>
        <w:spacing w:line="240" w:lineRule="auto"/>
      </w:pPr>
      <w:r>
        <w:separator/>
      </w:r>
    </w:p>
  </w:footnote>
  <w:footnote w:type="continuationSeparator" w:id="0">
    <w:p w:rsidR="00F45467" w:rsidRDefault="00F45467" w14:paraId="2022DD9B"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115465" w:rsidRDefault="00000000" w14:paraId="28F156D3" w14:textId="77777777">
    <w:pPr>
      <w:jc w:val="center"/>
      <w:rPr>
        <w:color w:val="007878"/>
        <w:sz w:val="30"/>
        <w:szCs w:val="30"/>
      </w:rPr>
    </w:pPr>
    <w:r>
      <w:rPr>
        <w:noProof/>
        <w:color w:val="696969"/>
      </w:rPr>
      <w:drawing>
        <wp:inline distT="114300" distB="114300" distL="114300" distR="114300" wp14:anchorId="46A902D1" wp14:editId="5CDDF1C0">
          <wp:extent cx="678124" cy="6334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8124" cy="633413"/>
                  </a:xfrm>
                  <a:prstGeom prst="rect">
                    <a:avLst/>
                  </a:prstGeom>
                  <a:ln/>
                </pic:spPr>
              </pic:pic>
            </a:graphicData>
          </a:graphic>
        </wp:inline>
      </w:drawing>
    </w:r>
  </w:p>
  <w:p w:rsidR="00115465" w:rsidRDefault="00115465" w14:paraId="4D9CB37E" w14:textId="77777777">
    <w:pPr>
      <w:pBdr>
        <w:top w:val="nil"/>
        <w:left w:val="nil"/>
        <w:bottom w:val="nil"/>
        <w:right w:val="nil"/>
        <w:between w:val="nil"/>
      </w:pBdr>
      <w:tabs>
        <w:tab w:val="center" w:pos="4680"/>
        <w:tab w:val="right" w:pos="9360"/>
      </w:tabs>
      <w:rPr>
        <w:color w:val="007878"/>
        <w:sz w:val="30"/>
        <w:szCs w:val="3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115465" w:rsidRDefault="00000000" w14:paraId="5B9C502D" w14:textId="77777777">
    <w:pPr>
      <w:jc w:val="center"/>
    </w:pPr>
    <w:r>
      <w:rPr>
        <w:noProof/>
        <w:color w:val="696969"/>
      </w:rPr>
      <w:drawing>
        <wp:inline distT="114300" distB="114300" distL="114300" distR="114300" wp14:anchorId="49904D2F" wp14:editId="3FEDD645">
          <wp:extent cx="1562100" cy="90151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90151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nsid w:val="558a7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12820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0AE3CD7"/>
    <w:multiLevelType w:val="hybridMultilevel"/>
    <w:tmpl w:val="655279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F33B2F"/>
    <w:multiLevelType w:val="multilevel"/>
    <w:tmpl w:val="88D01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CF3D47"/>
    <w:multiLevelType w:val="multilevel"/>
    <w:tmpl w:val="3078F7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5">
    <w:abstractNumId w:val="4"/>
  </w:num>
  <w:num w:numId="4">
    <w:abstractNumId w:val="3"/>
  </w:num>
  <w:num w:numId="1" w16cid:durableId="1247837113">
    <w:abstractNumId w:val="1"/>
  </w:num>
  <w:num w:numId="2" w16cid:durableId="1904294243">
    <w:abstractNumId w:val="2"/>
  </w:num>
  <w:num w:numId="3" w16cid:durableId="549731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465"/>
    <w:rsid w:val="000232F2"/>
    <w:rsid w:val="00091461"/>
    <w:rsid w:val="000A7E8C"/>
    <w:rsid w:val="00115465"/>
    <w:rsid w:val="00182FCC"/>
    <w:rsid w:val="003E5A4C"/>
    <w:rsid w:val="006E79A5"/>
    <w:rsid w:val="00701DA4"/>
    <w:rsid w:val="00775B76"/>
    <w:rsid w:val="008D1263"/>
    <w:rsid w:val="00AD0CCB"/>
    <w:rsid w:val="00C67A91"/>
    <w:rsid w:val="00CD0A1C"/>
    <w:rsid w:val="00F45467"/>
    <w:rsid w:val="00F50D88"/>
    <w:rsid w:val="766D7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F55AC0"/>
  <w15:docId w15:val="{5A14E956-917E-3343-8CB5-4B55E4544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hAnsi="Proxima Nova" w:eastAsia="Proxima Nova" w:cs="Proxima Nova"/>
        <w:sz w:val="24"/>
        <w:szCs w:val="24"/>
        <w:lang w:val="en-SG"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360" w:after="80"/>
      <w:jc w:val="center"/>
      <w:outlineLvl w:val="0"/>
    </w:pPr>
    <w:rPr>
      <w:rFonts w:ascii="Open Sans" w:hAnsi="Open Sans" w:eastAsia="Open Sans" w:cs="Open Sans"/>
      <w:b/>
      <w:color w:val="007878"/>
      <w:sz w:val="36"/>
      <w:szCs w:val="36"/>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91461"/>
    <w:rPr>
      <w:color w:val="0000FF"/>
      <w:u w:val="single"/>
    </w:rPr>
  </w:style>
  <w:style w:type="paragraph" w:styleId="NormalWeb">
    <w:name w:val="Normal (Web)"/>
    <w:basedOn w:val="Normal"/>
    <w:uiPriority w:val="99"/>
    <w:semiHidden/>
    <w:unhideWhenUsed/>
    <w:rsid w:val="00C67A91"/>
    <w:pPr>
      <w:spacing w:before="100" w:beforeAutospacing="1" w:after="100" w:afterAutospacing="1" w:line="240" w:lineRule="auto"/>
    </w:pPr>
    <w:rPr>
      <w:rFonts w:ascii="Times New Roman" w:hAnsi="Times New Roman" w:eastAsia="Times New Roman" w:cs="Times New Roman"/>
      <w:lang w:val="en-US"/>
    </w:rPr>
  </w:style>
  <w:style w:type="paragraph" w:styleId="ListParagraph">
    <w:name w:val="List Paragraph"/>
    <w:basedOn w:val="Normal"/>
    <w:uiPriority w:val="34"/>
    <w:qFormat/>
    <w:rsid w:val="00AD0CCB"/>
    <w:pPr>
      <w:ind w:left="720"/>
      <w:contextualSpacing/>
    </w:pPr>
  </w:style>
  <w:style w:type="character" w:styleId="UnresolvedMention">
    <w:name w:val="Unresolved Mention"/>
    <w:basedOn w:val="DefaultParagraphFont"/>
    <w:uiPriority w:val="99"/>
    <w:semiHidden/>
    <w:unhideWhenUsed/>
    <w:rsid w:val="00AD0C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300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2.xml" Id="rId13" /><Relationship Type="http://schemas.openxmlformats.org/officeDocument/2006/relationships/settings" Target="settings.xml" Id="rId3" /><Relationship Type="http://schemas.openxmlformats.org/officeDocument/2006/relationships/header" Target="header1.xm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webSettings" Target="webSettings.xml" Id="rId4" /><Relationship Type="http://schemas.openxmlformats.org/officeDocument/2006/relationships/footer" Target="footer1.xml" Id="rId14" /><Relationship Type="http://schemas.openxmlformats.org/officeDocument/2006/relationships/hyperlink" Target="https://www.ncbi.nlm.nih.gov/pmc/articles/PMC9013219/" TargetMode="External" Id="Rf37ecdc051e7481c"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Iain McKone</lastModifiedBy>
  <revision>3</revision>
  <dcterms:created xsi:type="dcterms:W3CDTF">2022-10-31T13:10:00.0000000Z</dcterms:created>
  <dcterms:modified xsi:type="dcterms:W3CDTF">2023-02-14T02:31:09.5721366Z</dcterms:modified>
</coreProperties>
</file>