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10231"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330"/>
        <w:gridCol w:w="1776"/>
        <w:gridCol w:w="1852"/>
        <w:gridCol w:w="5273"/>
      </w:tblGrid>
      <w:tr w14:paraId="1549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Pr>
        <w:tc>
          <w:tcPr>
            <w:tcW w:w="10231" w:type="dxa"/>
            <w:gridSpan w:val="4"/>
            <w:tcBorders>
              <w:top w:val="single" w:color="auto" w:sz="4" w:space="0"/>
              <w:left w:val="single" w:color="auto" w:sz="4" w:space="0"/>
              <w:bottom w:val="single" w:color="auto" w:sz="4" w:space="0"/>
              <w:right w:val="single" w:color="auto" w:sz="4" w:space="0"/>
            </w:tcBorders>
            <w:noWrap w:val="0"/>
            <w:vAlign w:val="top"/>
          </w:tcPr>
          <w:p w14:paraId="075AE766">
            <w:pPr>
              <w:pStyle w:val="13"/>
              <w:tabs>
                <w:tab w:val="clear" w:pos="4819"/>
                <w:tab w:val="clear" w:pos="9638"/>
              </w:tabs>
              <w:spacing w:before="240"/>
              <w:rPr>
                <w:rFonts w:hint="eastAsia" w:ascii="宋体" w:eastAsia="宋体"/>
                <w:b/>
                <w:sz w:val="18"/>
                <w:lang w:val="en-GB"/>
              </w:rPr>
            </w:pPr>
            <w:bookmarkStart w:id="2" w:name="_GoBack"/>
            <w:bookmarkEnd w:id="2"/>
          </w:p>
          <w:p w14:paraId="7048F2B8">
            <w:pPr>
              <w:pStyle w:val="13"/>
              <w:tabs>
                <w:tab w:val="clear" w:pos="4819"/>
                <w:tab w:val="clear" w:pos="9638"/>
              </w:tabs>
              <w:spacing w:before="240"/>
              <w:rPr>
                <w:rFonts w:hint="eastAsia" w:ascii="宋体" w:eastAsia="宋体"/>
                <w:b/>
                <w:sz w:val="18"/>
                <w:lang w:val="en-GB"/>
              </w:rPr>
            </w:pPr>
          </w:p>
          <w:p w14:paraId="5ADEE4DA">
            <w:pPr>
              <w:pStyle w:val="13"/>
              <w:tabs>
                <w:tab w:val="clear" w:pos="4819"/>
                <w:tab w:val="clear" w:pos="9638"/>
              </w:tabs>
              <w:spacing w:before="240"/>
              <w:rPr>
                <w:rFonts w:hint="eastAsia" w:ascii="宋体" w:eastAsia="宋体"/>
                <w:b/>
                <w:sz w:val="18"/>
                <w:lang w:val="en-GB"/>
              </w:rPr>
            </w:pPr>
          </w:p>
          <w:tbl>
            <w:tblPr>
              <w:tblStyle w:val="18"/>
              <w:tblW w:w="5059" w:type="dxa"/>
              <w:jc w:val="center"/>
              <w:tblLayout w:type="fixed"/>
              <w:tblCellMar>
                <w:top w:w="0" w:type="dxa"/>
                <w:left w:w="108" w:type="dxa"/>
                <w:bottom w:w="0" w:type="dxa"/>
                <w:right w:w="108" w:type="dxa"/>
              </w:tblCellMar>
            </w:tblPr>
            <w:tblGrid>
              <w:gridCol w:w="1458"/>
              <w:gridCol w:w="3601"/>
            </w:tblGrid>
            <w:tr w14:paraId="221480DB">
              <w:tblPrEx>
                <w:tblCellMar>
                  <w:top w:w="0" w:type="dxa"/>
                  <w:left w:w="108" w:type="dxa"/>
                  <w:bottom w:w="0" w:type="dxa"/>
                  <w:right w:w="108" w:type="dxa"/>
                </w:tblCellMar>
              </w:tblPrEx>
              <w:trPr>
                <w:wBefore w:w="0" w:type="dxa"/>
                <w:trHeight w:val="930" w:hRule="atLeast"/>
                <w:jc w:val="center"/>
              </w:trPr>
              <w:tc>
                <w:tcPr>
                  <w:tcW w:w="1458" w:type="dxa"/>
                  <w:noWrap w:val="0"/>
                  <w:vAlign w:val="bottom"/>
                </w:tcPr>
                <w:p w14:paraId="2AC2ECBC">
                  <w:pPr>
                    <w:pStyle w:val="13"/>
                    <w:tabs>
                      <w:tab w:val="clear" w:pos="4819"/>
                      <w:tab w:val="clear" w:pos="9638"/>
                    </w:tabs>
                    <w:spacing w:before="240"/>
                    <w:jc w:val="right"/>
                    <w:rPr>
                      <w:rFonts w:hint="eastAsia" w:ascii="宋体" w:eastAsia="宋体"/>
                      <w:b/>
                      <w:sz w:val="30"/>
                      <w:szCs w:val="30"/>
                      <w:lang w:val="en-GB"/>
                    </w:rPr>
                  </w:pPr>
                  <w:r>
                    <w:rPr>
                      <w:rFonts w:hint="eastAsia" w:ascii="宋体" w:eastAsia="宋体"/>
                      <w:b/>
                      <w:sz w:val="30"/>
                      <w:szCs w:val="30"/>
                      <w:lang w:val="en-GB"/>
                    </w:rPr>
                    <w:t>编制:</w:t>
                  </w:r>
                </w:p>
              </w:tc>
              <w:tc>
                <w:tcPr>
                  <w:tcW w:w="3601" w:type="dxa"/>
                  <w:tcBorders>
                    <w:bottom w:val="single" w:color="auto" w:sz="4" w:space="0"/>
                  </w:tcBorders>
                  <w:noWrap w:val="0"/>
                  <w:vAlign w:val="bottom"/>
                </w:tcPr>
                <w:p w14:paraId="422AB6CB">
                  <w:pPr>
                    <w:pStyle w:val="13"/>
                    <w:tabs>
                      <w:tab w:val="clear" w:pos="4819"/>
                      <w:tab w:val="clear" w:pos="9638"/>
                    </w:tabs>
                    <w:spacing w:before="240"/>
                    <w:ind w:right="600" w:firstLine="904" w:firstLineChars="300"/>
                    <w:rPr>
                      <w:rFonts w:hint="eastAsia" w:ascii="宋体" w:eastAsia="宋体"/>
                      <w:b/>
                      <w:sz w:val="30"/>
                      <w:szCs w:val="30"/>
                      <w:lang w:val="en-GB"/>
                    </w:rPr>
                  </w:pPr>
                  <w:r>
                    <w:rPr>
                      <w:rFonts w:hint="eastAsia" w:ascii="宋体" w:eastAsia="宋体"/>
                      <w:b/>
                      <w:sz w:val="30"/>
                      <w:szCs w:val="30"/>
                      <w:lang w:val="en-GB"/>
                    </w:rPr>
                    <w:t>杨正行</w:t>
                  </w:r>
                </w:p>
              </w:tc>
            </w:tr>
            <w:tr w14:paraId="347397E5">
              <w:tblPrEx>
                <w:tblCellMar>
                  <w:top w:w="0" w:type="dxa"/>
                  <w:left w:w="108" w:type="dxa"/>
                  <w:bottom w:w="0" w:type="dxa"/>
                  <w:right w:w="108" w:type="dxa"/>
                </w:tblCellMar>
              </w:tblPrEx>
              <w:trPr>
                <w:wBefore w:w="0" w:type="dxa"/>
                <w:trHeight w:val="930" w:hRule="atLeast"/>
                <w:jc w:val="center"/>
              </w:trPr>
              <w:tc>
                <w:tcPr>
                  <w:tcW w:w="1458" w:type="dxa"/>
                  <w:noWrap w:val="0"/>
                  <w:vAlign w:val="bottom"/>
                </w:tcPr>
                <w:p w14:paraId="7AB56FD7">
                  <w:pPr>
                    <w:pStyle w:val="13"/>
                    <w:tabs>
                      <w:tab w:val="clear" w:pos="4819"/>
                      <w:tab w:val="clear" w:pos="9638"/>
                    </w:tabs>
                    <w:spacing w:before="240"/>
                    <w:jc w:val="right"/>
                    <w:rPr>
                      <w:rFonts w:hint="eastAsia" w:ascii="宋体" w:eastAsia="宋体"/>
                      <w:b/>
                      <w:sz w:val="30"/>
                      <w:szCs w:val="30"/>
                      <w:lang w:val="en-GB"/>
                    </w:rPr>
                  </w:pPr>
                  <w:r>
                    <w:rPr>
                      <w:rFonts w:hint="eastAsia" w:ascii="宋体" w:eastAsia="宋体"/>
                      <w:b/>
                      <w:sz w:val="30"/>
                      <w:szCs w:val="30"/>
                      <w:lang w:val="en-GB"/>
                    </w:rPr>
                    <w:t>审核:</w:t>
                  </w:r>
                </w:p>
              </w:tc>
              <w:tc>
                <w:tcPr>
                  <w:tcW w:w="3601" w:type="dxa"/>
                  <w:tcBorders>
                    <w:top w:val="single" w:color="auto" w:sz="4" w:space="0"/>
                    <w:bottom w:val="single" w:color="auto" w:sz="4" w:space="0"/>
                  </w:tcBorders>
                  <w:noWrap w:val="0"/>
                  <w:vAlign w:val="bottom"/>
                </w:tcPr>
                <w:p w14:paraId="1E676CB6">
                  <w:pPr>
                    <w:pStyle w:val="13"/>
                    <w:tabs>
                      <w:tab w:val="clear" w:pos="4819"/>
                      <w:tab w:val="clear" w:pos="9638"/>
                    </w:tabs>
                    <w:spacing w:before="240"/>
                    <w:jc w:val="right"/>
                    <w:rPr>
                      <w:rFonts w:hint="eastAsia" w:ascii="宋体" w:eastAsia="宋体"/>
                      <w:b/>
                      <w:sz w:val="30"/>
                      <w:szCs w:val="30"/>
                      <w:lang w:val="en-GB"/>
                    </w:rPr>
                  </w:pPr>
                </w:p>
              </w:tc>
            </w:tr>
            <w:tr w14:paraId="513FEA08">
              <w:tblPrEx>
                <w:tblCellMar>
                  <w:top w:w="0" w:type="dxa"/>
                  <w:left w:w="108" w:type="dxa"/>
                  <w:bottom w:w="0" w:type="dxa"/>
                  <w:right w:w="108" w:type="dxa"/>
                </w:tblCellMar>
              </w:tblPrEx>
              <w:trPr>
                <w:wBefore w:w="0" w:type="dxa"/>
                <w:trHeight w:val="930" w:hRule="atLeast"/>
                <w:jc w:val="center"/>
              </w:trPr>
              <w:tc>
                <w:tcPr>
                  <w:tcW w:w="1458" w:type="dxa"/>
                  <w:noWrap w:val="0"/>
                  <w:vAlign w:val="bottom"/>
                </w:tcPr>
                <w:p w14:paraId="6555851F">
                  <w:pPr>
                    <w:pStyle w:val="13"/>
                    <w:tabs>
                      <w:tab w:val="clear" w:pos="4819"/>
                      <w:tab w:val="clear" w:pos="9638"/>
                    </w:tabs>
                    <w:spacing w:before="240"/>
                    <w:jc w:val="right"/>
                    <w:rPr>
                      <w:rFonts w:hint="eastAsia" w:ascii="宋体" w:eastAsia="宋体"/>
                      <w:b/>
                      <w:sz w:val="30"/>
                      <w:szCs w:val="30"/>
                      <w:lang w:val="en-GB"/>
                    </w:rPr>
                  </w:pPr>
                  <w:r>
                    <w:rPr>
                      <w:rFonts w:hint="eastAsia" w:ascii="宋体" w:eastAsia="宋体"/>
                      <w:b/>
                      <w:sz w:val="30"/>
                      <w:szCs w:val="30"/>
                      <w:lang w:val="en-GB"/>
                    </w:rPr>
                    <w:t>批准:</w:t>
                  </w:r>
                </w:p>
              </w:tc>
              <w:tc>
                <w:tcPr>
                  <w:tcW w:w="3601" w:type="dxa"/>
                  <w:tcBorders>
                    <w:top w:val="single" w:color="auto" w:sz="4" w:space="0"/>
                    <w:bottom w:val="single" w:color="auto" w:sz="4" w:space="0"/>
                  </w:tcBorders>
                  <w:noWrap w:val="0"/>
                  <w:vAlign w:val="bottom"/>
                </w:tcPr>
                <w:p w14:paraId="569350E7">
                  <w:pPr>
                    <w:pStyle w:val="13"/>
                    <w:tabs>
                      <w:tab w:val="clear" w:pos="4819"/>
                      <w:tab w:val="clear" w:pos="9638"/>
                    </w:tabs>
                    <w:spacing w:before="240"/>
                    <w:jc w:val="right"/>
                    <w:rPr>
                      <w:rFonts w:hint="eastAsia" w:ascii="宋体" w:eastAsia="宋体"/>
                      <w:b/>
                      <w:sz w:val="30"/>
                      <w:szCs w:val="30"/>
                      <w:lang w:val="en-GB"/>
                    </w:rPr>
                  </w:pPr>
                </w:p>
              </w:tc>
            </w:tr>
            <w:tr w14:paraId="0B89FFD6">
              <w:tblPrEx>
                <w:tblCellMar>
                  <w:top w:w="0" w:type="dxa"/>
                  <w:left w:w="108" w:type="dxa"/>
                  <w:bottom w:w="0" w:type="dxa"/>
                  <w:right w:w="108" w:type="dxa"/>
                </w:tblCellMar>
              </w:tblPrEx>
              <w:trPr>
                <w:wBefore w:w="0" w:type="dxa"/>
                <w:trHeight w:val="930" w:hRule="atLeast"/>
                <w:jc w:val="center"/>
              </w:trPr>
              <w:tc>
                <w:tcPr>
                  <w:tcW w:w="1458" w:type="dxa"/>
                  <w:noWrap w:val="0"/>
                  <w:vAlign w:val="bottom"/>
                </w:tcPr>
                <w:p w14:paraId="1E62ED52">
                  <w:pPr>
                    <w:pStyle w:val="13"/>
                    <w:tabs>
                      <w:tab w:val="clear" w:pos="4819"/>
                      <w:tab w:val="clear" w:pos="9638"/>
                    </w:tabs>
                    <w:spacing w:before="240"/>
                    <w:jc w:val="right"/>
                    <w:rPr>
                      <w:rFonts w:hint="eastAsia" w:ascii="宋体" w:eastAsia="宋体"/>
                      <w:b/>
                      <w:sz w:val="30"/>
                      <w:szCs w:val="30"/>
                      <w:lang w:val="en-GB"/>
                    </w:rPr>
                  </w:pPr>
                  <w:r>
                    <w:rPr>
                      <w:rFonts w:hint="eastAsia" w:ascii="宋体" w:eastAsia="宋体"/>
                      <w:b/>
                      <w:sz w:val="30"/>
                      <w:szCs w:val="30"/>
                      <w:lang w:val="en-GB"/>
                    </w:rPr>
                    <w:t>分发号:</w:t>
                  </w:r>
                </w:p>
              </w:tc>
              <w:tc>
                <w:tcPr>
                  <w:tcW w:w="3601" w:type="dxa"/>
                  <w:tcBorders>
                    <w:top w:val="single" w:color="auto" w:sz="4" w:space="0"/>
                    <w:bottom w:val="single" w:color="auto" w:sz="4" w:space="0"/>
                  </w:tcBorders>
                  <w:noWrap w:val="0"/>
                  <w:vAlign w:val="bottom"/>
                </w:tcPr>
                <w:p w14:paraId="6BAB184C">
                  <w:pPr>
                    <w:pStyle w:val="13"/>
                    <w:tabs>
                      <w:tab w:val="clear" w:pos="4819"/>
                      <w:tab w:val="clear" w:pos="9638"/>
                    </w:tabs>
                    <w:spacing w:before="240"/>
                    <w:jc w:val="right"/>
                    <w:rPr>
                      <w:rFonts w:hint="eastAsia" w:ascii="宋体" w:eastAsia="宋体"/>
                      <w:b/>
                      <w:sz w:val="30"/>
                      <w:szCs w:val="30"/>
                      <w:lang w:val="en-GB"/>
                    </w:rPr>
                  </w:pPr>
                </w:p>
              </w:tc>
            </w:tr>
          </w:tbl>
          <w:p w14:paraId="2A079148">
            <w:pPr>
              <w:pStyle w:val="13"/>
              <w:tabs>
                <w:tab w:val="clear" w:pos="4819"/>
                <w:tab w:val="clear" w:pos="9638"/>
              </w:tabs>
              <w:spacing w:before="240"/>
              <w:rPr>
                <w:rFonts w:hint="eastAsia" w:ascii="宋体" w:eastAsia="宋体"/>
                <w:b/>
                <w:sz w:val="18"/>
                <w:lang w:val="en-GB"/>
              </w:rPr>
            </w:pPr>
          </w:p>
          <w:p w14:paraId="337D7840">
            <w:pPr>
              <w:pStyle w:val="13"/>
              <w:tabs>
                <w:tab w:val="clear" w:pos="4819"/>
                <w:tab w:val="clear" w:pos="9638"/>
              </w:tabs>
              <w:spacing w:before="240"/>
              <w:rPr>
                <w:rFonts w:hint="eastAsia" w:ascii="宋体" w:eastAsia="宋体"/>
                <w:b/>
                <w:sz w:val="18"/>
                <w:lang w:val="en-GB"/>
              </w:rPr>
            </w:pPr>
          </w:p>
          <w:p w14:paraId="7915AFA3">
            <w:pPr>
              <w:pStyle w:val="13"/>
              <w:tabs>
                <w:tab w:val="clear" w:pos="4819"/>
                <w:tab w:val="clear" w:pos="9638"/>
              </w:tabs>
              <w:spacing w:before="240"/>
              <w:rPr>
                <w:rFonts w:hint="eastAsia" w:ascii="宋体" w:eastAsia="宋体"/>
                <w:b/>
                <w:sz w:val="18"/>
                <w:lang w:val="en-GB"/>
              </w:rPr>
            </w:pPr>
          </w:p>
          <w:p w14:paraId="1864885F">
            <w:pPr>
              <w:pStyle w:val="13"/>
              <w:tabs>
                <w:tab w:val="clear" w:pos="4819"/>
                <w:tab w:val="clear" w:pos="9638"/>
              </w:tabs>
              <w:spacing w:before="240"/>
              <w:rPr>
                <w:rFonts w:hint="eastAsia" w:ascii="宋体" w:eastAsia="宋体"/>
                <w:b/>
                <w:sz w:val="18"/>
                <w:lang w:val="en-GB"/>
              </w:rPr>
            </w:pPr>
          </w:p>
        </w:tc>
      </w:tr>
      <w:tr w14:paraId="2C13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Pr>
        <w:tc>
          <w:tcPr>
            <w:tcW w:w="10231" w:type="dxa"/>
            <w:gridSpan w:val="4"/>
            <w:tcBorders>
              <w:top w:val="single" w:color="auto" w:sz="4" w:space="0"/>
              <w:left w:val="nil"/>
              <w:bottom w:val="single" w:color="auto" w:sz="4" w:space="0"/>
              <w:right w:val="nil"/>
            </w:tcBorders>
            <w:noWrap w:val="0"/>
            <w:vAlign w:val="top"/>
          </w:tcPr>
          <w:p w14:paraId="31D8E120">
            <w:pPr>
              <w:pStyle w:val="13"/>
              <w:tabs>
                <w:tab w:val="clear" w:pos="4819"/>
                <w:tab w:val="clear" w:pos="9638"/>
              </w:tabs>
              <w:spacing w:before="240"/>
              <w:rPr>
                <w:rFonts w:hint="eastAsia" w:ascii="宋体" w:eastAsia="宋体"/>
                <w:b/>
                <w:szCs w:val="24"/>
                <w:lang w:val="en-GB"/>
              </w:rPr>
            </w:pPr>
            <w:r>
              <w:rPr>
                <w:rFonts w:hint="eastAsia" w:ascii="宋体" w:eastAsia="宋体"/>
                <w:b/>
                <w:szCs w:val="24"/>
              </w:rPr>
              <w:t>修订情况</w:t>
            </w:r>
          </w:p>
        </w:tc>
      </w:tr>
      <w:tr w14:paraId="4433C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368" w:hRule="atLeast"/>
        </w:trPr>
        <w:tc>
          <w:tcPr>
            <w:tcW w:w="1330" w:type="dxa"/>
            <w:tcBorders>
              <w:top w:val="single" w:color="auto" w:sz="4" w:space="0"/>
              <w:left w:val="single" w:color="auto" w:sz="4" w:space="0"/>
              <w:bottom w:val="single" w:color="auto" w:sz="4" w:space="0"/>
              <w:right w:val="single" w:color="auto" w:sz="4" w:space="0"/>
            </w:tcBorders>
            <w:noWrap w:val="0"/>
            <w:vAlign w:val="center"/>
          </w:tcPr>
          <w:p w14:paraId="6C69ECB8">
            <w:pPr>
              <w:pStyle w:val="13"/>
              <w:tabs>
                <w:tab w:val="clear" w:pos="4819"/>
                <w:tab w:val="clear" w:pos="9638"/>
              </w:tabs>
              <w:spacing w:before="20"/>
              <w:jc w:val="center"/>
              <w:rPr>
                <w:rFonts w:hint="eastAsia" w:ascii="宋体" w:eastAsia="宋体"/>
                <w:szCs w:val="24"/>
                <w:lang w:val="en-GB"/>
              </w:rPr>
            </w:pPr>
            <w:r>
              <w:rPr>
                <w:rFonts w:hint="eastAsia" w:ascii="宋体" w:eastAsia="宋体"/>
                <w:szCs w:val="24"/>
                <w:lang w:val="en-GB"/>
              </w:rPr>
              <w:t>版次</w:t>
            </w:r>
          </w:p>
        </w:tc>
        <w:tc>
          <w:tcPr>
            <w:tcW w:w="1776" w:type="dxa"/>
            <w:tcBorders>
              <w:top w:val="single" w:color="auto" w:sz="4" w:space="0"/>
              <w:left w:val="single" w:color="auto" w:sz="4" w:space="0"/>
              <w:bottom w:val="single" w:color="auto" w:sz="4" w:space="0"/>
              <w:right w:val="single" w:color="auto" w:sz="4" w:space="0"/>
            </w:tcBorders>
            <w:noWrap w:val="0"/>
            <w:vAlign w:val="center"/>
          </w:tcPr>
          <w:p w14:paraId="7647C7B6">
            <w:pPr>
              <w:pStyle w:val="13"/>
              <w:tabs>
                <w:tab w:val="clear" w:pos="4819"/>
                <w:tab w:val="clear" w:pos="9638"/>
              </w:tabs>
              <w:spacing w:before="20"/>
              <w:jc w:val="center"/>
              <w:rPr>
                <w:rFonts w:hint="eastAsia" w:ascii="宋体" w:eastAsia="宋体"/>
                <w:szCs w:val="24"/>
                <w:lang w:val="en-GB"/>
              </w:rPr>
            </w:pPr>
            <w:r>
              <w:rPr>
                <w:rFonts w:hint="eastAsia" w:ascii="宋体" w:eastAsia="宋体"/>
                <w:szCs w:val="24"/>
                <w:lang w:val="en-GB"/>
              </w:rPr>
              <w:t>日期</w:t>
            </w:r>
          </w:p>
        </w:tc>
        <w:tc>
          <w:tcPr>
            <w:tcW w:w="1852" w:type="dxa"/>
            <w:tcBorders>
              <w:top w:val="single" w:color="auto" w:sz="4" w:space="0"/>
              <w:left w:val="single" w:color="auto" w:sz="4" w:space="0"/>
              <w:bottom w:val="single" w:color="auto" w:sz="4" w:space="0"/>
              <w:right w:val="single" w:color="auto" w:sz="4" w:space="0"/>
            </w:tcBorders>
            <w:noWrap w:val="0"/>
            <w:vAlign w:val="center"/>
          </w:tcPr>
          <w:p w14:paraId="72206A3D">
            <w:pPr>
              <w:pStyle w:val="13"/>
              <w:tabs>
                <w:tab w:val="clear" w:pos="4819"/>
                <w:tab w:val="clear" w:pos="9638"/>
              </w:tabs>
              <w:spacing w:before="20"/>
              <w:jc w:val="center"/>
              <w:rPr>
                <w:rFonts w:hint="eastAsia" w:ascii="宋体" w:eastAsia="宋体"/>
                <w:szCs w:val="24"/>
                <w:lang w:val="en-GB"/>
              </w:rPr>
            </w:pPr>
            <w:r>
              <w:rPr>
                <w:rFonts w:hint="eastAsia" w:ascii="宋体" w:eastAsia="宋体"/>
                <w:szCs w:val="24"/>
                <w:lang w:val="en-GB"/>
              </w:rPr>
              <w:t>状态</w:t>
            </w:r>
          </w:p>
        </w:tc>
        <w:tc>
          <w:tcPr>
            <w:tcW w:w="5273" w:type="dxa"/>
            <w:tcBorders>
              <w:top w:val="single" w:color="auto" w:sz="4" w:space="0"/>
              <w:left w:val="single" w:color="auto" w:sz="4" w:space="0"/>
              <w:bottom w:val="single" w:color="auto" w:sz="4" w:space="0"/>
              <w:right w:val="single" w:color="auto" w:sz="4" w:space="0"/>
            </w:tcBorders>
            <w:noWrap w:val="0"/>
            <w:vAlign w:val="center"/>
          </w:tcPr>
          <w:p w14:paraId="4B6A9B36">
            <w:pPr>
              <w:pStyle w:val="13"/>
              <w:tabs>
                <w:tab w:val="clear" w:pos="4819"/>
                <w:tab w:val="clear" w:pos="9638"/>
              </w:tabs>
              <w:spacing w:before="20"/>
              <w:jc w:val="center"/>
              <w:rPr>
                <w:rFonts w:hint="eastAsia" w:ascii="宋体" w:eastAsia="宋体"/>
                <w:szCs w:val="24"/>
                <w:lang w:val="en-GB"/>
              </w:rPr>
            </w:pPr>
            <w:r>
              <w:rPr>
                <w:rFonts w:hint="eastAsia" w:ascii="宋体" w:eastAsia="宋体"/>
                <w:szCs w:val="24"/>
                <w:lang w:val="en-GB"/>
              </w:rPr>
              <w:t>描述</w:t>
            </w:r>
          </w:p>
        </w:tc>
      </w:tr>
      <w:tr w14:paraId="2DD0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735" w:hRule="atLeast"/>
        </w:trPr>
        <w:tc>
          <w:tcPr>
            <w:tcW w:w="1330" w:type="dxa"/>
            <w:tcBorders>
              <w:top w:val="single" w:color="auto" w:sz="4" w:space="0"/>
              <w:left w:val="single" w:color="auto" w:sz="4" w:space="0"/>
              <w:bottom w:val="nil"/>
              <w:right w:val="single" w:color="auto" w:sz="4" w:space="0"/>
            </w:tcBorders>
            <w:noWrap w:val="0"/>
            <w:vAlign w:val="center"/>
          </w:tcPr>
          <w:p w14:paraId="6AEFD3E1">
            <w:pPr>
              <w:pStyle w:val="13"/>
              <w:tabs>
                <w:tab w:val="clear" w:pos="4819"/>
                <w:tab w:val="clear" w:pos="9638"/>
              </w:tabs>
              <w:spacing w:before="20"/>
              <w:jc w:val="center"/>
              <w:rPr>
                <w:rFonts w:hint="eastAsia" w:ascii="宋体" w:eastAsia="宋体"/>
                <w:szCs w:val="24"/>
                <w:lang w:val="en-GB"/>
              </w:rPr>
            </w:pPr>
            <w:r>
              <w:rPr>
                <w:rFonts w:hint="eastAsia" w:ascii="宋体" w:eastAsia="宋体"/>
                <w:szCs w:val="24"/>
                <w:lang w:val="en-GB"/>
              </w:rPr>
              <w:t>A/0</w:t>
            </w:r>
          </w:p>
        </w:tc>
        <w:tc>
          <w:tcPr>
            <w:tcW w:w="1776" w:type="dxa"/>
            <w:tcBorders>
              <w:top w:val="single" w:color="auto" w:sz="4" w:space="0"/>
              <w:left w:val="single" w:color="auto" w:sz="4" w:space="0"/>
              <w:bottom w:val="nil"/>
              <w:right w:val="single" w:color="auto" w:sz="4" w:space="0"/>
            </w:tcBorders>
            <w:noWrap w:val="0"/>
            <w:vAlign w:val="center"/>
          </w:tcPr>
          <w:p w14:paraId="5112A24E">
            <w:pPr>
              <w:pStyle w:val="13"/>
              <w:tabs>
                <w:tab w:val="clear" w:pos="4819"/>
                <w:tab w:val="clear" w:pos="9638"/>
              </w:tabs>
              <w:spacing w:before="20"/>
              <w:jc w:val="center"/>
              <w:rPr>
                <w:rFonts w:ascii="宋体" w:eastAsia="宋体"/>
                <w:szCs w:val="24"/>
                <w:lang w:val="en-GB"/>
              </w:rPr>
            </w:pPr>
            <w:r>
              <w:rPr>
                <w:rFonts w:hint="eastAsia" w:ascii="宋体" w:eastAsia="宋体"/>
                <w:szCs w:val="24"/>
                <w:lang w:val="en-GB"/>
              </w:rPr>
              <w:t>2017-04-28</w:t>
            </w:r>
          </w:p>
        </w:tc>
        <w:tc>
          <w:tcPr>
            <w:tcW w:w="1852" w:type="dxa"/>
            <w:tcBorders>
              <w:top w:val="single" w:color="auto" w:sz="4" w:space="0"/>
              <w:left w:val="single" w:color="auto" w:sz="4" w:space="0"/>
              <w:bottom w:val="nil"/>
              <w:right w:val="single" w:color="auto" w:sz="4" w:space="0"/>
            </w:tcBorders>
            <w:noWrap w:val="0"/>
            <w:vAlign w:val="center"/>
          </w:tcPr>
          <w:p w14:paraId="22E8CC04">
            <w:pPr>
              <w:pStyle w:val="13"/>
              <w:tabs>
                <w:tab w:val="clear" w:pos="4819"/>
                <w:tab w:val="clear" w:pos="9638"/>
              </w:tabs>
              <w:spacing w:before="20"/>
              <w:jc w:val="center"/>
              <w:rPr>
                <w:rFonts w:hint="eastAsia" w:ascii="宋体" w:eastAsia="宋体"/>
                <w:szCs w:val="24"/>
                <w:lang w:val="en-GB"/>
              </w:rPr>
            </w:pPr>
            <w:r>
              <w:rPr>
                <w:rFonts w:hint="eastAsia" w:ascii="宋体" w:eastAsia="宋体"/>
                <w:szCs w:val="24"/>
                <w:lang w:val="en-GB"/>
              </w:rPr>
              <w:t>有效</w:t>
            </w:r>
          </w:p>
        </w:tc>
        <w:tc>
          <w:tcPr>
            <w:tcW w:w="5273" w:type="dxa"/>
            <w:tcBorders>
              <w:top w:val="single" w:color="auto" w:sz="4" w:space="0"/>
              <w:left w:val="single" w:color="auto" w:sz="4" w:space="0"/>
              <w:bottom w:val="nil"/>
              <w:right w:val="single" w:color="auto" w:sz="4" w:space="0"/>
            </w:tcBorders>
            <w:noWrap w:val="0"/>
            <w:vAlign w:val="center"/>
          </w:tcPr>
          <w:p w14:paraId="04295DBB">
            <w:pPr>
              <w:pStyle w:val="13"/>
              <w:tabs>
                <w:tab w:val="clear" w:pos="4819"/>
                <w:tab w:val="clear" w:pos="9638"/>
              </w:tabs>
              <w:spacing w:before="20"/>
              <w:jc w:val="center"/>
              <w:rPr>
                <w:rFonts w:hint="eastAsia" w:ascii="宋体" w:eastAsia="宋体"/>
                <w:szCs w:val="24"/>
                <w:lang w:val="en-GB"/>
              </w:rPr>
            </w:pPr>
            <w:r>
              <w:rPr>
                <w:rFonts w:hint="eastAsia" w:ascii="宋体" w:eastAsia="宋体"/>
                <w:szCs w:val="24"/>
                <w:lang w:val="en-GB"/>
              </w:rPr>
              <w:t>首次制定</w:t>
            </w:r>
          </w:p>
        </w:tc>
      </w:tr>
      <w:tr w14:paraId="7507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735" w:hRule="atLeast"/>
        </w:trPr>
        <w:tc>
          <w:tcPr>
            <w:tcW w:w="1330" w:type="dxa"/>
            <w:tcBorders>
              <w:top w:val="nil"/>
              <w:left w:val="single" w:color="auto" w:sz="4" w:space="0"/>
              <w:bottom w:val="nil"/>
              <w:right w:val="single" w:color="auto" w:sz="4" w:space="0"/>
            </w:tcBorders>
            <w:noWrap w:val="0"/>
            <w:vAlign w:val="center"/>
          </w:tcPr>
          <w:p w14:paraId="6BB62714">
            <w:pPr>
              <w:pStyle w:val="13"/>
              <w:tabs>
                <w:tab w:val="clear" w:pos="4819"/>
                <w:tab w:val="clear" w:pos="9638"/>
              </w:tabs>
              <w:spacing w:before="20"/>
              <w:jc w:val="center"/>
              <w:rPr>
                <w:rFonts w:hint="eastAsia" w:ascii="宋体" w:eastAsia="宋体"/>
                <w:szCs w:val="24"/>
                <w:lang w:val="en-GB"/>
              </w:rPr>
            </w:pPr>
          </w:p>
        </w:tc>
        <w:tc>
          <w:tcPr>
            <w:tcW w:w="1776" w:type="dxa"/>
            <w:tcBorders>
              <w:top w:val="nil"/>
              <w:left w:val="single" w:color="auto" w:sz="4" w:space="0"/>
              <w:bottom w:val="nil"/>
              <w:right w:val="single" w:color="auto" w:sz="4" w:space="0"/>
            </w:tcBorders>
            <w:noWrap w:val="0"/>
            <w:vAlign w:val="center"/>
          </w:tcPr>
          <w:p w14:paraId="73F8F144">
            <w:pPr>
              <w:pStyle w:val="13"/>
              <w:tabs>
                <w:tab w:val="clear" w:pos="4819"/>
                <w:tab w:val="clear" w:pos="9638"/>
              </w:tabs>
              <w:spacing w:before="20"/>
              <w:jc w:val="center"/>
              <w:rPr>
                <w:rFonts w:ascii="宋体" w:eastAsia="宋体"/>
                <w:szCs w:val="24"/>
                <w:lang w:val="en-GB"/>
              </w:rPr>
            </w:pPr>
          </w:p>
        </w:tc>
        <w:tc>
          <w:tcPr>
            <w:tcW w:w="1852" w:type="dxa"/>
            <w:tcBorders>
              <w:top w:val="nil"/>
              <w:left w:val="single" w:color="auto" w:sz="4" w:space="0"/>
              <w:bottom w:val="nil"/>
              <w:right w:val="single" w:color="auto" w:sz="4" w:space="0"/>
            </w:tcBorders>
            <w:noWrap w:val="0"/>
            <w:vAlign w:val="center"/>
          </w:tcPr>
          <w:p w14:paraId="3E7D2AD7">
            <w:pPr>
              <w:pStyle w:val="13"/>
              <w:tabs>
                <w:tab w:val="clear" w:pos="4819"/>
                <w:tab w:val="clear" w:pos="9638"/>
              </w:tabs>
              <w:spacing w:before="20"/>
              <w:jc w:val="center"/>
              <w:rPr>
                <w:rFonts w:hint="eastAsia" w:ascii="宋体" w:eastAsia="宋体"/>
                <w:szCs w:val="24"/>
                <w:lang w:val="en-GB"/>
              </w:rPr>
            </w:pPr>
          </w:p>
        </w:tc>
        <w:tc>
          <w:tcPr>
            <w:tcW w:w="5273" w:type="dxa"/>
            <w:tcBorders>
              <w:top w:val="nil"/>
              <w:left w:val="single" w:color="auto" w:sz="4" w:space="0"/>
              <w:bottom w:val="nil"/>
              <w:right w:val="single" w:color="auto" w:sz="4" w:space="0"/>
            </w:tcBorders>
            <w:noWrap w:val="0"/>
            <w:vAlign w:val="center"/>
          </w:tcPr>
          <w:p w14:paraId="7F6CA390">
            <w:pPr>
              <w:pStyle w:val="13"/>
              <w:tabs>
                <w:tab w:val="clear" w:pos="4819"/>
                <w:tab w:val="clear" w:pos="9638"/>
              </w:tabs>
              <w:spacing w:before="20"/>
              <w:jc w:val="center"/>
              <w:rPr>
                <w:rFonts w:hint="eastAsia" w:ascii="宋体" w:eastAsia="宋体"/>
                <w:szCs w:val="24"/>
                <w:lang w:val="en-GB"/>
              </w:rPr>
            </w:pPr>
          </w:p>
        </w:tc>
      </w:tr>
      <w:tr w14:paraId="0EEAB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735" w:hRule="atLeast"/>
        </w:trPr>
        <w:tc>
          <w:tcPr>
            <w:tcW w:w="1330" w:type="dxa"/>
            <w:tcBorders>
              <w:top w:val="nil"/>
              <w:left w:val="single" w:color="auto" w:sz="4" w:space="0"/>
              <w:bottom w:val="nil"/>
              <w:right w:val="single" w:color="auto" w:sz="4" w:space="0"/>
            </w:tcBorders>
            <w:noWrap w:val="0"/>
            <w:vAlign w:val="center"/>
          </w:tcPr>
          <w:p w14:paraId="2275A8BA">
            <w:pPr>
              <w:pStyle w:val="13"/>
              <w:tabs>
                <w:tab w:val="clear" w:pos="4819"/>
                <w:tab w:val="clear" w:pos="9638"/>
              </w:tabs>
              <w:spacing w:before="20"/>
              <w:jc w:val="center"/>
              <w:rPr>
                <w:rFonts w:hint="eastAsia" w:ascii="宋体" w:eastAsia="宋体"/>
                <w:sz w:val="18"/>
                <w:lang w:val="en-GB"/>
              </w:rPr>
            </w:pPr>
          </w:p>
        </w:tc>
        <w:tc>
          <w:tcPr>
            <w:tcW w:w="1776" w:type="dxa"/>
            <w:tcBorders>
              <w:top w:val="nil"/>
              <w:left w:val="single" w:color="auto" w:sz="4" w:space="0"/>
              <w:bottom w:val="nil"/>
              <w:right w:val="single" w:color="auto" w:sz="4" w:space="0"/>
            </w:tcBorders>
            <w:noWrap w:val="0"/>
            <w:vAlign w:val="center"/>
          </w:tcPr>
          <w:p w14:paraId="57CFBA73">
            <w:pPr>
              <w:pStyle w:val="13"/>
              <w:tabs>
                <w:tab w:val="clear" w:pos="4819"/>
                <w:tab w:val="clear" w:pos="9638"/>
              </w:tabs>
              <w:spacing w:before="20"/>
              <w:jc w:val="center"/>
              <w:rPr>
                <w:rFonts w:hint="eastAsia" w:ascii="宋体" w:eastAsia="宋体"/>
                <w:sz w:val="18"/>
                <w:lang w:val="en-GB"/>
              </w:rPr>
            </w:pPr>
          </w:p>
        </w:tc>
        <w:tc>
          <w:tcPr>
            <w:tcW w:w="1852" w:type="dxa"/>
            <w:tcBorders>
              <w:top w:val="nil"/>
              <w:left w:val="single" w:color="auto" w:sz="4" w:space="0"/>
              <w:bottom w:val="nil"/>
              <w:right w:val="single" w:color="auto" w:sz="4" w:space="0"/>
            </w:tcBorders>
            <w:noWrap w:val="0"/>
            <w:vAlign w:val="center"/>
          </w:tcPr>
          <w:p w14:paraId="441AF287">
            <w:pPr>
              <w:pStyle w:val="13"/>
              <w:tabs>
                <w:tab w:val="clear" w:pos="4819"/>
                <w:tab w:val="clear" w:pos="9638"/>
              </w:tabs>
              <w:spacing w:before="20"/>
              <w:jc w:val="center"/>
              <w:rPr>
                <w:rFonts w:hint="eastAsia" w:ascii="宋体" w:eastAsia="宋体"/>
                <w:sz w:val="18"/>
                <w:lang w:val="en-GB"/>
              </w:rPr>
            </w:pPr>
          </w:p>
        </w:tc>
        <w:tc>
          <w:tcPr>
            <w:tcW w:w="5273" w:type="dxa"/>
            <w:tcBorders>
              <w:top w:val="nil"/>
              <w:left w:val="single" w:color="auto" w:sz="4" w:space="0"/>
              <w:bottom w:val="nil"/>
              <w:right w:val="single" w:color="auto" w:sz="4" w:space="0"/>
            </w:tcBorders>
            <w:noWrap w:val="0"/>
            <w:vAlign w:val="center"/>
          </w:tcPr>
          <w:p w14:paraId="0A849B71">
            <w:pPr>
              <w:pStyle w:val="13"/>
              <w:tabs>
                <w:tab w:val="clear" w:pos="4819"/>
                <w:tab w:val="clear" w:pos="9638"/>
              </w:tabs>
              <w:spacing w:before="20"/>
              <w:jc w:val="both"/>
              <w:rPr>
                <w:rFonts w:hint="eastAsia" w:ascii="宋体" w:eastAsia="宋体"/>
                <w:sz w:val="18"/>
              </w:rPr>
            </w:pPr>
          </w:p>
        </w:tc>
      </w:tr>
      <w:tr w14:paraId="32ED3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735" w:hRule="atLeast"/>
        </w:trPr>
        <w:tc>
          <w:tcPr>
            <w:tcW w:w="1330" w:type="dxa"/>
            <w:tcBorders>
              <w:top w:val="nil"/>
              <w:left w:val="single" w:color="auto" w:sz="4" w:space="0"/>
              <w:bottom w:val="nil"/>
              <w:right w:val="single" w:color="auto" w:sz="4" w:space="0"/>
            </w:tcBorders>
            <w:noWrap w:val="0"/>
            <w:vAlign w:val="center"/>
          </w:tcPr>
          <w:p w14:paraId="435EC942">
            <w:pPr>
              <w:pStyle w:val="13"/>
              <w:tabs>
                <w:tab w:val="clear" w:pos="4819"/>
                <w:tab w:val="clear" w:pos="9638"/>
              </w:tabs>
              <w:spacing w:before="20"/>
              <w:jc w:val="center"/>
              <w:rPr>
                <w:rFonts w:hint="eastAsia" w:ascii="宋体" w:eastAsia="宋体"/>
                <w:sz w:val="18"/>
                <w:lang w:val="en-GB"/>
              </w:rPr>
            </w:pPr>
          </w:p>
        </w:tc>
        <w:tc>
          <w:tcPr>
            <w:tcW w:w="1776" w:type="dxa"/>
            <w:tcBorders>
              <w:top w:val="nil"/>
              <w:left w:val="single" w:color="auto" w:sz="4" w:space="0"/>
              <w:bottom w:val="nil"/>
              <w:right w:val="single" w:color="auto" w:sz="4" w:space="0"/>
            </w:tcBorders>
            <w:noWrap w:val="0"/>
            <w:vAlign w:val="center"/>
          </w:tcPr>
          <w:p w14:paraId="681ED580">
            <w:pPr>
              <w:pStyle w:val="13"/>
              <w:tabs>
                <w:tab w:val="clear" w:pos="4819"/>
                <w:tab w:val="clear" w:pos="9638"/>
              </w:tabs>
              <w:spacing w:before="20"/>
              <w:jc w:val="center"/>
              <w:rPr>
                <w:rFonts w:hint="eastAsia" w:ascii="宋体" w:eastAsia="宋体"/>
                <w:sz w:val="18"/>
                <w:lang w:val="en-GB"/>
              </w:rPr>
            </w:pPr>
          </w:p>
        </w:tc>
        <w:tc>
          <w:tcPr>
            <w:tcW w:w="1852" w:type="dxa"/>
            <w:tcBorders>
              <w:top w:val="nil"/>
              <w:left w:val="single" w:color="auto" w:sz="4" w:space="0"/>
              <w:bottom w:val="nil"/>
              <w:right w:val="single" w:color="auto" w:sz="4" w:space="0"/>
            </w:tcBorders>
            <w:noWrap w:val="0"/>
            <w:vAlign w:val="center"/>
          </w:tcPr>
          <w:p w14:paraId="529F0E5F">
            <w:pPr>
              <w:pStyle w:val="13"/>
              <w:tabs>
                <w:tab w:val="clear" w:pos="4819"/>
                <w:tab w:val="clear" w:pos="9638"/>
              </w:tabs>
              <w:spacing w:before="20"/>
              <w:jc w:val="center"/>
              <w:rPr>
                <w:rFonts w:hint="eastAsia" w:ascii="宋体" w:eastAsia="宋体"/>
                <w:sz w:val="18"/>
                <w:lang w:val="en-GB"/>
              </w:rPr>
            </w:pPr>
          </w:p>
        </w:tc>
        <w:tc>
          <w:tcPr>
            <w:tcW w:w="5273" w:type="dxa"/>
            <w:tcBorders>
              <w:top w:val="nil"/>
              <w:left w:val="single" w:color="auto" w:sz="4" w:space="0"/>
              <w:bottom w:val="nil"/>
              <w:right w:val="single" w:color="auto" w:sz="4" w:space="0"/>
            </w:tcBorders>
            <w:noWrap w:val="0"/>
            <w:vAlign w:val="center"/>
          </w:tcPr>
          <w:p w14:paraId="00AB72BC">
            <w:pPr>
              <w:pStyle w:val="13"/>
              <w:tabs>
                <w:tab w:val="clear" w:pos="4819"/>
                <w:tab w:val="clear" w:pos="9638"/>
              </w:tabs>
              <w:spacing w:before="20"/>
              <w:jc w:val="both"/>
              <w:rPr>
                <w:rFonts w:hint="eastAsia" w:ascii="宋体" w:eastAsia="宋体"/>
                <w:sz w:val="18"/>
              </w:rPr>
            </w:pPr>
          </w:p>
        </w:tc>
      </w:tr>
      <w:tr w14:paraId="5981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735" w:hRule="atLeast"/>
        </w:trPr>
        <w:tc>
          <w:tcPr>
            <w:tcW w:w="1330" w:type="dxa"/>
            <w:tcBorders>
              <w:top w:val="nil"/>
              <w:left w:val="single" w:color="auto" w:sz="4" w:space="0"/>
              <w:bottom w:val="nil"/>
              <w:right w:val="single" w:color="auto" w:sz="4" w:space="0"/>
            </w:tcBorders>
            <w:noWrap w:val="0"/>
            <w:vAlign w:val="center"/>
          </w:tcPr>
          <w:p w14:paraId="3ADAC332">
            <w:pPr>
              <w:pStyle w:val="13"/>
              <w:tabs>
                <w:tab w:val="clear" w:pos="4819"/>
                <w:tab w:val="clear" w:pos="9638"/>
              </w:tabs>
              <w:spacing w:before="20"/>
              <w:jc w:val="center"/>
              <w:rPr>
                <w:rFonts w:hint="eastAsia" w:ascii="宋体" w:eastAsia="宋体"/>
                <w:sz w:val="18"/>
                <w:lang w:val="en-GB"/>
              </w:rPr>
            </w:pPr>
          </w:p>
        </w:tc>
        <w:tc>
          <w:tcPr>
            <w:tcW w:w="1776" w:type="dxa"/>
            <w:tcBorders>
              <w:top w:val="nil"/>
              <w:left w:val="single" w:color="auto" w:sz="4" w:space="0"/>
              <w:bottom w:val="nil"/>
              <w:right w:val="single" w:color="auto" w:sz="4" w:space="0"/>
            </w:tcBorders>
            <w:noWrap w:val="0"/>
            <w:vAlign w:val="center"/>
          </w:tcPr>
          <w:p w14:paraId="6A8B6F09">
            <w:pPr>
              <w:pStyle w:val="13"/>
              <w:tabs>
                <w:tab w:val="clear" w:pos="4819"/>
                <w:tab w:val="clear" w:pos="9638"/>
              </w:tabs>
              <w:spacing w:before="20"/>
              <w:jc w:val="center"/>
              <w:rPr>
                <w:rFonts w:hint="eastAsia" w:ascii="宋体" w:eastAsia="宋体"/>
                <w:sz w:val="18"/>
                <w:lang w:val="en-GB"/>
              </w:rPr>
            </w:pPr>
          </w:p>
        </w:tc>
        <w:tc>
          <w:tcPr>
            <w:tcW w:w="1852" w:type="dxa"/>
            <w:tcBorders>
              <w:top w:val="nil"/>
              <w:left w:val="single" w:color="auto" w:sz="4" w:space="0"/>
              <w:bottom w:val="nil"/>
              <w:right w:val="single" w:color="auto" w:sz="4" w:space="0"/>
            </w:tcBorders>
            <w:noWrap w:val="0"/>
            <w:vAlign w:val="center"/>
          </w:tcPr>
          <w:p w14:paraId="151F4F9D">
            <w:pPr>
              <w:pStyle w:val="13"/>
              <w:tabs>
                <w:tab w:val="clear" w:pos="4819"/>
                <w:tab w:val="clear" w:pos="9638"/>
              </w:tabs>
              <w:spacing w:before="20"/>
              <w:jc w:val="center"/>
              <w:rPr>
                <w:rFonts w:hint="eastAsia" w:ascii="宋体" w:eastAsia="宋体"/>
                <w:sz w:val="18"/>
                <w:lang w:val="en-GB"/>
              </w:rPr>
            </w:pPr>
          </w:p>
        </w:tc>
        <w:tc>
          <w:tcPr>
            <w:tcW w:w="5273" w:type="dxa"/>
            <w:tcBorders>
              <w:top w:val="nil"/>
              <w:left w:val="single" w:color="auto" w:sz="4" w:space="0"/>
              <w:bottom w:val="nil"/>
              <w:right w:val="single" w:color="auto" w:sz="4" w:space="0"/>
            </w:tcBorders>
            <w:noWrap w:val="0"/>
            <w:vAlign w:val="center"/>
          </w:tcPr>
          <w:p w14:paraId="1C22E518">
            <w:pPr>
              <w:pStyle w:val="13"/>
              <w:tabs>
                <w:tab w:val="clear" w:pos="4819"/>
                <w:tab w:val="clear" w:pos="9638"/>
              </w:tabs>
              <w:spacing w:before="20"/>
              <w:jc w:val="both"/>
              <w:rPr>
                <w:rFonts w:hint="eastAsia" w:ascii="宋体" w:eastAsia="宋体"/>
                <w:sz w:val="18"/>
              </w:rPr>
            </w:pPr>
          </w:p>
        </w:tc>
      </w:tr>
      <w:tr w14:paraId="53B81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735" w:hRule="atLeast"/>
        </w:trPr>
        <w:tc>
          <w:tcPr>
            <w:tcW w:w="1330" w:type="dxa"/>
            <w:tcBorders>
              <w:top w:val="nil"/>
              <w:left w:val="single" w:color="auto" w:sz="4" w:space="0"/>
              <w:bottom w:val="single" w:color="auto" w:sz="4" w:space="0"/>
              <w:right w:val="single" w:color="auto" w:sz="4" w:space="0"/>
            </w:tcBorders>
            <w:noWrap w:val="0"/>
            <w:vAlign w:val="center"/>
          </w:tcPr>
          <w:p w14:paraId="533D9DC7">
            <w:pPr>
              <w:pStyle w:val="13"/>
              <w:tabs>
                <w:tab w:val="clear" w:pos="4819"/>
                <w:tab w:val="clear" w:pos="9638"/>
              </w:tabs>
              <w:spacing w:before="20"/>
              <w:jc w:val="center"/>
              <w:rPr>
                <w:rFonts w:hint="eastAsia" w:ascii="宋体" w:eastAsia="宋体"/>
                <w:sz w:val="18"/>
                <w:lang w:val="en-GB"/>
              </w:rPr>
            </w:pPr>
          </w:p>
        </w:tc>
        <w:tc>
          <w:tcPr>
            <w:tcW w:w="1776" w:type="dxa"/>
            <w:tcBorders>
              <w:top w:val="nil"/>
              <w:left w:val="single" w:color="auto" w:sz="4" w:space="0"/>
              <w:bottom w:val="single" w:color="auto" w:sz="4" w:space="0"/>
              <w:right w:val="single" w:color="auto" w:sz="4" w:space="0"/>
            </w:tcBorders>
            <w:noWrap w:val="0"/>
            <w:vAlign w:val="center"/>
          </w:tcPr>
          <w:p w14:paraId="5060F93A">
            <w:pPr>
              <w:pStyle w:val="13"/>
              <w:tabs>
                <w:tab w:val="clear" w:pos="4819"/>
                <w:tab w:val="clear" w:pos="9638"/>
              </w:tabs>
              <w:spacing w:before="20"/>
              <w:jc w:val="center"/>
              <w:rPr>
                <w:rFonts w:hint="eastAsia" w:ascii="宋体" w:eastAsia="宋体"/>
                <w:sz w:val="18"/>
                <w:lang w:val="en-GB"/>
              </w:rPr>
            </w:pPr>
          </w:p>
        </w:tc>
        <w:tc>
          <w:tcPr>
            <w:tcW w:w="1852" w:type="dxa"/>
            <w:tcBorders>
              <w:top w:val="nil"/>
              <w:left w:val="single" w:color="auto" w:sz="4" w:space="0"/>
              <w:bottom w:val="single" w:color="auto" w:sz="4" w:space="0"/>
              <w:right w:val="single" w:color="auto" w:sz="4" w:space="0"/>
            </w:tcBorders>
            <w:noWrap w:val="0"/>
            <w:vAlign w:val="center"/>
          </w:tcPr>
          <w:p w14:paraId="7CF5B07A">
            <w:pPr>
              <w:pStyle w:val="13"/>
              <w:tabs>
                <w:tab w:val="clear" w:pos="4819"/>
                <w:tab w:val="clear" w:pos="9638"/>
              </w:tabs>
              <w:spacing w:before="20"/>
              <w:jc w:val="center"/>
              <w:rPr>
                <w:rFonts w:hint="eastAsia" w:ascii="宋体" w:eastAsia="宋体"/>
                <w:sz w:val="18"/>
                <w:lang w:val="en-GB"/>
              </w:rPr>
            </w:pPr>
          </w:p>
        </w:tc>
        <w:tc>
          <w:tcPr>
            <w:tcW w:w="5273" w:type="dxa"/>
            <w:tcBorders>
              <w:top w:val="nil"/>
              <w:left w:val="single" w:color="auto" w:sz="4" w:space="0"/>
              <w:bottom w:val="single" w:color="auto" w:sz="4" w:space="0"/>
              <w:right w:val="single" w:color="auto" w:sz="4" w:space="0"/>
            </w:tcBorders>
            <w:noWrap w:val="0"/>
            <w:vAlign w:val="center"/>
          </w:tcPr>
          <w:p w14:paraId="55F9EC67">
            <w:pPr>
              <w:pStyle w:val="13"/>
              <w:tabs>
                <w:tab w:val="clear" w:pos="4819"/>
                <w:tab w:val="clear" w:pos="9638"/>
              </w:tabs>
              <w:spacing w:before="20"/>
              <w:jc w:val="both"/>
              <w:rPr>
                <w:rFonts w:hint="eastAsia" w:ascii="宋体" w:eastAsia="宋体"/>
                <w:sz w:val="18"/>
              </w:rPr>
            </w:pPr>
          </w:p>
        </w:tc>
      </w:tr>
    </w:tbl>
    <w:p w14:paraId="6148331C">
      <w:pPr>
        <w:rPr>
          <w:rFonts w:hint="eastAsia" w:ascii="仿宋_GB2312" w:eastAsia="仿宋_GB2312"/>
          <w:b/>
          <w:sz w:val="28"/>
          <w:szCs w:val="28"/>
        </w:rPr>
      </w:pPr>
      <w:r>
        <w:rPr>
          <w:rFonts w:hint="eastAsia" w:ascii="仿宋_GB2312" w:eastAsia="仿宋_GB2312"/>
          <w:b/>
          <w:sz w:val="28"/>
          <w:szCs w:val="28"/>
        </w:rPr>
        <w:t>1.目的：</w:t>
      </w:r>
    </w:p>
    <w:p w14:paraId="1F7933F1">
      <w:pPr>
        <w:ind w:firstLine="714" w:firstLineChars="255"/>
        <w:rPr>
          <w:rFonts w:hint="eastAsia" w:ascii="仿宋_GB2312" w:eastAsia="仿宋_GB2312"/>
          <w:sz w:val="28"/>
          <w:szCs w:val="28"/>
        </w:rPr>
      </w:pPr>
      <w:r>
        <w:rPr>
          <w:rFonts w:hint="eastAsia" w:ascii="仿宋_GB2312" w:eastAsia="仿宋_GB2312"/>
          <w:sz w:val="28"/>
          <w:szCs w:val="28"/>
        </w:rPr>
        <w:t>规范外发加工程序，使外发加工产品的质量及数量得到保障。</w:t>
      </w:r>
    </w:p>
    <w:p w14:paraId="71AD30C8">
      <w:pPr>
        <w:rPr>
          <w:rFonts w:hint="eastAsia" w:ascii="仿宋_GB2312" w:eastAsia="仿宋_GB2312"/>
          <w:b/>
          <w:sz w:val="28"/>
          <w:szCs w:val="28"/>
        </w:rPr>
      </w:pPr>
      <w:r>
        <w:rPr>
          <w:rFonts w:hint="eastAsia" w:ascii="仿宋_GB2312" w:eastAsia="仿宋_GB2312"/>
          <w:b/>
          <w:sz w:val="28"/>
          <w:szCs w:val="28"/>
        </w:rPr>
        <w:t>2.适用范围：</w:t>
      </w:r>
    </w:p>
    <w:p w14:paraId="72FF01F3">
      <w:pPr>
        <w:ind w:firstLine="700" w:firstLineChars="250"/>
        <w:rPr>
          <w:rFonts w:hint="eastAsia" w:ascii="仿宋_GB2312" w:eastAsia="仿宋_GB2312"/>
          <w:sz w:val="28"/>
          <w:szCs w:val="28"/>
        </w:rPr>
      </w:pPr>
      <w:r>
        <w:rPr>
          <w:rFonts w:hint="eastAsia" w:ascii="仿宋_GB2312" w:eastAsia="仿宋_GB2312"/>
          <w:sz w:val="28"/>
          <w:szCs w:val="28"/>
        </w:rPr>
        <w:t>本公司所有外发加工产品，包含材料及半成品。</w:t>
      </w:r>
    </w:p>
    <w:p w14:paraId="6C8A7E22">
      <w:pPr>
        <w:rPr>
          <w:rFonts w:hint="eastAsia" w:ascii="仿宋_GB2312" w:eastAsia="仿宋_GB2312"/>
          <w:b/>
          <w:sz w:val="28"/>
          <w:szCs w:val="28"/>
        </w:rPr>
      </w:pPr>
      <w:r>
        <w:rPr>
          <w:rFonts w:hint="eastAsia" w:ascii="仿宋_GB2312" w:eastAsia="仿宋_GB2312"/>
          <w:b/>
          <w:sz w:val="28"/>
          <w:szCs w:val="28"/>
        </w:rPr>
        <w:t>3.管理单位：</w:t>
      </w:r>
    </w:p>
    <w:p w14:paraId="2F5E9E6D">
      <w:pPr>
        <w:rPr>
          <w:rFonts w:hint="eastAsia" w:ascii="仿宋_GB2312" w:eastAsia="仿宋_GB2312"/>
          <w:sz w:val="28"/>
          <w:szCs w:val="28"/>
        </w:rPr>
      </w:pPr>
      <w:r>
        <w:rPr>
          <w:rFonts w:hint="eastAsia" w:ascii="仿宋_GB2312" w:eastAsia="仿宋_GB2312"/>
          <w:sz w:val="28"/>
          <w:szCs w:val="28"/>
        </w:rPr>
        <w:t xml:space="preserve">    本办法由品质部负责管理和监督</w:t>
      </w:r>
    </w:p>
    <w:p w14:paraId="40972191">
      <w:pPr>
        <w:rPr>
          <w:rFonts w:hint="eastAsia" w:ascii="仿宋_GB2312" w:eastAsia="仿宋_GB2312"/>
          <w:b/>
          <w:sz w:val="28"/>
          <w:szCs w:val="28"/>
        </w:rPr>
      </w:pPr>
      <w:r>
        <w:rPr>
          <w:rFonts w:hint="eastAsia" w:ascii="仿宋_GB2312" w:eastAsia="仿宋_GB2312"/>
          <w:b/>
          <w:sz w:val="28"/>
          <w:szCs w:val="28"/>
        </w:rPr>
        <w:t>4.权责：</w:t>
      </w:r>
    </w:p>
    <w:p w14:paraId="7DA5BC63">
      <w:pPr>
        <w:ind w:left="1960" w:hanging="1960" w:hangingChars="700"/>
        <w:rPr>
          <w:rFonts w:hint="eastAsia" w:ascii="仿宋_GB2312" w:eastAsia="仿宋_GB2312"/>
          <w:sz w:val="28"/>
          <w:szCs w:val="28"/>
        </w:rPr>
      </w:pPr>
      <w:r>
        <w:rPr>
          <w:rFonts w:hint="eastAsia" w:ascii="仿宋_GB2312" w:eastAsia="仿宋_GB2312"/>
          <w:sz w:val="28"/>
          <w:szCs w:val="28"/>
        </w:rPr>
        <w:t xml:space="preserve">  4.1 物控部：负责生产力统筹：确定外发项目申请，备料。</w:t>
      </w:r>
    </w:p>
    <w:p w14:paraId="635F5506">
      <w:pPr>
        <w:ind w:left="1961" w:leftChars="934"/>
        <w:rPr>
          <w:rFonts w:hint="eastAsia" w:ascii="仿宋_GB2312" w:eastAsia="仿宋_GB2312"/>
          <w:sz w:val="28"/>
          <w:szCs w:val="28"/>
        </w:rPr>
      </w:pPr>
      <w:r>
        <w:rPr>
          <w:rFonts w:hint="eastAsia" w:ascii="仿宋_GB2312" w:eastAsia="仿宋_GB2312"/>
          <w:sz w:val="28"/>
          <w:szCs w:val="28"/>
        </w:rPr>
        <w:t>外发生产进度控制：产品外发数量交接及回厂产品数量点收，外发产品的装货，卸货。</w:t>
      </w:r>
    </w:p>
    <w:p w14:paraId="6634FEB0">
      <w:pPr>
        <w:rPr>
          <w:rFonts w:hint="eastAsia" w:ascii="仿宋_GB2312" w:eastAsia="仿宋_GB2312"/>
          <w:sz w:val="28"/>
          <w:szCs w:val="28"/>
        </w:rPr>
      </w:pPr>
      <w:r>
        <w:rPr>
          <w:rFonts w:hint="eastAsia" w:ascii="仿宋_GB2312" w:eastAsia="仿宋_GB2312"/>
          <w:sz w:val="28"/>
          <w:szCs w:val="28"/>
        </w:rPr>
        <w:t xml:space="preserve">  4.2 品质部：负责外发产品的质量监控，品质要求及成品样板提供，限度签样。</w:t>
      </w:r>
    </w:p>
    <w:p w14:paraId="56EF52B1">
      <w:pPr>
        <w:ind w:left="1960" w:hanging="1960" w:hangingChars="700"/>
        <w:rPr>
          <w:rFonts w:hint="eastAsia" w:ascii="仿宋_GB2312" w:eastAsia="仿宋_GB2312"/>
          <w:sz w:val="28"/>
          <w:szCs w:val="28"/>
        </w:rPr>
      </w:pPr>
      <w:r>
        <w:rPr>
          <w:rFonts w:hint="eastAsia" w:ascii="仿宋_GB2312" w:eastAsia="仿宋_GB2312"/>
          <w:sz w:val="28"/>
          <w:szCs w:val="28"/>
        </w:rPr>
        <w:t xml:space="preserve">  4.3工程部：负责产品外发加工资料，工艺确认，必要时指导加工商作业。</w:t>
      </w:r>
    </w:p>
    <w:p w14:paraId="08F07EDC">
      <w:pPr>
        <w:rPr>
          <w:rFonts w:hint="eastAsia" w:ascii="仿宋_GB2312" w:eastAsia="仿宋_GB2312"/>
          <w:b/>
          <w:sz w:val="28"/>
          <w:szCs w:val="28"/>
        </w:rPr>
      </w:pPr>
      <w:r>
        <w:rPr>
          <w:rFonts w:hint="eastAsia" w:ascii="仿宋_GB2312" w:eastAsia="仿宋_GB2312"/>
          <w:b/>
          <w:sz w:val="28"/>
          <w:szCs w:val="28"/>
        </w:rPr>
        <w:t>5.作业程序、内容：</w:t>
      </w:r>
    </w:p>
    <w:p w14:paraId="3C6F2B0C">
      <w:pPr>
        <w:ind w:left="700" w:hanging="700" w:hangingChars="250"/>
        <w:rPr>
          <w:rFonts w:hint="eastAsia" w:ascii="仿宋_GB2312" w:eastAsia="仿宋_GB2312"/>
          <w:sz w:val="28"/>
          <w:szCs w:val="28"/>
        </w:rPr>
      </w:pPr>
      <w:r>
        <w:rPr>
          <w:rFonts w:hint="eastAsia" w:ascii="仿宋_GB2312" w:eastAsia="仿宋_GB2312"/>
          <w:sz w:val="28"/>
          <w:szCs w:val="28"/>
        </w:rPr>
        <w:t xml:space="preserve"> 5.1 物控部评估本厂的生产能力及加工能力，当无法满足货期时需提出外发申请，呈总经理审批。</w:t>
      </w:r>
    </w:p>
    <w:p w14:paraId="16968E17">
      <w:pPr>
        <w:ind w:left="701" w:leftChars="67" w:hanging="560" w:hangingChars="200"/>
        <w:rPr>
          <w:rFonts w:hint="eastAsia" w:ascii="仿宋_GB2312" w:eastAsia="仿宋_GB2312"/>
          <w:sz w:val="28"/>
          <w:szCs w:val="28"/>
        </w:rPr>
      </w:pPr>
      <w:r>
        <w:rPr>
          <w:rFonts w:hint="eastAsia" w:ascii="仿宋_GB2312" w:eastAsia="仿宋_GB2312"/>
          <w:sz w:val="28"/>
          <w:szCs w:val="28"/>
        </w:rPr>
        <w:t>5.2外发加工计划批准后，物控部协同品质部，采购部评估和甄选符合条件的供应商报价，经公司总经理批准后，采购与加工商签订加工合同，并视备料情况通知加工商来厂取货或本公司送货。</w:t>
      </w:r>
    </w:p>
    <w:p w14:paraId="4A9CD13A">
      <w:pPr>
        <w:ind w:left="701" w:leftChars="67" w:hanging="560" w:hangingChars="200"/>
        <w:rPr>
          <w:rFonts w:hint="eastAsia" w:ascii="仿宋_GB2312" w:eastAsia="仿宋_GB2312"/>
          <w:sz w:val="28"/>
          <w:szCs w:val="28"/>
        </w:rPr>
      </w:pPr>
      <w:r>
        <w:rPr>
          <w:rFonts w:hint="eastAsia" w:ascii="仿宋_GB2312" w:eastAsia="仿宋_GB2312"/>
          <w:sz w:val="28"/>
          <w:szCs w:val="28"/>
        </w:rPr>
        <w:t>5.3物控部至少提前2小时通知采购及品质做好外发前准备工作，品质部提供检验标准或样板，并评估是否需要派人监控品质。工程部负责样板复核，并根据实际情况准备工艺资料或进行技术指导。</w:t>
      </w:r>
    </w:p>
    <w:p w14:paraId="2646AF28">
      <w:pPr>
        <w:ind w:left="561" w:leftChars="67" w:hanging="420" w:hangingChars="150"/>
        <w:rPr>
          <w:rFonts w:hint="eastAsia" w:ascii="仿宋_GB2312" w:eastAsia="仿宋_GB2312"/>
          <w:sz w:val="28"/>
          <w:szCs w:val="28"/>
        </w:rPr>
      </w:pPr>
      <w:r>
        <w:rPr>
          <w:rFonts w:hint="eastAsia" w:ascii="仿宋_GB2312" w:eastAsia="仿宋_GB2312"/>
          <w:sz w:val="28"/>
          <w:szCs w:val="28"/>
        </w:rPr>
        <w:t>5.4物控部应提前安排仓库备料，将需外发货物清点数量（以一定数量的标记码板扎好或隔纸），方便外发点收，产品外发前，IPQC负责确认产品数量及放板后的稳固性，确保运输途中不会造成倒坍，撞坏。</w:t>
      </w:r>
    </w:p>
    <w:p w14:paraId="01003FD6">
      <w:pPr>
        <w:ind w:firstLine="140" w:firstLineChars="50"/>
        <w:rPr>
          <w:rFonts w:hint="eastAsia" w:ascii="仿宋_GB2312" w:eastAsia="仿宋_GB2312"/>
          <w:sz w:val="28"/>
          <w:szCs w:val="28"/>
        </w:rPr>
      </w:pPr>
      <w:r>
        <w:rPr>
          <w:rFonts w:hint="eastAsia" w:ascii="仿宋_GB2312" w:eastAsia="仿宋_GB2312"/>
          <w:sz w:val="28"/>
          <w:szCs w:val="28"/>
        </w:rPr>
        <w:t>5.5外发监控产品质量的人由品质，工程，物控部协商决定，原则上品质部负责。</w:t>
      </w:r>
    </w:p>
    <w:p w14:paraId="20937941">
      <w:pPr>
        <w:ind w:left="701" w:leftChars="67" w:hanging="560" w:hangingChars="200"/>
        <w:rPr>
          <w:rFonts w:hint="eastAsia" w:ascii="仿宋_GB2312" w:eastAsia="仿宋_GB2312"/>
          <w:sz w:val="28"/>
          <w:szCs w:val="28"/>
        </w:rPr>
      </w:pPr>
      <w:r>
        <w:rPr>
          <w:rFonts w:hint="eastAsia" w:ascii="仿宋_GB2312" w:eastAsia="仿宋_GB2312"/>
          <w:sz w:val="28"/>
          <w:szCs w:val="28"/>
        </w:rPr>
        <w:t>5.6外发加工回厂的产品必须有标示卡，标示卡必须有产品名称，数量，外协加工商名称等相关信息，且必须有明确的数量间隔，方便清点数量；外发回厂后，将送货单交于仓库，并将货物放置于待检区域，等待检验。</w:t>
      </w:r>
    </w:p>
    <w:p w14:paraId="130C145A">
      <w:pPr>
        <w:ind w:left="561" w:leftChars="67" w:hanging="420" w:hangingChars="150"/>
        <w:rPr>
          <w:rFonts w:hint="eastAsia" w:ascii="仿宋_GB2312" w:eastAsia="仿宋_GB2312"/>
          <w:sz w:val="28"/>
          <w:szCs w:val="28"/>
        </w:rPr>
      </w:pPr>
      <w:r>
        <w:rPr>
          <w:rFonts w:hint="eastAsia" w:ascii="仿宋_GB2312" w:eastAsia="仿宋_GB2312"/>
          <w:sz w:val="28"/>
          <w:szCs w:val="28"/>
        </w:rPr>
        <w:t>5.7 仓库通知IQC验货，IQC按照公司检验标准进行抽检或全检，合格后，才能将外发产品入库做账；检验不合格时，需及时通知采购及物控部门负责人协同处理；如需退货或扣款处理的开具《来料检验报告》给采购，并通知供应商确认。</w:t>
      </w:r>
    </w:p>
    <w:p w14:paraId="49C42A4E">
      <w:pPr>
        <w:ind w:left="701" w:leftChars="67" w:hanging="560" w:hangingChars="200"/>
        <w:rPr>
          <w:rFonts w:hint="eastAsia" w:ascii="仿宋_GB2312" w:eastAsia="仿宋_GB2312"/>
          <w:sz w:val="28"/>
          <w:szCs w:val="28"/>
        </w:rPr>
      </w:pPr>
      <w:r>
        <w:rPr>
          <w:rFonts w:hint="eastAsia" w:ascii="仿宋_GB2312" w:eastAsia="仿宋_GB2312"/>
          <w:sz w:val="28"/>
          <w:szCs w:val="28"/>
        </w:rPr>
        <w:t>5.8 外协供应商评估：每月外发加工完成后，由品质部对外协供应商的质量生产能力进行评估，并以统计表的形式加以统计，衡量供应商的生产能力，为选择外协供应商提供参考文件。</w:t>
      </w:r>
    </w:p>
    <w:p w14:paraId="2EEB1701">
      <w:pPr>
        <w:ind w:firstLine="140" w:firstLineChars="50"/>
        <w:rPr>
          <w:rFonts w:hint="eastAsia" w:ascii="仿宋_GB2312" w:eastAsia="仿宋_GB2312"/>
          <w:sz w:val="28"/>
          <w:szCs w:val="28"/>
        </w:rPr>
      </w:pPr>
      <w:r>
        <w:rPr>
          <w:rFonts w:hint="eastAsia" w:ascii="仿宋_GB2312" w:eastAsia="仿宋_GB2312"/>
          <w:sz w:val="28"/>
          <w:szCs w:val="28"/>
        </w:rPr>
        <w:t>5.9外发加工品质控制：</w:t>
      </w:r>
    </w:p>
    <w:p w14:paraId="28A947A6">
      <w:pPr>
        <w:ind w:left="980" w:hanging="980" w:hangingChars="350"/>
        <w:rPr>
          <w:rFonts w:hint="eastAsia" w:ascii="仿宋_GB2312" w:eastAsia="仿宋_GB2312"/>
          <w:sz w:val="28"/>
          <w:szCs w:val="28"/>
        </w:rPr>
      </w:pPr>
      <w:r>
        <w:rPr>
          <w:rFonts w:hint="eastAsia" w:ascii="仿宋_GB2312" w:eastAsia="仿宋_GB2312"/>
          <w:sz w:val="28"/>
          <w:szCs w:val="28"/>
        </w:rPr>
        <w:t xml:space="preserve">  5.9.1 外协加工商所加工的产品必须符合本公司的产品质量要求，凡外发加工的产品，由品质或工程部提供样板给加工商，若外协供应商所加工后产品货不对板，所有损失由加工商承担（除扣掉加工费用外，一并赔偿产品材料成本及加工成本）；如果是样板提供错误造成的损失，责任归本公司相关责任人承担。</w:t>
      </w:r>
    </w:p>
    <w:p w14:paraId="5288936C">
      <w:pPr>
        <w:ind w:left="701" w:leftChars="67" w:hanging="560" w:hangingChars="200"/>
        <w:rPr>
          <w:rFonts w:hint="eastAsia" w:ascii="仿宋_GB2312" w:eastAsia="仿宋_GB2312"/>
          <w:sz w:val="28"/>
          <w:szCs w:val="28"/>
        </w:rPr>
      </w:pPr>
      <w:r>
        <w:rPr>
          <w:rFonts w:hint="eastAsia" w:ascii="仿宋_GB2312" w:eastAsia="仿宋_GB2312"/>
          <w:sz w:val="28"/>
          <w:szCs w:val="28"/>
        </w:rPr>
        <w:t>6.2 外协上应在加工前估算本公司提供的损耗数是否合理，有异议即时通知，本公司正常损耗标准暂定为0.5%；加工商由于技术或其它原因，导致加工产品的品质不符合本公司要求，或者超过正常损耗范围的一切品质损失由加工商承担。</w:t>
      </w:r>
    </w:p>
    <w:p w14:paraId="56EFF2B9">
      <w:pPr>
        <w:ind w:left="701" w:leftChars="67" w:hanging="560" w:hangingChars="200"/>
        <w:rPr>
          <w:rFonts w:hint="eastAsia" w:ascii="仿宋_GB2312" w:eastAsia="仿宋_GB2312"/>
          <w:sz w:val="28"/>
          <w:szCs w:val="28"/>
        </w:rPr>
      </w:pPr>
      <w:r>
        <w:rPr>
          <w:rFonts w:hint="eastAsia" w:ascii="仿宋_GB2312" w:eastAsia="仿宋_GB2312"/>
          <w:sz w:val="28"/>
          <w:szCs w:val="28"/>
        </w:rPr>
        <w:t>6.3 确实是加工商因加工过程造成的品质缺陷，需要返工，修补的，品质部有权进行退货或根据公司MRB制度特采处理；要求在4小时内必须到厂处理，逾期不至者，本公司安排内部人员返工挑选或返修，额外费用按每小时每人20元人民币计算，从加工费中扣除。</w:t>
      </w:r>
    </w:p>
    <w:p w14:paraId="5842E7FA">
      <w:pPr>
        <w:ind w:left="701" w:leftChars="67" w:hanging="560" w:hangingChars="200"/>
        <w:rPr>
          <w:rFonts w:hint="eastAsia" w:ascii="仿宋_GB2312" w:eastAsia="仿宋_GB2312"/>
          <w:sz w:val="28"/>
          <w:szCs w:val="28"/>
        </w:rPr>
      </w:pPr>
      <w:r>
        <w:rPr>
          <w:rFonts w:hint="eastAsia" w:ascii="仿宋_GB2312" w:eastAsia="仿宋_GB2312"/>
          <w:sz w:val="28"/>
          <w:szCs w:val="28"/>
        </w:rPr>
        <w:t>6.4 加工商来厂取货或本公司送货至外协供应商时，加工商相关人员需与本公司负责外发人员当面交接数量，若有异议当场提出，若加工后才反映供货少数，类似情况本公司一律视为无效投诉不予受理，当做加工商超损耗处理。</w:t>
      </w:r>
    </w:p>
    <w:p w14:paraId="0CF95665">
      <w:pPr>
        <w:ind w:left="701" w:leftChars="67" w:hanging="560" w:hangingChars="200"/>
        <w:rPr>
          <w:rFonts w:hint="eastAsia" w:ascii="仿宋_GB2312" w:eastAsia="仿宋_GB2312"/>
          <w:sz w:val="28"/>
          <w:szCs w:val="28"/>
        </w:rPr>
      </w:pPr>
      <w:r>
        <w:rPr>
          <w:rFonts w:hint="eastAsia" w:ascii="仿宋_GB2312" w:eastAsia="仿宋_GB2312"/>
          <w:sz w:val="28"/>
          <w:szCs w:val="28"/>
        </w:rPr>
        <w:t>6.5 物控部有责任要求加工商送回本厂外发加工的产品，以一定数量包装好或标示清楚，以便仓库接收及IQC验收；回厂产品尾数须放于货物最上层，良品，次品必须标示并隔离；外协加工商在完成加工后，所有良品及不良品需全数交回本公司，不允许有少数及混料现象。数量无法核对部分供应商需给出书面解释，并由采购或品质部到外协厂进行调查，数量无法核对问题频繁发生的供应商，由品质部派人驻厂管制，并在产品转款或换线时进行清场处理。</w:t>
      </w:r>
    </w:p>
    <w:p w14:paraId="351422C9">
      <w:pPr>
        <w:ind w:left="701" w:leftChars="67" w:hanging="560" w:hangingChars="200"/>
        <w:rPr>
          <w:rFonts w:hint="eastAsia" w:ascii="仿宋_GB2312" w:eastAsia="仿宋_GB2312"/>
          <w:sz w:val="28"/>
          <w:szCs w:val="28"/>
        </w:rPr>
      </w:pPr>
      <w:r>
        <w:rPr>
          <w:rFonts w:hint="eastAsia" w:ascii="仿宋_GB2312" w:eastAsia="仿宋_GB2312"/>
          <w:sz w:val="28"/>
          <w:szCs w:val="28"/>
        </w:rPr>
        <w:t>6.6外协供应商取货，送货运输过程中货物倒塌，撞坏，刮伤等不能使用的由加工商负责，若本公司运输过程造成，由直接责任人承担。双方负责卸货的人员要注意，发现有类似现象要及时通报，划清责任，避免发生争执。</w:t>
      </w:r>
    </w:p>
    <w:p w14:paraId="518025F2">
      <w:pPr>
        <w:ind w:left="561" w:leftChars="67" w:hanging="420" w:hangingChars="150"/>
        <w:rPr>
          <w:rFonts w:hint="eastAsia" w:ascii="仿宋_GB2312" w:eastAsia="仿宋_GB2312"/>
          <w:sz w:val="28"/>
          <w:szCs w:val="28"/>
        </w:rPr>
      </w:pPr>
      <w:r>
        <w:rPr>
          <w:rFonts w:hint="eastAsia" w:ascii="仿宋_GB2312" w:eastAsia="仿宋_GB2312"/>
          <w:sz w:val="28"/>
          <w:szCs w:val="28"/>
        </w:rPr>
        <w:t>6.7 物控及品质部应对外发加工产品的难易度，批量数，产品价值及外协供应商的生产和质量保证能力进行评估，从而决定是否需要派人跟进产品生产进度和质量。本公司外派的品质人员，主要目的是协助加工商做好首件签样，品质异常处理，品质监控，生产进度跟进等。</w:t>
      </w:r>
    </w:p>
    <w:p w14:paraId="7CE93419">
      <w:pPr>
        <w:ind w:left="701" w:leftChars="67" w:hanging="560" w:hangingChars="200"/>
        <w:rPr>
          <w:rFonts w:hint="eastAsia" w:ascii="仿宋_GB2312" w:eastAsia="仿宋_GB2312"/>
          <w:sz w:val="28"/>
          <w:szCs w:val="28"/>
        </w:rPr>
      </w:pPr>
      <w:r>
        <w:rPr>
          <w:rFonts w:hint="eastAsia" w:ascii="仿宋_GB2312" w:eastAsia="仿宋_GB2312"/>
          <w:sz w:val="28"/>
          <w:szCs w:val="28"/>
        </w:rPr>
        <w:t>6.8 外派人员须以电话形式向部门主管或相关人员汇报生产进度和质量状况，必要时以图片或邮件等电子软件形式汇报；若加工产品品质异常时，须及时打电话给相关人员，寻求解决办法，必要时将不良样板带回，会同相关部门进行分析，研究解决。</w:t>
      </w:r>
    </w:p>
    <w:p w14:paraId="2C6BFAE9">
      <w:pPr>
        <w:ind w:left="561" w:leftChars="67" w:hanging="420" w:hangingChars="150"/>
        <w:rPr>
          <w:rFonts w:hint="eastAsia" w:ascii="仿宋_GB2312" w:eastAsia="仿宋_GB2312"/>
          <w:sz w:val="28"/>
          <w:szCs w:val="28"/>
        </w:rPr>
      </w:pPr>
      <w:r>
        <w:rPr>
          <w:rFonts w:hint="eastAsia" w:ascii="仿宋_GB2312" w:eastAsia="仿宋_GB2312"/>
          <w:sz w:val="28"/>
          <w:szCs w:val="28"/>
        </w:rPr>
        <w:t>6.9 外发QC有权要求外协加工商对不符合质量要求的产品进行改善，若外协加工商不进行改善的，QC须立即通知本公司品质部，并保留不良样板以便追究加工商责任。外协供应商遗失或损坏样品的，按样品重制的复杂程度扣加工款项500-1000元/套。</w:t>
      </w:r>
    </w:p>
    <w:p w14:paraId="21D89F83">
      <w:pPr>
        <w:ind w:left="701" w:leftChars="67" w:hanging="560" w:hangingChars="200"/>
        <w:rPr>
          <w:rFonts w:hint="eastAsia" w:ascii="仿宋_GB2312" w:eastAsia="仿宋_GB2312"/>
          <w:sz w:val="28"/>
          <w:szCs w:val="28"/>
        </w:rPr>
      </w:pPr>
      <w:r>
        <w:rPr>
          <w:rFonts w:hint="eastAsia" w:ascii="仿宋_GB2312" w:eastAsia="仿宋_GB2312"/>
          <w:sz w:val="28"/>
          <w:szCs w:val="28"/>
        </w:rPr>
        <w:t>6.10 品质部有责任提供外发加工质量要求给外协加工商，加上质量标准及本公司IQC验收标准作为依据，未尽事项及标准以印刷行业标准做参考。</w:t>
      </w:r>
    </w:p>
    <w:p w14:paraId="7C17084C">
      <w:pPr>
        <w:spacing w:line="240" w:lineRule="atLeast"/>
        <w:ind w:left="841" w:leftChars="67" w:hanging="700" w:hangingChars="250"/>
        <w:rPr>
          <w:rFonts w:hint="eastAsia" w:ascii="仿宋_GB2312" w:eastAsia="仿宋_GB2312"/>
          <w:sz w:val="28"/>
          <w:szCs w:val="28"/>
        </w:rPr>
      </w:pPr>
      <w:r>
        <w:rPr>
          <w:rFonts w:hint="eastAsia" w:ascii="仿宋_GB2312" w:eastAsia="仿宋_GB2312"/>
          <w:sz w:val="28"/>
          <w:szCs w:val="28"/>
        </w:rPr>
        <w:t>6.11 为保证外发加工得以顺利进行，避免不必要的纠纷，采购部与外协供应商签订委托加工合同或协议，内容包括质量要求，损耗要求，进度要求等。</w:t>
      </w:r>
    </w:p>
    <w:p w14:paraId="484DC583">
      <w:pPr>
        <w:spacing w:line="360" w:lineRule="auto"/>
        <w:rPr>
          <w:rFonts w:hint="eastAsia"/>
          <w:b/>
          <w:sz w:val="24"/>
          <w:szCs w:val="24"/>
        </w:rPr>
      </w:pPr>
    </w:p>
    <w:p w14:paraId="628AC39D">
      <w:pPr>
        <w:spacing w:line="360" w:lineRule="auto"/>
        <w:rPr>
          <w:rFonts w:hint="eastAsia"/>
          <w:b/>
          <w:sz w:val="24"/>
          <w:szCs w:val="24"/>
        </w:rPr>
      </w:pPr>
    </w:p>
    <w:p w14:paraId="1F23A1CE">
      <w:pPr>
        <w:spacing w:line="360" w:lineRule="auto"/>
        <w:rPr>
          <w:rFonts w:hint="eastAsia"/>
          <w:b/>
          <w:sz w:val="24"/>
          <w:szCs w:val="24"/>
        </w:rPr>
      </w:pPr>
    </w:p>
    <w:p w14:paraId="2ECF19C8">
      <w:pPr>
        <w:rPr>
          <w:rFonts w:hint="eastAsia" w:ascii="宋体" w:hAnsi="宋体"/>
          <w:b/>
          <w:sz w:val="24"/>
          <w:szCs w:val="24"/>
        </w:rPr>
      </w:pPr>
    </w:p>
    <w:sectPr>
      <w:headerReference r:id="rId4" w:type="first"/>
      <w:headerReference r:id="rId3" w:type="default"/>
      <w:footerReference r:id="rId5" w:type="default"/>
      <w:pgSz w:w="11906" w:h="16838"/>
      <w:pgMar w:top="936" w:right="794" w:bottom="1089" w:left="1089" w:header="930" w:footer="720" w:gutter="0"/>
      <w:pgBorders w:display="notFirstPage">
        <w:top w:val="single" w:color="auto" w:sz="4" w:space="0"/>
        <w:left w:val="single" w:color="auto" w:sz="4" w:space="8"/>
        <w:bottom w:val="single" w:color="auto" w:sz="4" w:space="0"/>
        <w:right w:val="single" w:color="auto" w:sz="4" w:space="2"/>
      </w:pgBorders>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幼圆">
    <w:panose1 w:val="02010509060101010101"/>
    <w:charset w:val="86"/>
    <w:family w:val="modern"/>
    <w:pitch w:val="default"/>
    <w:sig w:usb0="00000001" w:usb1="080E0000" w:usb2="00000000" w:usb3="00000000" w:csb0="00040000" w:csb1="00000000"/>
  </w:font>
  <w:font w:name="Garamond">
    <w:panose1 w:val="02020404030301010803"/>
    <w:charset w:val="00"/>
    <w:family w:val="roman"/>
    <w:pitch w:val="default"/>
    <w:sig w:usb0="00000287" w:usb1="00000000" w:usb2="00000000" w:usb3="00000000" w:csb0="0000009F" w:csb1="DFD70000"/>
  </w:font>
  <w:font w:name="PMingLiU">
    <w:altName w:val="Microsoft JhengHei UI"/>
    <w:panose1 w:val="02010601000101010101"/>
    <w:charset w:val="88"/>
    <w:family w:val="auto"/>
    <w:pitch w:val="default"/>
    <w:sig w:usb0="00000001" w:usb1="08080000" w:usb2="00000010" w:usb3="00000000" w:csb0="00100000" w:csb1="00000000"/>
  </w:font>
  <w:font w:name="MingLiU">
    <w:altName w:val="PMingLiU-ExtB"/>
    <w:panose1 w:val="02010609000101010101"/>
    <w:charset w:val="88"/>
    <w:family w:val="modern"/>
    <w:pitch w:val="default"/>
    <w:sig w:usb0="00000001" w:usb1="08080000" w:usb2="00000010" w:usb3="00000000" w:csb0="0010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1" w:usb1="080E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E3405">
    <w:pPr>
      <w:pStyle w:val="13"/>
      <w:tabs>
        <w:tab w:val="clear" w:pos="4819"/>
        <w:tab w:val="clear" w:pos="9638"/>
      </w:tabs>
      <w:spacing w:after="20"/>
      <w:rPr>
        <w:rFonts w:hint="eastAsia" w:eastAsia="宋体"/>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232"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592"/>
      <w:gridCol w:w="5042"/>
      <w:gridCol w:w="1604"/>
      <w:gridCol w:w="1994"/>
    </w:tblGrid>
    <w:tr w14:paraId="5A9E5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435" w:hRule="atLeast"/>
      </w:trPr>
      <w:tc>
        <w:tcPr>
          <w:tcW w:w="1592" w:type="dxa"/>
          <w:vMerge w:val="restart"/>
          <w:tcBorders>
            <w:top w:val="single" w:color="auto" w:sz="4" w:space="0"/>
            <w:left w:val="single" w:color="auto" w:sz="4" w:space="0"/>
            <w:right w:val="nil"/>
          </w:tcBorders>
          <w:noWrap w:val="0"/>
          <w:vAlign w:val="center"/>
        </w:tcPr>
        <w:p w14:paraId="7AE785E1">
          <w:pPr>
            <w:spacing w:line="0" w:lineRule="atLeast"/>
            <w:rPr>
              <w:rFonts w:hint="eastAsia" w:ascii="方正舒体" w:hAnsi="Arial" w:eastAsia="方正舒体" w:cs="Arial"/>
              <w:szCs w:val="21"/>
            </w:rPr>
          </w:pPr>
        </w:p>
      </w:tc>
      <w:tc>
        <w:tcPr>
          <w:tcW w:w="5042" w:type="dxa"/>
          <w:vMerge w:val="restart"/>
          <w:tcBorders>
            <w:top w:val="single" w:color="auto" w:sz="4" w:space="0"/>
            <w:left w:val="nil"/>
            <w:right w:val="single" w:color="auto" w:sz="4" w:space="0"/>
          </w:tcBorders>
          <w:noWrap w:val="0"/>
          <w:vAlign w:val="center"/>
        </w:tcPr>
        <w:p w14:paraId="50116246">
          <w:pPr>
            <w:pStyle w:val="13"/>
            <w:spacing w:line="0" w:lineRule="atLeast"/>
            <w:jc w:val="center"/>
            <w:rPr>
              <w:rFonts w:hint="eastAsia" w:ascii="宋体" w:hAnsi="宋体" w:eastAsia="宋体"/>
              <w:b/>
              <w:sz w:val="32"/>
              <w:szCs w:val="32"/>
            </w:rPr>
          </w:pPr>
          <w:bookmarkStart w:id="0" w:name="OLE_LINK1"/>
          <w:bookmarkStart w:id="1" w:name="OLE_LINK2"/>
          <w:r>
            <w:rPr>
              <w:rFonts w:hint="eastAsia" w:ascii="宋体" w:hAnsi="宋体" w:eastAsia="宋体"/>
              <w:b/>
              <w:sz w:val="32"/>
              <w:szCs w:val="32"/>
            </w:rPr>
            <w:t>XXXX电子有限公司</w:t>
          </w:r>
          <w:bookmarkEnd w:id="0"/>
          <w:bookmarkEnd w:id="1"/>
        </w:p>
      </w:tc>
      <w:tc>
        <w:tcPr>
          <w:tcW w:w="1604" w:type="dxa"/>
          <w:tcBorders>
            <w:top w:val="single" w:color="auto" w:sz="4" w:space="0"/>
            <w:left w:val="single" w:color="auto" w:sz="4" w:space="0"/>
            <w:right w:val="single" w:color="auto" w:sz="4" w:space="0"/>
          </w:tcBorders>
          <w:noWrap w:val="0"/>
          <w:vAlign w:val="center"/>
        </w:tcPr>
        <w:p w14:paraId="21ED79E3">
          <w:pPr>
            <w:pStyle w:val="13"/>
            <w:spacing w:before="120"/>
            <w:jc w:val="center"/>
            <w:rPr>
              <w:rFonts w:hint="eastAsia" w:ascii="宋体" w:hAnsi="宋体" w:eastAsia="宋体"/>
              <w:b/>
              <w:szCs w:val="24"/>
            </w:rPr>
          </w:pPr>
          <w:r>
            <w:rPr>
              <w:rFonts w:hint="eastAsia" w:ascii="宋体" w:hAnsi="宋体" w:eastAsia="宋体"/>
              <w:b/>
              <w:szCs w:val="24"/>
            </w:rPr>
            <w:t>文件编号</w:t>
          </w:r>
        </w:p>
      </w:tc>
      <w:tc>
        <w:tcPr>
          <w:tcW w:w="1994" w:type="dxa"/>
          <w:tcBorders>
            <w:top w:val="single" w:color="auto" w:sz="4" w:space="0"/>
            <w:left w:val="single" w:color="auto" w:sz="4" w:space="0"/>
            <w:right w:val="single" w:color="auto" w:sz="4" w:space="0"/>
          </w:tcBorders>
          <w:noWrap w:val="0"/>
          <w:vAlign w:val="center"/>
        </w:tcPr>
        <w:p w14:paraId="307897AB">
          <w:pPr>
            <w:pStyle w:val="13"/>
            <w:spacing w:before="120"/>
            <w:jc w:val="center"/>
            <w:rPr>
              <w:rFonts w:hint="eastAsia" w:ascii="宋体" w:hAnsi="宋体" w:eastAsia="宋体"/>
              <w:b/>
              <w:szCs w:val="24"/>
            </w:rPr>
          </w:pPr>
          <w:r>
            <w:rPr>
              <w:rFonts w:hint="eastAsia" w:ascii="宋体" w:hAnsi="宋体" w:eastAsia="宋体"/>
              <w:b/>
              <w:szCs w:val="24"/>
            </w:rPr>
            <w:t>CW-WI-7.4-01</w:t>
          </w:r>
        </w:p>
      </w:tc>
    </w:tr>
    <w:tr w14:paraId="1060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168" w:hRule="atLeast"/>
      </w:trPr>
      <w:tc>
        <w:tcPr>
          <w:tcW w:w="1592" w:type="dxa"/>
          <w:vMerge w:val="continue"/>
          <w:tcBorders>
            <w:top w:val="single" w:color="auto" w:sz="4" w:space="0"/>
            <w:left w:val="single" w:color="auto" w:sz="4" w:space="0"/>
            <w:right w:val="nil"/>
          </w:tcBorders>
          <w:noWrap w:val="0"/>
          <w:vAlign w:val="center"/>
        </w:tcPr>
        <w:p w14:paraId="2C4454CB">
          <w:pPr>
            <w:pStyle w:val="13"/>
            <w:tabs>
              <w:tab w:val="clear" w:pos="4819"/>
            </w:tabs>
            <w:jc w:val="center"/>
            <w:rPr>
              <w:rFonts w:hint="eastAsia" w:ascii="宋体" w:hAnsi="宋体"/>
              <w:b/>
              <w:sz w:val="48"/>
              <w:szCs w:val="48"/>
            </w:rPr>
          </w:pPr>
        </w:p>
      </w:tc>
      <w:tc>
        <w:tcPr>
          <w:tcW w:w="5042" w:type="dxa"/>
          <w:vMerge w:val="continue"/>
          <w:tcBorders>
            <w:top w:val="nil"/>
            <w:left w:val="nil"/>
            <w:right w:val="single" w:color="auto" w:sz="4" w:space="0"/>
          </w:tcBorders>
          <w:noWrap w:val="0"/>
          <w:vAlign w:val="center"/>
        </w:tcPr>
        <w:p w14:paraId="2776F33C">
          <w:pPr>
            <w:pStyle w:val="13"/>
            <w:tabs>
              <w:tab w:val="clear" w:pos="4819"/>
            </w:tabs>
            <w:jc w:val="center"/>
            <w:rPr>
              <w:rFonts w:hint="eastAsia" w:ascii="宋体" w:hAnsi="宋体"/>
              <w:b/>
              <w:sz w:val="48"/>
              <w:szCs w:val="48"/>
            </w:rPr>
          </w:pPr>
        </w:p>
      </w:tc>
      <w:tc>
        <w:tcPr>
          <w:tcW w:w="1604" w:type="dxa"/>
          <w:tcBorders>
            <w:top w:val="single" w:color="auto" w:sz="4" w:space="0"/>
            <w:left w:val="single" w:color="auto" w:sz="4" w:space="0"/>
            <w:right w:val="single" w:color="auto" w:sz="4" w:space="0"/>
          </w:tcBorders>
          <w:noWrap w:val="0"/>
          <w:vAlign w:val="center"/>
        </w:tcPr>
        <w:p w14:paraId="4E875467">
          <w:pPr>
            <w:pStyle w:val="13"/>
            <w:spacing w:before="120"/>
            <w:jc w:val="center"/>
            <w:rPr>
              <w:rFonts w:hint="eastAsia" w:ascii="宋体" w:hAnsi="宋体" w:eastAsia="宋体"/>
              <w:b/>
              <w:sz w:val="21"/>
              <w:szCs w:val="21"/>
            </w:rPr>
          </w:pPr>
          <w:r>
            <w:rPr>
              <w:rFonts w:hint="eastAsia" w:ascii="宋体" w:hAnsi="宋体" w:eastAsia="宋体"/>
              <w:b/>
              <w:sz w:val="21"/>
              <w:szCs w:val="21"/>
            </w:rPr>
            <w:t>版本/修订状态</w:t>
          </w:r>
        </w:p>
      </w:tc>
      <w:tc>
        <w:tcPr>
          <w:tcW w:w="1994" w:type="dxa"/>
          <w:tcBorders>
            <w:top w:val="single" w:color="auto" w:sz="4" w:space="0"/>
            <w:left w:val="single" w:color="auto" w:sz="4" w:space="0"/>
            <w:right w:val="single" w:color="auto" w:sz="4" w:space="0"/>
          </w:tcBorders>
          <w:noWrap w:val="0"/>
          <w:vAlign w:val="center"/>
        </w:tcPr>
        <w:p w14:paraId="7B2E7825">
          <w:pPr>
            <w:pStyle w:val="13"/>
            <w:spacing w:before="120"/>
            <w:jc w:val="center"/>
            <w:rPr>
              <w:rFonts w:hint="eastAsia" w:ascii="宋体" w:hAnsi="宋体" w:eastAsia="宋体"/>
              <w:b/>
              <w:szCs w:val="24"/>
            </w:rPr>
          </w:pPr>
          <w:r>
            <w:rPr>
              <w:rFonts w:hint="eastAsia" w:ascii="宋体" w:hAnsi="宋体" w:eastAsia="宋体"/>
              <w:b/>
              <w:szCs w:val="24"/>
            </w:rPr>
            <w:t>A/0</w:t>
          </w:r>
        </w:p>
      </w:tc>
    </w:tr>
    <w:tr w14:paraId="4F88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435" w:hRule="atLeast"/>
      </w:trPr>
      <w:tc>
        <w:tcPr>
          <w:tcW w:w="1592" w:type="dxa"/>
          <w:vMerge w:val="restart"/>
          <w:tcBorders>
            <w:left w:val="single" w:color="auto" w:sz="4" w:space="0"/>
            <w:right w:val="single" w:color="auto" w:sz="4" w:space="0"/>
          </w:tcBorders>
          <w:noWrap w:val="0"/>
          <w:vAlign w:val="center"/>
        </w:tcPr>
        <w:p w14:paraId="16C9B2F2">
          <w:pPr>
            <w:pStyle w:val="13"/>
            <w:jc w:val="center"/>
            <w:rPr>
              <w:rFonts w:hint="eastAsia" w:ascii="宋体" w:hAnsi="宋体" w:eastAsia="宋体"/>
              <w:b/>
              <w:sz w:val="28"/>
              <w:szCs w:val="28"/>
              <w:lang w:val="en-US"/>
            </w:rPr>
          </w:pPr>
          <w:r>
            <w:rPr>
              <w:rFonts w:hint="eastAsia" w:ascii="宋体" w:hAnsi="宋体" w:eastAsia="宋体"/>
              <w:b/>
              <w:sz w:val="28"/>
              <w:szCs w:val="28"/>
              <w:lang w:val="en-US"/>
            </w:rPr>
            <w:t>文件名称</w:t>
          </w:r>
        </w:p>
      </w:tc>
      <w:tc>
        <w:tcPr>
          <w:tcW w:w="5042" w:type="dxa"/>
          <w:vMerge w:val="restart"/>
          <w:tcBorders>
            <w:top w:val="single" w:color="auto" w:sz="4" w:space="0"/>
            <w:left w:val="single" w:color="auto" w:sz="4" w:space="0"/>
            <w:right w:val="single" w:color="auto" w:sz="4" w:space="0"/>
          </w:tcBorders>
          <w:noWrap w:val="0"/>
          <w:vAlign w:val="center"/>
        </w:tcPr>
        <w:p w14:paraId="42EC80E8">
          <w:pPr>
            <w:jc w:val="center"/>
            <w:rPr>
              <w:rFonts w:hint="eastAsia"/>
              <w:b/>
              <w:sz w:val="36"/>
              <w:szCs w:val="36"/>
            </w:rPr>
          </w:pPr>
          <w:r>
            <w:rPr>
              <w:rFonts w:hint="eastAsia"/>
              <w:b/>
              <w:sz w:val="36"/>
              <w:szCs w:val="36"/>
            </w:rPr>
            <w:t>外发加工作业指导书</w:t>
          </w:r>
        </w:p>
        <w:p w14:paraId="3E241529">
          <w:pPr>
            <w:jc w:val="center"/>
            <w:rPr>
              <w:rFonts w:hint="eastAsia"/>
            </w:rPr>
          </w:pPr>
          <w:r>
            <w:rPr>
              <w:rFonts w:hint="eastAsia"/>
              <w:b/>
              <w:sz w:val="36"/>
              <w:szCs w:val="36"/>
            </w:rPr>
            <w:t>及质量管理办法细则</w:t>
          </w:r>
        </w:p>
      </w:tc>
      <w:tc>
        <w:tcPr>
          <w:tcW w:w="1604" w:type="dxa"/>
          <w:tcBorders>
            <w:top w:val="single" w:color="auto" w:sz="4" w:space="0"/>
            <w:left w:val="single" w:color="auto" w:sz="4" w:space="0"/>
            <w:bottom w:val="single" w:color="auto" w:sz="4" w:space="0"/>
            <w:right w:val="single" w:color="auto" w:sz="4" w:space="0"/>
          </w:tcBorders>
          <w:noWrap w:val="0"/>
          <w:vAlign w:val="center"/>
        </w:tcPr>
        <w:p w14:paraId="715BFA7A">
          <w:pPr>
            <w:pStyle w:val="13"/>
            <w:spacing w:before="120"/>
            <w:jc w:val="center"/>
            <w:rPr>
              <w:rFonts w:hint="eastAsia" w:ascii="宋体" w:hAnsi="宋体" w:eastAsia="宋体"/>
              <w:b/>
              <w:szCs w:val="24"/>
              <w:lang w:val="en-GB"/>
            </w:rPr>
          </w:pPr>
          <w:r>
            <w:rPr>
              <w:rFonts w:hint="eastAsia" w:ascii="宋体" w:hAnsi="宋体" w:eastAsia="宋体"/>
              <w:b/>
              <w:snapToGrid w:val="0"/>
              <w:szCs w:val="24"/>
              <w:lang w:val="en-GB"/>
            </w:rPr>
            <w:t>页码</w:t>
          </w:r>
        </w:p>
      </w:tc>
      <w:tc>
        <w:tcPr>
          <w:tcW w:w="1994" w:type="dxa"/>
          <w:tcBorders>
            <w:top w:val="single" w:color="auto" w:sz="4" w:space="0"/>
            <w:left w:val="single" w:color="auto" w:sz="4" w:space="0"/>
            <w:bottom w:val="single" w:color="auto" w:sz="4" w:space="0"/>
            <w:right w:val="single" w:color="auto" w:sz="4" w:space="0"/>
          </w:tcBorders>
          <w:noWrap w:val="0"/>
          <w:vAlign w:val="center"/>
        </w:tcPr>
        <w:p w14:paraId="036C4912">
          <w:pPr>
            <w:pStyle w:val="13"/>
            <w:spacing w:before="120"/>
            <w:jc w:val="center"/>
            <w:rPr>
              <w:rFonts w:hint="eastAsia" w:ascii="宋体" w:hAnsi="宋体" w:eastAsia="宋体"/>
              <w:b/>
              <w:szCs w:val="24"/>
              <w:lang w:val="en-GB"/>
            </w:rPr>
          </w:pPr>
          <w:r>
            <w:rPr>
              <w:rStyle w:val="21"/>
              <w:rFonts w:hint="eastAsia" w:ascii="宋体" w:hAnsi="宋体" w:eastAsia="宋体"/>
              <w:b/>
            </w:rPr>
            <w:t>第</w:t>
          </w:r>
          <w:r>
            <w:rPr>
              <w:rStyle w:val="21"/>
              <w:rFonts w:ascii="宋体" w:hAnsi="宋体" w:eastAsia="宋体"/>
              <w:b/>
            </w:rPr>
            <w:fldChar w:fldCharType="begin"/>
          </w:r>
          <w:r>
            <w:rPr>
              <w:rStyle w:val="21"/>
              <w:rFonts w:ascii="宋体" w:hAnsi="宋体" w:eastAsia="宋体"/>
              <w:b/>
            </w:rPr>
            <w:instrText xml:space="preserve"> PAGE </w:instrText>
          </w:r>
          <w:r>
            <w:rPr>
              <w:rStyle w:val="21"/>
              <w:rFonts w:ascii="宋体" w:hAnsi="宋体" w:eastAsia="宋体"/>
              <w:b/>
            </w:rPr>
            <w:fldChar w:fldCharType="separate"/>
          </w:r>
          <w:r>
            <w:rPr>
              <w:rStyle w:val="21"/>
              <w:rFonts w:ascii="宋体" w:hAnsi="宋体" w:eastAsia="宋体"/>
              <w:b/>
              <w:lang/>
            </w:rPr>
            <w:t>4</w:t>
          </w:r>
          <w:r>
            <w:rPr>
              <w:rStyle w:val="21"/>
              <w:rFonts w:ascii="宋体" w:hAnsi="宋体" w:eastAsia="宋体"/>
              <w:b/>
            </w:rPr>
            <w:fldChar w:fldCharType="end"/>
          </w:r>
          <w:r>
            <w:rPr>
              <w:rStyle w:val="21"/>
              <w:rFonts w:hint="eastAsia" w:ascii="宋体" w:hAnsi="宋体" w:eastAsia="宋体"/>
              <w:b/>
            </w:rPr>
            <w:t>页共4页</w:t>
          </w:r>
        </w:p>
      </w:tc>
    </w:tr>
    <w:tr w14:paraId="39D8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435" w:hRule="atLeast"/>
      </w:trPr>
      <w:tc>
        <w:tcPr>
          <w:tcW w:w="1592" w:type="dxa"/>
          <w:vMerge w:val="continue"/>
          <w:tcBorders>
            <w:left w:val="single" w:color="auto" w:sz="4" w:space="0"/>
            <w:bottom w:val="single" w:color="auto" w:sz="4" w:space="0"/>
            <w:right w:val="single" w:color="auto" w:sz="4" w:space="0"/>
          </w:tcBorders>
          <w:noWrap w:val="0"/>
          <w:vAlign w:val="center"/>
        </w:tcPr>
        <w:p w14:paraId="63B8C979">
          <w:pPr>
            <w:pStyle w:val="13"/>
            <w:jc w:val="center"/>
            <w:rPr>
              <w:rFonts w:hint="eastAsia" w:ascii="宋体" w:hAnsi="宋体" w:eastAsia="宋体"/>
              <w:b/>
              <w:sz w:val="36"/>
              <w:szCs w:val="36"/>
              <w:lang w:val="en-US"/>
            </w:rPr>
          </w:pPr>
        </w:p>
      </w:tc>
      <w:tc>
        <w:tcPr>
          <w:tcW w:w="5042" w:type="dxa"/>
          <w:vMerge w:val="continue"/>
          <w:tcBorders>
            <w:left w:val="single" w:color="auto" w:sz="4" w:space="0"/>
            <w:bottom w:val="single" w:color="auto" w:sz="4" w:space="0"/>
            <w:right w:val="single" w:color="auto" w:sz="4" w:space="0"/>
          </w:tcBorders>
          <w:noWrap w:val="0"/>
          <w:vAlign w:val="center"/>
        </w:tcPr>
        <w:p w14:paraId="22F3A295">
          <w:pPr>
            <w:pStyle w:val="13"/>
            <w:jc w:val="center"/>
            <w:rPr>
              <w:rFonts w:hint="eastAsia" w:ascii="宋体" w:hAnsi="宋体" w:eastAsia="宋体"/>
              <w:b/>
              <w:sz w:val="28"/>
              <w:szCs w:val="28"/>
              <w:lang w:val="en-US"/>
            </w:rPr>
          </w:pPr>
        </w:p>
      </w:tc>
      <w:tc>
        <w:tcPr>
          <w:tcW w:w="1604" w:type="dxa"/>
          <w:tcBorders>
            <w:top w:val="single" w:color="auto" w:sz="4" w:space="0"/>
            <w:left w:val="single" w:color="auto" w:sz="4" w:space="0"/>
            <w:bottom w:val="single" w:color="auto" w:sz="4" w:space="0"/>
            <w:right w:val="single" w:color="auto" w:sz="4" w:space="0"/>
          </w:tcBorders>
          <w:noWrap w:val="0"/>
          <w:vAlign w:val="center"/>
        </w:tcPr>
        <w:p w14:paraId="0AD5D5BD">
          <w:pPr>
            <w:pStyle w:val="13"/>
            <w:spacing w:before="120"/>
            <w:jc w:val="center"/>
            <w:rPr>
              <w:rFonts w:hint="eastAsia" w:ascii="宋体" w:hAnsi="宋体" w:eastAsia="宋体"/>
              <w:b/>
              <w:snapToGrid w:val="0"/>
              <w:szCs w:val="24"/>
              <w:lang w:val="en-GB"/>
            </w:rPr>
          </w:pPr>
          <w:r>
            <w:rPr>
              <w:rFonts w:hint="eastAsia" w:ascii="宋体" w:hAnsi="宋体" w:eastAsia="宋体"/>
              <w:b/>
              <w:snapToGrid w:val="0"/>
              <w:szCs w:val="24"/>
              <w:lang w:val="en-GB"/>
            </w:rPr>
            <w:t>生效日期</w:t>
          </w:r>
        </w:p>
      </w:tc>
      <w:tc>
        <w:tcPr>
          <w:tcW w:w="1994" w:type="dxa"/>
          <w:tcBorders>
            <w:top w:val="single" w:color="auto" w:sz="4" w:space="0"/>
            <w:left w:val="single" w:color="auto" w:sz="4" w:space="0"/>
            <w:bottom w:val="single" w:color="auto" w:sz="4" w:space="0"/>
            <w:right w:val="single" w:color="auto" w:sz="4" w:space="0"/>
          </w:tcBorders>
          <w:noWrap w:val="0"/>
          <w:vAlign w:val="center"/>
        </w:tcPr>
        <w:p w14:paraId="2F0390CE">
          <w:pPr>
            <w:pStyle w:val="13"/>
            <w:spacing w:before="120"/>
            <w:jc w:val="center"/>
            <w:rPr>
              <w:rFonts w:hint="eastAsia" w:ascii="宋体" w:hAnsi="宋体" w:eastAsia="宋体"/>
              <w:b/>
              <w:snapToGrid w:val="0"/>
              <w:szCs w:val="24"/>
              <w:lang w:val="en-GB"/>
            </w:rPr>
          </w:pPr>
          <w:r>
            <w:rPr>
              <w:rFonts w:hint="eastAsia" w:ascii="宋体" w:hAnsi="宋体" w:eastAsia="宋体"/>
              <w:b/>
              <w:snapToGrid w:val="0"/>
              <w:szCs w:val="24"/>
              <w:lang w:val="en-GB"/>
            </w:rPr>
            <w:t>2017-04-28</w:t>
          </w:r>
        </w:p>
      </w:tc>
    </w:tr>
  </w:tbl>
  <w:p w14:paraId="62FC304F">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232"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592"/>
      <w:gridCol w:w="5042"/>
      <w:gridCol w:w="1604"/>
      <w:gridCol w:w="1994"/>
    </w:tblGrid>
    <w:tr w14:paraId="257A4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435" w:hRule="atLeast"/>
      </w:trPr>
      <w:tc>
        <w:tcPr>
          <w:tcW w:w="1592" w:type="dxa"/>
          <w:vMerge w:val="restart"/>
          <w:tcBorders>
            <w:top w:val="single" w:color="auto" w:sz="4" w:space="0"/>
            <w:left w:val="single" w:color="auto" w:sz="4" w:space="0"/>
            <w:right w:val="nil"/>
          </w:tcBorders>
          <w:noWrap w:val="0"/>
          <w:vAlign w:val="center"/>
        </w:tcPr>
        <w:p w14:paraId="7D4D074E">
          <w:pPr>
            <w:pStyle w:val="13"/>
            <w:tabs>
              <w:tab w:val="clear" w:pos="4819"/>
            </w:tabs>
            <w:spacing w:before="120" w:beforeLines="50" w:line="0" w:lineRule="atLeast"/>
            <w:jc w:val="center"/>
            <w:rPr>
              <w:rFonts w:hint="eastAsia" w:ascii="宋体" w:hAnsi="宋体" w:eastAsia="宋体"/>
              <w:b/>
              <w:sz w:val="32"/>
              <w:szCs w:val="32"/>
            </w:rPr>
          </w:pPr>
        </w:p>
      </w:tc>
      <w:tc>
        <w:tcPr>
          <w:tcW w:w="5042" w:type="dxa"/>
          <w:vMerge w:val="restart"/>
          <w:tcBorders>
            <w:top w:val="single" w:color="auto" w:sz="4" w:space="0"/>
            <w:left w:val="nil"/>
            <w:right w:val="single" w:color="auto" w:sz="4" w:space="0"/>
          </w:tcBorders>
          <w:noWrap w:val="0"/>
          <w:vAlign w:val="center"/>
        </w:tcPr>
        <w:p w14:paraId="27EAE200">
          <w:pPr>
            <w:pStyle w:val="13"/>
            <w:spacing w:line="0" w:lineRule="atLeast"/>
            <w:jc w:val="center"/>
            <w:rPr>
              <w:rFonts w:hint="eastAsia" w:ascii="宋体" w:hAnsi="宋体" w:eastAsia="宋体"/>
              <w:b/>
              <w:sz w:val="32"/>
              <w:szCs w:val="32"/>
            </w:rPr>
          </w:pPr>
          <w:r>
            <w:rPr>
              <w:rFonts w:hint="eastAsia" w:ascii="宋体" w:hAnsi="宋体" w:eastAsia="宋体"/>
              <w:b/>
              <w:sz w:val="32"/>
              <w:szCs w:val="32"/>
            </w:rPr>
            <w:t>XXXX电子有限公司</w:t>
          </w:r>
        </w:p>
      </w:tc>
      <w:tc>
        <w:tcPr>
          <w:tcW w:w="1604" w:type="dxa"/>
          <w:tcBorders>
            <w:top w:val="single" w:color="auto" w:sz="4" w:space="0"/>
            <w:left w:val="single" w:color="auto" w:sz="4" w:space="0"/>
            <w:right w:val="single" w:color="auto" w:sz="4" w:space="0"/>
          </w:tcBorders>
          <w:noWrap w:val="0"/>
          <w:vAlign w:val="center"/>
        </w:tcPr>
        <w:p w14:paraId="7379D520">
          <w:pPr>
            <w:pStyle w:val="13"/>
            <w:spacing w:before="120"/>
            <w:jc w:val="center"/>
            <w:rPr>
              <w:rFonts w:hint="eastAsia" w:ascii="宋体" w:hAnsi="宋体" w:eastAsia="宋体"/>
              <w:b/>
              <w:szCs w:val="24"/>
            </w:rPr>
          </w:pPr>
          <w:r>
            <w:rPr>
              <w:rFonts w:hint="eastAsia" w:ascii="宋体" w:hAnsi="宋体" w:eastAsia="宋体"/>
              <w:b/>
              <w:szCs w:val="24"/>
            </w:rPr>
            <w:t>文件编号</w:t>
          </w:r>
        </w:p>
      </w:tc>
      <w:tc>
        <w:tcPr>
          <w:tcW w:w="1994" w:type="dxa"/>
          <w:tcBorders>
            <w:top w:val="single" w:color="auto" w:sz="4" w:space="0"/>
            <w:left w:val="single" w:color="auto" w:sz="4" w:space="0"/>
            <w:right w:val="single" w:color="auto" w:sz="4" w:space="0"/>
          </w:tcBorders>
          <w:noWrap w:val="0"/>
          <w:vAlign w:val="center"/>
        </w:tcPr>
        <w:p w14:paraId="08F8F696">
          <w:pPr>
            <w:pStyle w:val="13"/>
            <w:spacing w:before="120"/>
            <w:jc w:val="center"/>
            <w:rPr>
              <w:rFonts w:hint="eastAsia" w:ascii="宋体" w:hAnsi="宋体" w:eastAsia="宋体"/>
              <w:b/>
              <w:szCs w:val="24"/>
            </w:rPr>
          </w:pPr>
          <w:r>
            <w:rPr>
              <w:rFonts w:hint="eastAsia" w:ascii="宋体" w:hAnsi="宋体" w:eastAsia="宋体"/>
              <w:b/>
              <w:szCs w:val="24"/>
            </w:rPr>
            <w:t>CW-WI-7.4-01</w:t>
          </w:r>
        </w:p>
      </w:tc>
    </w:tr>
    <w:tr w14:paraId="1010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168" w:hRule="atLeast"/>
      </w:trPr>
      <w:tc>
        <w:tcPr>
          <w:tcW w:w="1592" w:type="dxa"/>
          <w:vMerge w:val="continue"/>
          <w:tcBorders>
            <w:top w:val="single" w:color="auto" w:sz="4" w:space="0"/>
            <w:left w:val="single" w:color="auto" w:sz="4" w:space="0"/>
            <w:right w:val="nil"/>
          </w:tcBorders>
          <w:noWrap w:val="0"/>
          <w:vAlign w:val="center"/>
        </w:tcPr>
        <w:p w14:paraId="7C953AA4">
          <w:pPr>
            <w:pStyle w:val="13"/>
            <w:tabs>
              <w:tab w:val="clear" w:pos="4819"/>
            </w:tabs>
            <w:jc w:val="center"/>
            <w:rPr>
              <w:rFonts w:hint="eastAsia" w:ascii="宋体" w:hAnsi="宋体"/>
              <w:b/>
              <w:sz w:val="48"/>
              <w:szCs w:val="48"/>
            </w:rPr>
          </w:pPr>
        </w:p>
      </w:tc>
      <w:tc>
        <w:tcPr>
          <w:tcW w:w="5042" w:type="dxa"/>
          <w:vMerge w:val="continue"/>
          <w:tcBorders>
            <w:top w:val="nil"/>
            <w:left w:val="nil"/>
            <w:right w:val="single" w:color="auto" w:sz="4" w:space="0"/>
          </w:tcBorders>
          <w:noWrap w:val="0"/>
          <w:vAlign w:val="center"/>
        </w:tcPr>
        <w:p w14:paraId="586A004E">
          <w:pPr>
            <w:pStyle w:val="13"/>
            <w:tabs>
              <w:tab w:val="clear" w:pos="4819"/>
            </w:tabs>
            <w:jc w:val="center"/>
            <w:rPr>
              <w:rFonts w:hint="eastAsia" w:ascii="宋体" w:hAnsi="宋体"/>
              <w:b/>
              <w:sz w:val="48"/>
              <w:szCs w:val="48"/>
            </w:rPr>
          </w:pPr>
        </w:p>
      </w:tc>
      <w:tc>
        <w:tcPr>
          <w:tcW w:w="1604" w:type="dxa"/>
          <w:tcBorders>
            <w:top w:val="single" w:color="auto" w:sz="4" w:space="0"/>
            <w:left w:val="single" w:color="auto" w:sz="4" w:space="0"/>
            <w:right w:val="single" w:color="auto" w:sz="4" w:space="0"/>
          </w:tcBorders>
          <w:noWrap w:val="0"/>
          <w:vAlign w:val="center"/>
        </w:tcPr>
        <w:p w14:paraId="5DB6A3D7">
          <w:pPr>
            <w:pStyle w:val="13"/>
            <w:spacing w:before="120"/>
            <w:jc w:val="center"/>
            <w:rPr>
              <w:rFonts w:hint="eastAsia" w:ascii="宋体" w:hAnsi="宋体" w:eastAsia="宋体"/>
              <w:b/>
              <w:sz w:val="21"/>
              <w:szCs w:val="21"/>
            </w:rPr>
          </w:pPr>
          <w:r>
            <w:rPr>
              <w:rFonts w:hint="eastAsia" w:ascii="宋体" w:hAnsi="宋体" w:eastAsia="宋体"/>
              <w:b/>
              <w:sz w:val="21"/>
              <w:szCs w:val="21"/>
            </w:rPr>
            <w:t>版本/修订状态</w:t>
          </w:r>
        </w:p>
      </w:tc>
      <w:tc>
        <w:tcPr>
          <w:tcW w:w="1994" w:type="dxa"/>
          <w:tcBorders>
            <w:top w:val="single" w:color="auto" w:sz="4" w:space="0"/>
            <w:left w:val="single" w:color="auto" w:sz="4" w:space="0"/>
            <w:right w:val="single" w:color="auto" w:sz="4" w:space="0"/>
          </w:tcBorders>
          <w:noWrap w:val="0"/>
          <w:vAlign w:val="center"/>
        </w:tcPr>
        <w:p w14:paraId="62611712">
          <w:pPr>
            <w:pStyle w:val="13"/>
            <w:spacing w:before="120"/>
            <w:jc w:val="center"/>
            <w:rPr>
              <w:rFonts w:hint="eastAsia" w:ascii="宋体" w:hAnsi="宋体" w:eastAsia="宋体"/>
              <w:b/>
              <w:szCs w:val="24"/>
            </w:rPr>
          </w:pPr>
          <w:r>
            <w:rPr>
              <w:rFonts w:hint="eastAsia" w:ascii="宋体" w:hAnsi="宋体" w:eastAsia="宋体"/>
              <w:b/>
              <w:szCs w:val="24"/>
            </w:rPr>
            <w:t>A/0</w:t>
          </w:r>
        </w:p>
      </w:tc>
    </w:tr>
    <w:tr w14:paraId="7C06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435" w:hRule="atLeast"/>
      </w:trPr>
      <w:tc>
        <w:tcPr>
          <w:tcW w:w="1592" w:type="dxa"/>
          <w:vMerge w:val="restart"/>
          <w:tcBorders>
            <w:left w:val="single" w:color="auto" w:sz="4" w:space="0"/>
            <w:right w:val="single" w:color="auto" w:sz="4" w:space="0"/>
          </w:tcBorders>
          <w:noWrap w:val="0"/>
          <w:vAlign w:val="center"/>
        </w:tcPr>
        <w:p w14:paraId="6847A00D">
          <w:pPr>
            <w:pStyle w:val="13"/>
            <w:jc w:val="center"/>
            <w:rPr>
              <w:rFonts w:hint="eastAsia" w:ascii="宋体" w:hAnsi="宋体" w:eastAsia="宋体"/>
              <w:b/>
              <w:sz w:val="28"/>
              <w:szCs w:val="28"/>
              <w:lang w:val="en-US"/>
            </w:rPr>
          </w:pPr>
          <w:r>
            <w:rPr>
              <w:rFonts w:hint="eastAsia" w:ascii="宋体" w:hAnsi="宋体" w:eastAsia="宋体"/>
              <w:b/>
              <w:sz w:val="28"/>
              <w:szCs w:val="28"/>
              <w:lang w:val="en-US"/>
            </w:rPr>
            <w:t>文件名称</w:t>
          </w:r>
        </w:p>
      </w:tc>
      <w:tc>
        <w:tcPr>
          <w:tcW w:w="5042" w:type="dxa"/>
          <w:vMerge w:val="restart"/>
          <w:tcBorders>
            <w:top w:val="single" w:color="auto" w:sz="4" w:space="0"/>
            <w:left w:val="single" w:color="auto" w:sz="4" w:space="0"/>
            <w:right w:val="single" w:color="auto" w:sz="4" w:space="0"/>
          </w:tcBorders>
          <w:noWrap w:val="0"/>
          <w:vAlign w:val="center"/>
        </w:tcPr>
        <w:p w14:paraId="4C6BF029">
          <w:pPr>
            <w:jc w:val="center"/>
            <w:rPr>
              <w:rFonts w:hint="eastAsia"/>
              <w:b/>
              <w:sz w:val="36"/>
              <w:szCs w:val="36"/>
            </w:rPr>
          </w:pPr>
          <w:r>
            <w:rPr>
              <w:rFonts w:hint="eastAsia"/>
              <w:b/>
              <w:sz w:val="36"/>
              <w:szCs w:val="36"/>
            </w:rPr>
            <w:t>外发加工作业指导书</w:t>
          </w:r>
        </w:p>
        <w:p w14:paraId="4D99A405">
          <w:pPr>
            <w:jc w:val="center"/>
            <w:rPr>
              <w:rFonts w:hint="eastAsia"/>
              <w:sz w:val="24"/>
              <w:szCs w:val="24"/>
            </w:rPr>
          </w:pPr>
          <w:r>
            <w:rPr>
              <w:rFonts w:hint="eastAsia"/>
              <w:b/>
              <w:sz w:val="36"/>
              <w:szCs w:val="36"/>
            </w:rPr>
            <w:t>及质量管理办法细则</w:t>
          </w:r>
        </w:p>
      </w:tc>
      <w:tc>
        <w:tcPr>
          <w:tcW w:w="1604" w:type="dxa"/>
          <w:tcBorders>
            <w:top w:val="single" w:color="auto" w:sz="4" w:space="0"/>
            <w:left w:val="single" w:color="auto" w:sz="4" w:space="0"/>
            <w:bottom w:val="single" w:color="auto" w:sz="4" w:space="0"/>
            <w:right w:val="single" w:color="auto" w:sz="4" w:space="0"/>
          </w:tcBorders>
          <w:noWrap w:val="0"/>
          <w:vAlign w:val="center"/>
        </w:tcPr>
        <w:p w14:paraId="1058DF0B">
          <w:pPr>
            <w:pStyle w:val="13"/>
            <w:spacing w:before="120"/>
            <w:jc w:val="center"/>
            <w:rPr>
              <w:rFonts w:hint="eastAsia" w:ascii="宋体" w:hAnsi="宋体" w:eastAsia="宋体"/>
              <w:b/>
              <w:szCs w:val="24"/>
              <w:lang w:val="en-GB"/>
            </w:rPr>
          </w:pPr>
          <w:r>
            <w:rPr>
              <w:rFonts w:hint="eastAsia" w:ascii="宋体" w:hAnsi="宋体" w:eastAsia="宋体"/>
              <w:b/>
              <w:snapToGrid w:val="0"/>
              <w:szCs w:val="24"/>
              <w:lang w:val="en-GB"/>
            </w:rPr>
            <w:t>页码</w:t>
          </w:r>
        </w:p>
      </w:tc>
      <w:tc>
        <w:tcPr>
          <w:tcW w:w="1994" w:type="dxa"/>
          <w:tcBorders>
            <w:top w:val="single" w:color="auto" w:sz="4" w:space="0"/>
            <w:left w:val="single" w:color="auto" w:sz="4" w:space="0"/>
            <w:bottom w:val="single" w:color="auto" w:sz="4" w:space="0"/>
            <w:right w:val="single" w:color="auto" w:sz="4" w:space="0"/>
          </w:tcBorders>
          <w:noWrap w:val="0"/>
          <w:vAlign w:val="center"/>
        </w:tcPr>
        <w:p w14:paraId="0071B574">
          <w:pPr>
            <w:pStyle w:val="13"/>
            <w:spacing w:before="120"/>
            <w:jc w:val="center"/>
            <w:rPr>
              <w:rFonts w:hint="eastAsia" w:ascii="宋体" w:hAnsi="宋体" w:eastAsia="宋体"/>
              <w:b/>
              <w:szCs w:val="24"/>
              <w:lang w:val="en-GB"/>
            </w:rPr>
          </w:pPr>
          <w:r>
            <w:rPr>
              <w:rStyle w:val="21"/>
              <w:rFonts w:hint="eastAsia" w:ascii="宋体" w:hAnsi="宋体" w:eastAsia="宋体"/>
              <w:b/>
            </w:rPr>
            <w:t>第</w:t>
          </w:r>
          <w:r>
            <w:rPr>
              <w:rStyle w:val="21"/>
              <w:rFonts w:ascii="宋体" w:hAnsi="宋体" w:eastAsia="宋体"/>
              <w:b/>
            </w:rPr>
            <w:fldChar w:fldCharType="begin"/>
          </w:r>
          <w:r>
            <w:rPr>
              <w:rStyle w:val="21"/>
              <w:rFonts w:ascii="宋体" w:hAnsi="宋体" w:eastAsia="宋体"/>
              <w:b/>
            </w:rPr>
            <w:instrText xml:space="preserve"> PAGE </w:instrText>
          </w:r>
          <w:r>
            <w:rPr>
              <w:rStyle w:val="21"/>
              <w:rFonts w:ascii="宋体" w:hAnsi="宋体" w:eastAsia="宋体"/>
              <w:b/>
            </w:rPr>
            <w:fldChar w:fldCharType="separate"/>
          </w:r>
          <w:r>
            <w:rPr>
              <w:rStyle w:val="21"/>
              <w:rFonts w:ascii="宋体" w:hAnsi="宋体" w:eastAsia="宋体"/>
              <w:b/>
              <w:lang/>
            </w:rPr>
            <w:t>0</w:t>
          </w:r>
          <w:r>
            <w:rPr>
              <w:rStyle w:val="21"/>
              <w:rFonts w:ascii="宋体" w:hAnsi="宋体" w:eastAsia="宋体"/>
              <w:b/>
            </w:rPr>
            <w:fldChar w:fldCharType="end"/>
          </w:r>
          <w:r>
            <w:rPr>
              <w:rStyle w:val="21"/>
              <w:rFonts w:hint="eastAsia" w:ascii="宋体" w:hAnsi="宋体" w:eastAsia="宋体"/>
              <w:b/>
            </w:rPr>
            <w:t>页共4页</w:t>
          </w:r>
        </w:p>
      </w:tc>
    </w:tr>
    <w:tr w14:paraId="2CF7A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wAfter w:w="0" w:type="dxa"/>
        <w:cantSplit/>
        <w:trHeight w:val="435" w:hRule="atLeast"/>
      </w:trPr>
      <w:tc>
        <w:tcPr>
          <w:tcW w:w="1592" w:type="dxa"/>
          <w:vMerge w:val="continue"/>
          <w:tcBorders>
            <w:left w:val="single" w:color="auto" w:sz="4" w:space="0"/>
            <w:bottom w:val="single" w:color="auto" w:sz="4" w:space="0"/>
            <w:right w:val="single" w:color="auto" w:sz="4" w:space="0"/>
          </w:tcBorders>
          <w:noWrap w:val="0"/>
          <w:vAlign w:val="center"/>
        </w:tcPr>
        <w:p w14:paraId="6F6E45EA">
          <w:pPr>
            <w:pStyle w:val="13"/>
            <w:jc w:val="center"/>
            <w:rPr>
              <w:rFonts w:hint="eastAsia" w:ascii="宋体" w:hAnsi="宋体" w:eastAsia="宋体"/>
              <w:b/>
              <w:sz w:val="36"/>
              <w:szCs w:val="36"/>
              <w:lang w:val="en-US"/>
            </w:rPr>
          </w:pPr>
        </w:p>
      </w:tc>
      <w:tc>
        <w:tcPr>
          <w:tcW w:w="5042" w:type="dxa"/>
          <w:vMerge w:val="continue"/>
          <w:tcBorders>
            <w:left w:val="single" w:color="auto" w:sz="4" w:space="0"/>
            <w:bottom w:val="single" w:color="auto" w:sz="4" w:space="0"/>
            <w:right w:val="single" w:color="auto" w:sz="4" w:space="0"/>
          </w:tcBorders>
          <w:noWrap w:val="0"/>
          <w:vAlign w:val="center"/>
        </w:tcPr>
        <w:p w14:paraId="64DFB710">
          <w:pPr>
            <w:pStyle w:val="13"/>
            <w:jc w:val="center"/>
            <w:rPr>
              <w:rFonts w:hint="eastAsia" w:ascii="宋体" w:hAnsi="宋体" w:eastAsia="宋体"/>
              <w:b/>
              <w:sz w:val="28"/>
              <w:szCs w:val="28"/>
              <w:lang w:val="en-US"/>
            </w:rPr>
          </w:pPr>
        </w:p>
      </w:tc>
      <w:tc>
        <w:tcPr>
          <w:tcW w:w="1604" w:type="dxa"/>
          <w:tcBorders>
            <w:top w:val="single" w:color="auto" w:sz="4" w:space="0"/>
            <w:left w:val="single" w:color="auto" w:sz="4" w:space="0"/>
            <w:bottom w:val="single" w:color="auto" w:sz="4" w:space="0"/>
            <w:right w:val="single" w:color="auto" w:sz="4" w:space="0"/>
          </w:tcBorders>
          <w:noWrap w:val="0"/>
          <w:vAlign w:val="center"/>
        </w:tcPr>
        <w:p w14:paraId="7A48DC1F">
          <w:pPr>
            <w:pStyle w:val="13"/>
            <w:spacing w:before="120"/>
            <w:jc w:val="center"/>
            <w:rPr>
              <w:rFonts w:hint="eastAsia" w:ascii="宋体" w:hAnsi="宋体" w:eastAsia="宋体"/>
              <w:b/>
              <w:snapToGrid w:val="0"/>
              <w:szCs w:val="24"/>
              <w:lang w:val="en-GB"/>
            </w:rPr>
          </w:pPr>
          <w:r>
            <w:rPr>
              <w:rFonts w:hint="eastAsia" w:ascii="宋体" w:hAnsi="宋体" w:eastAsia="宋体"/>
              <w:b/>
              <w:snapToGrid w:val="0"/>
              <w:szCs w:val="24"/>
              <w:lang w:val="en-GB"/>
            </w:rPr>
            <w:t>生效日期</w:t>
          </w:r>
        </w:p>
      </w:tc>
      <w:tc>
        <w:tcPr>
          <w:tcW w:w="1994" w:type="dxa"/>
          <w:tcBorders>
            <w:top w:val="single" w:color="auto" w:sz="4" w:space="0"/>
            <w:left w:val="single" w:color="auto" w:sz="4" w:space="0"/>
            <w:bottom w:val="single" w:color="auto" w:sz="4" w:space="0"/>
            <w:right w:val="single" w:color="auto" w:sz="4" w:space="0"/>
          </w:tcBorders>
          <w:noWrap w:val="0"/>
          <w:vAlign w:val="center"/>
        </w:tcPr>
        <w:p w14:paraId="3D21470A">
          <w:pPr>
            <w:pStyle w:val="13"/>
            <w:spacing w:before="120"/>
            <w:jc w:val="center"/>
            <w:rPr>
              <w:rFonts w:hint="eastAsia" w:ascii="宋体" w:hAnsi="宋体" w:eastAsia="宋体"/>
              <w:b/>
              <w:snapToGrid w:val="0"/>
              <w:szCs w:val="24"/>
              <w:lang w:val="en-GB"/>
            </w:rPr>
          </w:pPr>
          <w:r>
            <w:rPr>
              <w:rFonts w:hint="eastAsia" w:ascii="宋体" w:hAnsi="宋体" w:eastAsia="宋体"/>
              <w:b/>
              <w:snapToGrid w:val="0"/>
              <w:szCs w:val="24"/>
              <w:lang w:val="en-GB"/>
            </w:rPr>
            <w:t>2017-04-28</w:t>
          </w:r>
        </w:p>
      </w:tc>
    </w:tr>
  </w:tbl>
  <w:p w14:paraId="76FE3275">
    <w:pPr>
      <w:pStyle w:val="13"/>
      <w:rPr>
        <w:rFonts w:hint="eastAsia" w:eastAsia="宋体"/>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2"/>
  <w:drawingGridVerticalSpacing w:val="3"/>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2E0A"/>
    <w:rsid w:val="000002DF"/>
    <w:rsid w:val="00004A2D"/>
    <w:rsid w:val="0000686A"/>
    <w:rsid w:val="00015C64"/>
    <w:rsid w:val="00016392"/>
    <w:rsid w:val="00016809"/>
    <w:rsid w:val="00017952"/>
    <w:rsid w:val="00017E3B"/>
    <w:rsid w:val="0002533C"/>
    <w:rsid w:val="00025DD8"/>
    <w:rsid w:val="00031564"/>
    <w:rsid w:val="00036E23"/>
    <w:rsid w:val="0005052E"/>
    <w:rsid w:val="00051DFA"/>
    <w:rsid w:val="000548CA"/>
    <w:rsid w:val="000574CE"/>
    <w:rsid w:val="000617FD"/>
    <w:rsid w:val="0006485C"/>
    <w:rsid w:val="000777D7"/>
    <w:rsid w:val="00081980"/>
    <w:rsid w:val="00085E8A"/>
    <w:rsid w:val="00087BB3"/>
    <w:rsid w:val="00092688"/>
    <w:rsid w:val="00095AF8"/>
    <w:rsid w:val="000A0021"/>
    <w:rsid w:val="000A0142"/>
    <w:rsid w:val="000A3AE7"/>
    <w:rsid w:val="000A490E"/>
    <w:rsid w:val="000A5EAC"/>
    <w:rsid w:val="000B6283"/>
    <w:rsid w:val="000C0C11"/>
    <w:rsid w:val="000C0C12"/>
    <w:rsid w:val="000C4549"/>
    <w:rsid w:val="000C58A5"/>
    <w:rsid w:val="000C68EE"/>
    <w:rsid w:val="000D39E1"/>
    <w:rsid w:val="000E14F8"/>
    <w:rsid w:val="000F01F9"/>
    <w:rsid w:val="000F588D"/>
    <w:rsid w:val="000F7E72"/>
    <w:rsid w:val="001009D6"/>
    <w:rsid w:val="00107C7A"/>
    <w:rsid w:val="001104CE"/>
    <w:rsid w:val="00110B4A"/>
    <w:rsid w:val="00113ADB"/>
    <w:rsid w:val="001140E3"/>
    <w:rsid w:val="0011442E"/>
    <w:rsid w:val="001209EF"/>
    <w:rsid w:val="00122F03"/>
    <w:rsid w:val="00123466"/>
    <w:rsid w:val="001278BB"/>
    <w:rsid w:val="00127A53"/>
    <w:rsid w:val="00127FF3"/>
    <w:rsid w:val="00134EB0"/>
    <w:rsid w:val="00140A96"/>
    <w:rsid w:val="00140F5F"/>
    <w:rsid w:val="00141564"/>
    <w:rsid w:val="00141833"/>
    <w:rsid w:val="00141904"/>
    <w:rsid w:val="0014266B"/>
    <w:rsid w:val="00150DFB"/>
    <w:rsid w:val="001607A8"/>
    <w:rsid w:val="00161BE0"/>
    <w:rsid w:val="0016486C"/>
    <w:rsid w:val="00171169"/>
    <w:rsid w:val="001742DA"/>
    <w:rsid w:val="001764F8"/>
    <w:rsid w:val="0017797F"/>
    <w:rsid w:val="001808F2"/>
    <w:rsid w:val="00180AD0"/>
    <w:rsid w:val="00186408"/>
    <w:rsid w:val="00186773"/>
    <w:rsid w:val="0018700A"/>
    <w:rsid w:val="001875DA"/>
    <w:rsid w:val="001903FA"/>
    <w:rsid w:val="00192E40"/>
    <w:rsid w:val="00194DEC"/>
    <w:rsid w:val="00194FEC"/>
    <w:rsid w:val="001A1B69"/>
    <w:rsid w:val="001A3F5B"/>
    <w:rsid w:val="001B1883"/>
    <w:rsid w:val="001B2F00"/>
    <w:rsid w:val="001B2F74"/>
    <w:rsid w:val="001B33BE"/>
    <w:rsid w:val="001C0F7F"/>
    <w:rsid w:val="001C4705"/>
    <w:rsid w:val="001D3FA6"/>
    <w:rsid w:val="001D54F5"/>
    <w:rsid w:val="001E2928"/>
    <w:rsid w:val="001F1803"/>
    <w:rsid w:val="001F1A7D"/>
    <w:rsid w:val="001F7451"/>
    <w:rsid w:val="002011CA"/>
    <w:rsid w:val="00201364"/>
    <w:rsid w:val="00210422"/>
    <w:rsid w:val="00221074"/>
    <w:rsid w:val="00221D29"/>
    <w:rsid w:val="002249FF"/>
    <w:rsid w:val="00227912"/>
    <w:rsid w:val="00227FCE"/>
    <w:rsid w:val="00230B17"/>
    <w:rsid w:val="002325CD"/>
    <w:rsid w:val="002345DC"/>
    <w:rsid w:val="002361EC"/>
    <w:rsid w:val="002369F2"/>
    <w:rsid w:val="00243961"/>
    <w:rsid w:val="00244B47"/>
    <w:rsid w:val="00253B74"/>
    <w:rsid w:val="00254FCE"/>
    <w:rsid w:val="0025737C"/>
    <w:rsid w:val="00260692"/>
    <w:rsid w:val="002655A5"/>
    <w:rsid w:val="00272C9F"/>
    <w:rsid w:val="0027367F"/>
    <w:rsid w:val="002920D8"/>
    <w:rsid w:val="002947E7"/>
    <w:rsid w:val="00296674"/>
    <w:rsid w:val="002B2104"/>
    <w:rsid w:val="002B233B"/>
    <w:rsid w:val="002B31EC"/>
    <w:rsid w:val="002B3B50"/>
    <w:rsid w:val="002B7549"/>
    <w:rsid w:val="002C69E2"/>
    <w:rsid w:val="002D06CD"/>
    <w:rsid w:val="002D1A11"/>
    <w:rsid w:val="002E29DE"/>
    <w:rsid w:val="002E43F9"/>
    <w:rsid w:val="002E5467"/>
    <w:rsid w:val="002F1AD4"/>
    <w:rsid w:val="002F5FFD"/>
    <w:rsid w:val="00301855"/>
    <w:rsid w:val="00303A66"/>
    <w:rsid w:val="00324AF4"/>
    <w:rsid w:val="003319AD"/>
    <w:rsid w:val="00333742"/>
    <w:rsid w:val="00346870"/>
    <w:rsid w:val="00347489"/>
    <w:rsid w:val="003544D4"/>
    <w:rsid w:val="0036229E"/>
    <w:rsid w:val="00362AB9"/>
    <w:rsid w:val="00373D4F"/>
    <w:rsid w:val="00375F53"/>
    <w:rsid w:val="00377A9A"/>
    <w:rsid w:val="003804D8"/>
    <w:rsid w:val="00383E66"/>
    <w:rsid w:val="00385D09"/>
    <w:rsid w:val="00387271"/>
    <w:rsid w:val="00391FDC"/>
    <w:rsid w:val="003A34F2"/>
    <w:rsid w:val="003A6340"/>
    <w:rsid w:val="003A6C3B"/>
    <w:rsid w:val="003B493E"/>
    <w:rsid w:val="003B4DC6"/>
    <w:rsid w:val="003B5029"/>
    <w:rsid w:val="003B59B5"/>
    <w:rsid w:val="003B6F33"/>
    <w:rsid w:val="003C1D05"/>
    <w:rsid w:val="003C68AF"/>
    <w:rsid w:val="003D1F2F"/>
    <w:rsid w:val="003D78E1"/>
    <w:rsid w:val="003D7D61"/>
    <w:rsid w:val="003E0072"/>
    <w:rsid w:val="003E0C42"/>
    <w:rsid w:val="003E48E4"/>
    <w:rsid w:val="003E5327"/>
    <w:rsid w:val="003E60D4"/>
    <w:rsid w:val="003F0246"/>
    <w:rsid w:val="003F12D8"/>
    <w:rsid w:val="003F27AF"/>
    <w:rsid w:val="003F7026"/>
    <w:rsid w:val="003F7C88"/>
    <w:rsid w:val="00400F61"/>
    <w:rsid w:val="00402EF1"/>
    <w:rsid w:val="004126BE"/>
    <w:rsid w:val="00412F1D"/>
    <w:rsid w:val="00414375"/>
    <w:rsid w:val="00415947"/>
    <w:rsid w:val="0042216B"/>
    <w:rsid w:val="004237A4"/>
    <w:rsid w:val="00424136"/>
    <w:rsid w:val="00427469"/>
    <w:rsid w:val="004274DD"/>
    <w:rsid w:val="00431FB9"/>
    <w:rsid w:val="00432E0A"/>
    <w:rsid w:val="00440B91"/>
    <w:rsid w:val="00441E91"/>
    <w:rsid w:val="0044243A"/>
    <w:rsid w:val="00444B9A"/>
    <w:rsid w:val="0045296C"/>
    <w:rsid w:val="00464432"/>
    <w:rsid w:val="00465966"/>
    <w:rsid w:val="00466E4B"/>
    <w:rsid w:val="00470AE2"/>
    <w:rsid w:val="004716C5"/>
    <w:rsid w:val="0047326A"/>
    <w:rsid w:val="00476DD0"/>
    <w:rsid w:val="0048078F"/>
    <w:rsid w:val="00481930"/>
    <w:rsid w:val="0049047C"/>
    <w:rsid w:val="00491736"/>
    <w:rsid w:val="0049482A"/>
    <w:rsid w:val="00495694"/>
    <w:rsid w:val="00495E95"/>
    <w:rsid w:val="004968DD"/>
    <w:rsid w:val="004A056E"/>
    <w:rsid w:val="004A33C8"/>
    <w:rsid w:val="004B085E"/>
    <w:rsid w:val="004B34FF"/>
    <w:rsid w:val="004B562D"/>
    <w:rsid w:val="004C6CA8"/>
    <w:rsid w:val="004C71F4"/>
    <w:rsid w:val="004D03AC"/>
    <w:rsid w:val="004E238D"/>
    <w:rsid w:val="004E3BF7"/>
    <w:rsid w:val="004F025D"/>
    <w:rsid w:val="004F49A9"/>
    <w:rsid w:val="004F5874"/>
    <w:rsid w:val="004F7539"/>
    <w:rsid w:val="005032C7"/>
    <w:rsid w:val="005104B4"/>
    <w:rsid w:val="0051590A"/>
    <w:rsid w:val="00517925"/>
    <w:rsid w:val="005216BE"/>
    <w:rsid w:val="00522409"/>
    <w:rsid w:val="005244FE"/>
    <w:rsid w:val="005305F8"/>
    <w:rsid w:val="00532ECF"/>
    <w:rsid w:val="00534168"/>
    <w:rsid w:val="00542E98"/>
    <w:rsid w:val="00543C9E"/>
    <w:rsid w:val="0055374C"/>
    <w:rsid w:val="00555720"/>
    <w:rsid w:val="0056709B"/>
    <w:rsid w:val="00571FED"/>
    <w:rsid w:val="005725CA"/>
    <w:rsid w:val="00580B05"/>
    <w:rsid w:val="00582EAB"/>
    <w:rsid w:val="005864AC"/>
    <w:rsid w:val="00587BDD"/>
    <w:rsid w:val="0059414B"/>
    <w:rsid w:val="0059500C"/>
    <w:rsid w:val="005951AB"/>
    <w:rsid w:val="005A0637"/>
    <w:rsid w:val="005A2F6E"/>
    <w:rsid w:val="005A50F4"/>
    <w:rsid w:val="005A5A65"/>
    <w:rsid w:val="005A6172"/>
    <w:rsid w:val="005B41FF"/>
    <w:rsid w:val="005C022F"/>
    <w:rsid w:val="005C05F8"/>
    <w:rsid w:val="005C2E48"/>
    <w:rsid w:val="005C3E03"/>
    <w:rsid w:val="005C4227"/>
    <w:rsid w:val="005C4257"/>
    <w:rsid w:val="005C4FFC"/>
    <w:rsid w:val="005D1072"/>
    <w:rsid w:val="005D5ECC"/>
    <w:rsid w:val="005D6BCD"/>
    <w:rsid w:val="005D6F8F"/>
    <w:rsid w:val="005D7531"/>
    <w:rsid w:val="005E0A58"/>
    <w:rsid w:val="005E13C1"/>
    <w:rsid w:val="005E391C"/>
    <w:rsid w:val="005E3A9D"/>
    <w:rsid w:val="005E3CB6"/>
    <w:rsid w:val="005E40D3"/>
    <w:rsid w:val="005F5BE3"/>
    <w:rsid w:val="0060497D"/>
    <w:rsid w:val="0060604D"/>
    <w:rsid w:val="00614797"/>
    <w:rsid w:val="00625C0F"/>
    <w:rsid w:val="006311BD"/>
    <w:rsid w:val="00633421"/>
    <w:rsid w:val="006357ED"/>
    <w:rsid w:val="00640F8C"/>
    <w:rsid w:val="0064307D"/>
    <w:rsid w:val="00644D0D"/>
    <w:rsid w:val="006517AF"/>
    <w:rsid w:val="006517D6"/>
    <w:rsid w:val="0065254F"/>
    <w:rsid w:val="00656884"/>
    <w:rsid w:val="00667B22"/>
    <w:rsid w:val="0067125C"/>
    <w:rsid w:val="00681B47"/>
    <w:rsid w:val="006852B7"/>
    <w:rsid w:val="00691506"/>
    <w:rsid w:val="00694C96"/>
    <w:rsid w:val="0069704D"/>
    <w:rsid w:val="006A2E19"/>
    <w:rsid w:val="006A6BB7"/>
    <w:rsid w:val="006A7613"/>
    <w:rsid w:val="006B2AA2"/>
    <w:rsid w:val="006B46FD"/>
    <w:rsid w:val="006B4DDD"/>
    <w:rsid w:val="006C1682"/>
    <w:rsid w:val="006C28E0"/>
    <w:rsid w:val="006C2D7F"/>
    <w:rsid w:val="006C5016"/>
    <w:rsid w:val="006C77F0"/>
    <w:rsid w:val="006D153A"/>
    <w:rsid w:val="006D3540"/>
    <w:rsid w:val="006E1B32"/>
    <w:rsid w:val="006E5684"/>
    <w:rsid w:val="006F169A"/>
    <w:rsid w:val="006F2DED"/>
    <w:rsid w:val="006F5B6C"/>
    <w:rsid w:val="006F6EC2"/>
    <w:rsid w:val="007020B3"/>
    <w:rsid w:val="00703A31"/>
    <w:rsid w:val="0070503E"/>
    <w:rsid w:val="00711C59"/>
    <w:rsid w:val="00714BBF"/>
    <w:rsid w:val="0072367C"/>
    <w:rsid w:val="00730762"/>
    <w:rsid w:val="007310CB"/>
    <w:rsid w:val="007326ED"/>
    <w:rsid w:val="007354DB"/>
    <w:rsid w:val="00742383"/>
    <w:rsid w:val="00760FF1"/>
    <w:rsid w:val="00762F95"/>
    <w:rsid w:val="007633E5"/>
    <w:rsid w:val="00765108"/>
    <w:rsid w:val="007674D4"/>
    <w:rsid w:val="0077473F"/>
    <w:rsid w:val="007751E1"/>
    <w:rsid w:val="00782D73"/>
    <w:rsid w:val="00783A46"/>
    <w:rsid w:val="00784BF1"/>
    <w:rsid w:val="007913BD"/>
    <w:rsid w:val="00794591"/>
    <w:rsid w:val="00796530"/>
    <w:rsid w:val="0079799F"/>
    <w:rsid w:val="007B0770"/>
    <w:rsid w:val="007B63F5"/>
    <w:rsid w:val="007C2A78"/>
    <w:rsid w:val="007C609A"/>
    <w:rsid w:val="007C6F32"/>
    <w:rsid w:val="007C7844"/>
    <w:rsid w:val="007D08A3"/>
    <w:rsid w:val="007D115A"/>
    <w:rsid w:val="007D491A"/>
    <w:rsid w:val="007D7836"/>
    <w:rsid w:val="007F22CB"/>
    <w:rsid w:val="007F36D1"/>
    <w:rsid w:val="007F4808"/>
    <w:rsid w:val="007F49E9"/>
    <w:rsid w:val="00804A73"/>
    <w:rsid w:val="008053FA"/>
    <w:rsid w:val="008104C3"/>
    <w:rsid w:val="00810FDC"/>
    <w:rsid w:val="00811CB8"/>
    <w:rsid w:val="00811DAB"/>
    <w:rsid w:val="00824746"/>
    <w:rsid w:val="00827F5C"/>
    <w:rsid w:val="0083428B"/>
    <w:rsid w:val="0083566E"/>
    <w:rsid w:val="00841E05"/>
    <w:rsid w:val="008430AA"/>
    <w:rsid w:val="00843E6D"/>
    <w:rsid w:val="00850C03"/>
    <w:rsid w:val="008555C6"/>
    <w:rsid w:val="00857442"/>
    <w:rsid w:val="0085780B"/>
    <w:rsid w:val="0088568F"/>
    <w:rsid w:val="00885734"/>
    <w:rsid w:val="0088641E"/>
    <w:rsid w:val="008868CF"/>
    <w:rsid w:val="00886F60"/>
    <w:rsid w:val="00890489"/>
    <w:rsid w:val="00890F1E"/>
    <w:rsid w:val="00893C40"/>
    <w:rsid w:val="008A066F"/>
    <w:rsid w:val="008B0DEF"/>
    <w:rsid w:val="008B0E0C"/>
    <w:rsid w:val="008B16DF"/>
    <w:rsid w:val="008B198F"/>
    <w:rsid w:val="008B20DE"/>
    <w:rsid w:val="008B6871"/>
    <w:rsid w:val="008C01E1"/>
    <w:rsid w:val="008C2BCE"/>
    <w:rsid w:val="008C3102"/>
    <w:rsid w:val="008C7C70"/>
    <w:rsid w:val="008D266F"/>
    <w:rsid w:val="008F36D4"/>
    <w:rsid w:val="00900480"/>
    <w:rsid w:val="00905D20"/>
    <w:rsid w:val="009066B0"/>
    <w:rsid w:val="00910EC5"/>
    <w:rsid w:val="0091312D"/>
    <w:rsid w:val="00914504"/>
    <w:rsid w:val="00916346"/>
    <w:rsid w:val="00916B4F"/>
    <w:rsid w:val="00924428"/>
    <w:rsid w:val="009246BA"/>
    <w:rsid w:val="00930CA9"/>
    <w:rsid w:val="0094239A"/>
    <w:rsid w:val="00942CC1"/>
    <w:rsid w:val="00943620"/>
    <w:rsid w:val="00943C66"/>
    <w:rsid w:val="009466CB"/>
    <w:rsid w:val="009521FD"/>
    <w:rsid w:val="00955D6D"/>
    <w:rsid w:val="009658F5"/>
    <w:rsid w:val="0096631C"/>
    <w:rsid w:val="00972184"/>
    <w:rsid w:val="00974C74"/>
    <w:rsid w:val="00985BC0"/>
    <w:rsid w:val="00985E7A"/>
    <w:rsid w:val="009876DA"/>
    <w:rsid w:val="00994EB9"/>
    <w:rsid w:val="009969EE"/>
    <w:rsid w:val="009978A3"/>
    <w:rsid w:val="009A0479"/>
    <w:rsid w:val="009A41A6"/>
    <w:rsid w:val="009B15E8"/>
    <w:rsid w:val="009B4EEC"/>
    <w:rsid w:val="009C105F"/>
    <w:rsid w:val="009D45FC"/>
    <w:rsid w:val="009D58F1"/>
    <w:rsid w:val="009E0BB4"/>
    <w:rsid w:val="009F6430"/>
    <w:rsid w:val="00A03EEC"/>
    <w:rsid w:val="00A046A7"/>
    <w:rsid w:val="00A07926"/>
    <w:rsid w:val="00A12380"/>
    <w:rsid w:val="00A17EFE"/>
    <w:rsid w:val="00A20141"/>
    <w:rsid w:val="00A23D68"/>
    <w:rsid w:val="00A26EE5"/>
    <w:rsid w:val="00A270A4"/>
    <w:rsid w:val="00A27354"/>
    <w:rsid w:val="00A31607"/>
    <w:rsid w:val="00A34ECF"/>
    <w:rsid w:val="00A35845"/>
    <w:rsid w:val="00A35F3C"/>
    <w:rsid w:val="00A3760C"/>
    <w:rsid w:val="00A442D4"/>
    <w:rsid w:val="00A524E3"/>
    <w:rsid w:val="00A52644"/>
    <w:rsid w:val="00A530AD"/>
    <w:rsid w:val="00A54547"/>
    <w:rsid w:val="00A57891"/>
    <w:rsid w:val="00A57F74"/>
    <w:rsid w:val="00A61D90"/>
    <w:rsid w:val="00A63444"/>
    <w:rsid w:val="00A712B6"/>
    <w:rsid w:val="00A73AD4"/>
    <w:rsid w:val="00A83EE1"/>
    <w:rsid w:val="00A86899"/>
    <w:rsid w:val="00A90B6C"/>
    <w:rsid w:val="00A90BDF"/>
    <w:rsid w:val="00A90D81"/>
    <w:rsid w:val="00A91B67"/>
    <w:rsid w:val="00A9571F"/>
    <w:rsid w:val="00A957FF"/>
    <w:rsid w:val="00AA18F5"/>
    <w:rsid w:val="00AA2FD6"/>
    <w:rsid w:val="00AA6D76"/>
    <w:rsid w:val="00AB7C45"/>
    <w:rsid w:val="00AC0B34"/>
    <w:rsid w:val="00AC40EA"/>
    <w:rsid w:val="00AC6B04"/>
    <w:rsid w:val="00AD4F56"/>
    <w:rsid w:val="00AD73A7"/>
    <w:rsid w:val="00AE2709"/>
    <w:rsid w:val="00AE4355"/>
    <w:rsid w:val="00AF60AA"/>
    <w:rsid w:val="00B01A2F"/>
    <w:rsid w:val="00B052B3"/>
    <w:rsid w:val="00B06BEB"/>
    <w:rsid w:val="00B0711B"/>
    <w:rsid w:val="00B07360"/>
    <w:rsid w:val="00B12961"/>
    <w:rsid w:val="00B2014B"/>
    <w:rsid w:val="00B32393"/>
    <w:rsid w:val="00B32DE7"/>
    <w:rsid w:val="00B47CC6"/>
    <w:rsid w:val="00B52CE5"/>
    <w:rsid w:val="00B54789"/>
    <w:rsid w:val="00B5646F"/>
    <w:rsid w:val="00B636E5"/>
    <w:rsid w:val="00B72114"/>
    <w:rsid w:val="00B738E8"/>
    <w:rsid w:val="00B7567C"/>
    <w:rsid w:val="00B768D8"/>
    <w:rsid w:val="00B800A5"/>
    <w:rsid w:val="00B81C6A"/>
    <w:rsid w:val="00B86027"/>
    <w:rsid w:val="00B86C77"/>
    <w:rsid w:val="00B94BA8"/>
    <w:rsid w:val="00BA3716"/>
    <w:rsid w:val="00BA484C"/>
    <w:rsid w:val="00BA5CE3"/>
    <w:rsid w:val="00BB0D6E"/>
    <w:rsid w:val="00BB0E0E"/>
    <w:rsid w:val="00BB6F64"/>
    <w:rsid w:val="00BB7DDA"/>
    <w:rsid w:val="00BC1B40"/>
    <w:rsid w:val="00BC2239"/>
    <w:rsid w:val="00BC4849"/>
    <w:rsid w:val="00BC7C71"/>
    <w:rsid w:val="00BD0D31"/>
    <w:rsid w:val="00BD2756"/>
    <w:rsid w:val="00BD3D47"/>
    <w:rsid w:val="00BD6032"/>
    <w:rsid w:val="00BE11EC"/>
    <w:rsid w:val="00BE288F"/>
    <w:rsid w:val="00BF33DF"/>
    <w:rsid w:val="00BF4846"/>
    <w:rsid w:val="00C02559"/>
    <w:rsid w:val="00C05390"/>
    <w:rsid w:val="00C06A74"/>
    <w:rsid w:val="00C102C6"/>
    <w:rsid w:val="00C12798"/>
    <w:rsid w:val="00C17DD5"/>
    <w:rsid w:val="00C25220"/>
    <w:rsid w:val="00C25226"/>
    <w:rsid w:val="00C26F11"/>
    <w:rsid w:val="00C30361"/>
    <w:rsid w:val="00C344D8"/>
    <w:rsid w:val="00C37617"/>
    <w:rsid w:val="00C420A1"/>
    <w:rsid w:val="00C43188"/>
    <w:rsid w:val="00C43D70"/>
    <w:rsid w:val="00C54BB1"/>
    <w:rsid w:val="00C56DDF"/>
    <w:rsid w:val="00C56EF6"/>
    <w:rsid w:val="00C624B3"/>
    <w:rsid w:val="00C625CC"/>
    <w:rsid w:val="00C62E72"/>
    <w:rsid w:val="00C65012"/>
    <w:rsid w:val="00C7050C"/>
    <w:rsid w:val="00C70697"/>
    <w:rsid w:val="00C737D6"/>
    <w:rsid w:val="00C75DDC"/>
    <w:rsid w:val="00C81216"/>
    <w:rsid w:val="00C8276F"/>
    <w:rsid w:val="00C84BBB"/>
    <w:rsid w:val="00C85F33"/>
    <w:rsid w:val="00C903E5"/>
    <w:rsid w:val="00C94EFA"/>
    <w:rsid w:val="00C95487"/>
    <w:rsid w:val="00C97B10"/>
    <w:rsid w:val="00CA4E1B"/>
    <w:rsid w:val="00CA7314"/>
    <w:rsid w:val="00CB1254"/>
    <w:rsid w:val="00CB5C71"/>
    <w:rsid w:val="00CC0080"/>
    <w:rsid w:val="00CC0EFE"/>
    <w:rsid w:val="00CC1CC4"/>
    <w:rsid w:val="00CD2DDA"/>
    <w:rsid w:val="00CD665F"/>
    <w:rsid w:val="00CD674F"/>
    <w:rsid w:val="00CE0301"/>
    <w:rsid w:val="00CE10E8"/>
    <w:rsid w:val="00CE6498"/>
    <w:rsid w:val="00CF6FFD"/>
    <w:rsid w:val="00D008FE"/>
    <w:rsid w:val="00D16643"/>
    <w:rsid w:val="00D307AF"/>
    <w:rsid w:val="00D37635"/>
    <w:rsid w:val="00D4205F"/>
    <w:rsid w:val="00D5420D"/>
    <w:rsid w:val="00D55358"/>
    <w:rsid w:val="00D56D2F"/>
    <w:rsid w:val="00D61189"/>
    <w:rsid w:val="00D62932"/>
    <w:rsid w:val="00D635BE"/>
    <w:rsid w:val="00D64144"/>
    <w:rsid w:val="00D67734"/>
    <w:rsid w:val="00D678C5"/>
    <w:rsid w:val="00D71BEA"/>
    <w:rsid w:val="00D721E1"/>
    <w:rsid w:val="00D72D40"/>
    <w:rsid w:val="00D73B8A"/>
    <w:rsid w:val="00D740A5"/>
    <w:rsid w:val="00D764B8"/>
    <w:rsid w:val="00D76E66"/>
    <w:rsid w:val="00D77364"/>
    <w:rsid w:val="00D773E4"/>
    <w:rsid w:val="00D82EF7"/>
    <w:rsid w:val="00DA7B76"/>
    <w:rsid w:val="00DB7B9F"/>
    <w:rsid w:val="00DC0E24"/>
    <w:rsid w:val="00DC1BE4"/>
    <w:rsid w:val="00DC4A8E"/>
    <w:rsid w:val="00DD1B22"/>
    <w:rsid w:val="00DD6868"/>
    <w:rsid w:val="00DE3CAB"/>
    <w:rsid w:val="00DE64AA"/>
    <w:rsid w:val="00DE652D"/>
    <w:rsid w:val="00DF29F2"/>
    <w:rsid w:val="00DF447E"/>
    <w:rsid w:val="00DF6286"/>
    <w:rsid w:val="00DF70C8"/>
    <w:rsid w:val="00DF7B29"/>
    <w:rsid w:val="00E006EB"/>
    <w:rsid w:val="00E022BD"/>
    <w:rsid w:val="00E055FB"/>
    <w:rsid w:val="00E100C5"/>
    <w:rsid w:val="00E11B7C"/>
    <w:rsid w:val="00E1573F"/>
    <w:rsid w:val="00E17AED"/>
    <w:rsid w:val="00E22009"/>
    <w:rsid w:val="00E2495E"/>
    <w:rsid w:val="00E26A47"/>
    <w:rsid w:val="00E26DDB"/>
    <w:rsid w:val="00E3070C"/>
    <w:rsid w:val="00E342B0"/>
    <w:rsid w:val="00E35092"/>
    <w:rsid w:val="00E3518E"/>
    <w:rsid w:val="00E3603C"/>
    <w:rsid w:val="00E37A5C"/>
    <w:rsid w:val="00E407FF"/>
    <w:rsid w:val="00E41142"/>
    <w:rsid w:val="00E6041B"/>
    <w:rsid w:val="00E6128A"/>
    <w:rsid w:val="00E673AF"/>
    <w:rsid w:val="00E67AF4"/>
    <w:rsid w:val="00E70238"/>
    <w:rsid w:val="00E70C1D"/>
    <w:rsid w:val="00E717F3"/>
    <w:rsid w:val="00E73043"/>
    <w:rsid w:val="00E73DB5"/>
    <w:rsid w:val="00E77C50"/>
    <w:rsid w:val="00E85F5D"/>
    <w:rsid w:val="00E90DC8"/>
    <w:rsid w:val="00EA1994"/>
    <w:rsid w:val="00EA3A4A"/>
    <w:rsid w:val="00EA69CE"/>
    <w:rsid w:val="00EB2308"/>
    <w:rsid w:val="00ED0451"/>
    <w:rsid w:val="00EE677C"/>
    <w:rsid w:val="00EF0424"/>
    <w:rsid w:val="00EF14C4"/>
    <w:rsid w:val="00EF1B98"/>
    <w:rsid w:val="00EF5913"/>
    <w:rsid w:val="00F00CF6"/>
    <w:rsid w:val="00F03E36"/>
    <w:rsid w:val="00F05298"/>
    <w:rsid w:val="00F1512C"/>
    <w:rsid w:val="00F234B2"/>
    <w:rsid w:val="00F24FF9"/>
    <w:rsid w:val="00F25944"/>
    <w:rsid w:val="00F26D17"/>
    <w:rsid w:val="00F27F82"/>
    <w:rsid w:val="00F31908"/>
    <w:rsid w:val="00F31B25"/>
    <w:rsid w:val="00F32406"/>
    <w:rsid w:val="00F32F59"/>
    <w:rsid w:val="00F33B9D"/>
    <w:rsid w:val="00F34792"/>
    <w:rsid w:val="00F406B3"/>
    <w:rsid w:val="00F4144B"/>
    <w:rsid w:val="00F41EAE"/>
    <w:rsid w:val="00F5044E"/>
    <w:rsid w:val="00F5096E"/>
    <w:rsid w:val="00F55B4A"/>
    <w:rsid w:val="00F568A3"/>
    <w:rsid w:val="00F65313"/>
    <w:rsid w:val="00F65FBC"/>
    <w:rsid w:val="00F66657"/>
    <w:rsid w:val="00F7014A"/>
    <w:rsid w:val="00F810F2"/>
    <w:rsid w:val="00F927A4"/>
    <w:rsid w:val="00F935F7"/>
    <w:rsid w:val="00F965A4"/>
    <w:rsid w:val="00F97C47"/>
    <w:rsid w:val="00FA2537"/>
    <w:rsid w:val="00FB33FD"/>
    <w:rsid w:val="00FB615F"/>
    <w:rsid w:val="00FC19EF"/>
    <w:rsid w:val="00FC1DEB"/>
    <w:rsid w:val="00FC4D57"/>
    <w:rsid w:val="00FD0546"/>
    <w:rsid w:val="00FD2912"/>
    <w:rsid w:val="00FD468C"/>
    <w:rsid w:val="00FD493B"/>
    <w:rsid w:val="00FD506F"/>
    <w:rsid w:val="00FE276C"/>
    <w:rsid w:val="00FF0B64"/>
    <w:rsid w:val="00FF1928"/>
    <w:rsid w:val="00FF5F34"/>
    <w:rsid w:val="00FF72C2"/>
    <w:rsid w:val="00FF7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paragraph" w:styleId="4">
    <w:name w:val="heading 4"/>
    <w:basedOn w:val="1"/>
    <w:next w:val="1"/>
    <w:qFormat/>
    <w:uiPriority w:val="0"/>
    <w:pPr>
      <w:keepNext/>
      <w:spacing w:line="0" w:lineRule="atLeast"/>
      <w:ind w:left="-10" w:leftChars="-5" w:right="-107" w:rightChars="-51" w:firstLine="6" w:firstLineChars="3"/>
      <w:outlineLvl w:val="3"/>
    </w:pPr>
    <w:rPr>
      <w:rFonts w:ascii="幼圆" w:eastAsia="幼圆"/>
      <w:b/>
      <w:bCs/>
    </w:rPr>
  </w:style>
  <w:style w:type="paragraph" w:styleId="5">
    <w:name w:val="heading 5"/>
    <w:basedOn w:val="1"/>
    <w:next w:val="1"/>
    <w:qFormat/>
    <w:uiPriority w:val="0"/>
    <w:pPr>
      <w:keepNext/>
      <w:spacing w:line="0" w:lineRule="atLeast"/>
      <w:jc w:val="right"/>
      <w:outlineLvl w:val="4"/>
    </w:pPr>
    <w:rPr>
      <w:rFonts w:ascii="幼圆" w:eastAsia="幼圆"/>
      <w:u w:val="single"/>
    </w:rPr>
  </w:style>
  <w:style w:type="character" w:default="1" w:styleId="20">
    <w:name w:val="Default Paragraph Font"/>
    <w:semiHidden/>
    <w:uiPriority w:val="0"/>
  </w:style>
  <w:style w:type="table" w:default="1" w:styleId="18">
    <w:name w:val="Normal Table"/>
    <w:semiHidden/>
    <w:uiPriority w:val="0"/>
    <w:tblPr>
      <w:tblStyle w:val="18"/>
      <w:tblCellMar>
        <w:top w:w="0" w:type="dxa"/>
        <w:left w:w="108" w:type="dxa"/>
        <w:bottom w:w="0" w:type="dxa"/>
        <w:right w:w="108" w:type="dxa"/>
      </w:tblCellMar>
    </w:tblPr>
    <w:trPr>
      <w:wBefore w:w="0" w:type="dxa"/>
    </w:trPr>
  </w:style>
  <w:style w:type="paragraph" w:styleId="6">
    <w:name w:val="Document Map"/>
    <w:basedOn w:val="1"/>
    <w:semiHidden/>
    <w:uiPriority w:val="0"/>
    <w:pPr>
      <w:shd w:val="clear" w:color="auto" w:fill="000080"/>
    </w:pPr>
  </w:style>
  <w:style w:type="paragraph" w:styleId="7">
    <w:name w:val="annotation text"/>
    <w:basedOn w:val="1"/>
    <w:semiHidden/>
    <w:uiPriority w:val="0"/>
    <w:pPr>
      <w:jc w:val="left"/>
    </w:pPr>
  </w:style>
  <w:style w:type="paragraph" w:styleId="8">
    <w:name w:val="Body Text Indent"/>
    <w:basedOn w:val="1"/>
    <w:uiPriority w:val="0"/>
    <w:pPr>
      <w:adjustRightInd w:val="0"/>
      <w:snapToGrid w:val="0"/>
      <w:ind w:left="511" w:leftChars="248"/>
      <w:jc w:val="left"/>
    </w:pPr>
    <w:rPr>
      <w:rFonts w:ascii="Arial" w:hAnsi="Arial" w:eastAsia="幼圆" w:cs="Arial"/>
    </w:rPr>
  </w:style>
  <w:style w:type="paragraph" w:styleId="9">
    <w:name w:val="Date"/>
    <w:basedOn w:val="1"/>
    <w:next w:val="1"/>
    <w:uiPriority w:val="0"/>
    <w:rPr>
      <w:rFonts w:ascii="宋体" w:hAnsi="Garamond"/>
      <w:sz w:val="24"/>
    </w:rPr>
  </w:style>
  <w:style w:type="paragraph" w:styleId="10">
    <w:name w:val="Body Text Indent 2"/>
    <w:basedOn w:val="1"/>
    <w:uiPriority w:val="0"/>
    <w:pPr>
      <w:spacing w:line="400" w:lineRule="exact"/>
      <w:ind w:left="313" w:leftChars="149"/>
    </w:pPr>
    <w:rPr>
      <w:rFonts w:ascii="宋体"/>
    </w:rPr>
  </w:style>
  <w:style w:type="paragraph" w:styleId="11">
    <w:name w:val="Balloon Text"/>
    <w:basedOn w:val="1"/>
    <w:semiHidden/>
    <w:uiPriority w:val="0"/>
    <w:rPr>
      <w:sz w:val="18"/>
      <w:szCs w:val="18"/>
    </w:r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uiPriority w:val="0"/>
    <w:pPr>
      <w:widowControl/>
      <w:tabs>
        <w:tab w:val="center" w:pos="4819"/>
        <w:tab w:val="right" w:pos="9638"/>
      </w:tabs>
      <w:jc w:val="left"/>
    </w:pPr>
    <w:rPr>
      <w:rFonts w:ascii="Arial" w:hAnsi="Arial" w:eastAsia="Times New Roman"/>
      <w:kern w:val="0"/>
      <w:sz w:val="24"/>
      <w:lang w:val="it-IT"/>
    </w:rPr>
  </w:style>
  <w:style w:type="paragraph" w:styleId="14">
    <w:name w:val="toc 1"/>
    <w:basedOn w:val="1"/>
    <w:next w:val="1"/>
    <w:semiHidden/>
    <w:uiPriority w:val="0"/>
    <w:pPr>
      <w:spacing w:line="0" w:lineRule="atLeast"/>
      <w:ind w:left="-57" w:right="-113"/>
    </w:pPr>
    <w:rPr>
      <w:rFonts w:ascii="幼圆" w:eastAsia="幼圆"/>
      <w:szCs w:val="24"/>
    </w:rPr>
  </w:style>
  <w:style w:type="paragraph" w:styleId="15">
    <w:name w:val="Body Text Indent 3"/>
    <w:basedOn w:val="1"/>
    <w:uiPriority w:val="0"/>
    <w:pPr>
      <w:adjustRightInd w:val="0"/>
      <w:spacing w:line="400" w:lineRule="exact"/>
      <w:ind w:firstLine="720"/>
      <w:textAlignment w:val="baseline"/>
    </w:pPr>
    <w:rPr>
      <w:rFonts w:eastAsia="幼圆"/>
      <w:kern w:val="0"/>
      <w:sz w:val="24"/>
    </w:rPr>
  </w:style>
  <w:style w:type="paragraph" w:styleId="16">
    <w:name w:val="Body Text 2"/>
    <w:basedOn w:val="1"/>
    <w:uiPriority w:val="0"/>
    <w:pPr>
      <w:spacing w:after="120" w:line="480" w:lineRule="auto"/>
    </w:pPr>
  </w:style>
  <w:style w:type="paragraph" w:styleId="17">
    <w:name w:val="Normal (Web)"/>
    <w:basedOn w:val="1"/>
    <w:uiPriority w:val="0"/>
    <w:pPr>
      <w:widowControl/>
      <w:spacing w:before="100" w:beforeAutospacing="1" w:after="100" w:afterAutospacing="1"/>
      <w:jc w:val="left"/>
    </w:pPr>
    <w:rPr>
      <w:rFonts w:ascii="宋体" w:hAnsi="宋体" w:cs="宋体"/>
      <w:kern w:val="0"/>
      <w:sz w:val="24"/>
      <w:szCs w:val="24"/>
    </w:rPr>
  </w:style>
  <w:style w:type="table" w:styleId="19">
    <w:name w:val="Table Grid"/>
    <w:basedOn w:val="18"/>
    <w:uiPriority w:val="0"/>
    <w:pPr>
      <w:widowControl w:val="0"/>
      <w:jc w:val="both"/>
    </w:pPr>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uiPriority w:val="0"/>
  </w:style>
  <w:style w:type="character" w:styleId="22">
    <w:name w:val="Hyperlink"/>
    <w:uiPriority w:val="0"/>
    <w:rPr>
      <w:color w:val="0000FF"/>
      <w:u w:val="single"/>
    </w:rPr>
  </w:style>
  <w:style w:type="character" w:styleId="23">
    <w:name w:val="annotation reference"/>
    <w:semiHidden/>
    <w:uiPriority w:val="0"/>
    <w:rPr>
      <w:sz w:val="21"/>
      <w:szCs w:val="21"/>
    </w:rPr>
  </w:style>
  <w:style w:type="paragraph" w:customStyle="1" w:styleId="24">
    <w:name w:val="Comment Subject"/>
    <w:basedOn w:val="7"/>
    <w:next w:val="7"/>
    <w:semiHidden/>
    <w:uiPriority w:val="0"/>
    <w:rPr>
      <w:b/>
      <w:bCs/>
    </w:rPr>
  </w:style>
  <w:style w:type="paragraph" w:customStyle="1" w:styleId="25">
    <w:name w:val="Balloon Text"/>
    <w:basedOn w:val="1"/>
    <w:semiHidden/>
    <w:uiPriority w:val="0"/>
    <w:rPr>
      <w:sz w:val="18"/>
      <w:szCs w:val="18"/>
    </w:rPr>
  </w:style>
  <w:style w:type="paragraph" w:customStyle="1" w:styleId="26">
    <w:name w:val="Definition Term"/>
    <w:basedOn w:val="1"/>
    <w:next w:val="1"/>
    <w:uiPriority w:val="0"/>
    <w:pPr>
      <w:autoSpaceDE w:val="0"/>
      <w:autoSpaceDN w:val="0"/>
      <w:adjustRightInd w:val="0"/>
      <w:jc w:val="left"/>
    </w:pPr>
    <w:rPr>
      <w:kern w:val="0"/>
      <w:sz w:val="24"/>
    </w:rPr>
  </w:style>
  <w:style w:type="paragraph" w:customStyle="1" w:styleId="27">
    <w:name w:val="_Style 26"/>
    <w:basedOn w:val="1"/>
    <w:next w:val="16"/>
    <w:uiPriority w:val="0"/>
    <w:pPr>
      <w:snapToGrid w:val="0"/>
      <w:spacing w:before="120"/>
      <w:jc w:val="center"/>
    </w:pPr>
    <w:rPr>
      <w:rFonts w:eastAsia="PMingLiU"/>
      <w:b/>
      <w:spacing w:val="20"/>
      <w:sz w:val="28"/>
      <w:lang w:eastAsia="zh-TW"/>
    </w:rPr>
  </w:style>
  <w:style w:type="paragraph" w:customStyle="1" w:styleId="28">
    <w:name w:val="正文+左侧"/>
    <w:basedOn w:val="1"/>
    <w:uiPriority w:val="0"/>
    <w:pPr>
      <w:spacing w:line="360" w:lineRule="auto"/>
    </w:pPr>
    <w:rPr>
      <w:sz w:val="24"/>
    </w:rPr>
  </w:style>
  <w:style w:type="paragraph" w:customStyle="1" w:styleId="29">
    <w:name w:val="左2.31.8"/>
    <w:basedOn w:val="1"/>
    <w:uiPriority w:val="0"/>
    <w:pPr>
      <w:ind w:left="2382" w:hanging="1021"/>
    </w:pPr>
    <w:rPr>
      <w:rFonts w:eastAsia="MingLiU"/>
      <w:sz w:val="28"/>
      <w:lang w:eastAsia="zh-TW"/>
    </w:rPr>
  </w:style>
  <w:style w:type="paragraph" w:customStyle="1" w:styleId="30">
    <w:name w:val="左1.9"/>
    <w:basedOn w:val="1"/>
    <w:uiPriority w:val="0"/>
    <w:pPr>
      <w:ind w:left="1984" w:hanging="907"/>
    </w:pPr>
    <w:rPr>
      <w:rFonts w:eastAsia="MingLiU"/>
      <w:sz w:val="28"/>
      <w:lang w:eastAsia="zh-TW"/>
    </w:rPr>
  </w:style>
  <w:style w:type="paragraph" w:customStyle="1" w:styleId="31">
    <w:name w:val="左2.21.1"/>
    <w:basedOn w:val="1"/>
    <w:uiPriority w:val="0"/>
    <w:pPr>
      <w:ind w:left="1304" w:hanging="680"/>
    </w:pPr>
    <w:rPr>
      <w:rFonts w:eastAsia="MingLiU"/>
      <w:sz w:val="28"/>
      <w:lang w:eastAsia="zh-TW"/>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mmgz</Company>
  <Pages>5</Pages>
  <Words>2086</Words>
  <Characters>2178</Characters>
  <Lines>16</Lines>
  <Paragraphs>4</Paragraphs>
  <TotalTime>0</TotalTime>
  <ScaleCrop>false</ScaleCrop>
  <LinksUpToDate>false</LinksUpToDate>
  <CharactersWithSpaces>2206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2015-09-14T02:16:00Z</dcterms:created>
  <dc:creator>mm</dc:creator>
  <cp:lastModifiedBy>当下</cp:lastModifiedBy>
  <cp:lastPrinted>2015-09-14T02:17:00Z</cp:lastPrinted>
  <dcterms:modified xsi:type="dcterms:W3CDTF">2026-05-20T03:55:52Z</dcterms:modified>
  <dc:title>PUBLICATIONS COMMITTEE 编写 / 翻译委员会</dc:title>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3452F9C2A9E54D628F0044856FE345CE_13</vt:lpwstr>
  </property>
</Properties>
</file>