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line="276" w:lineRule="auto"/>
        <w:jc w:val="center"/>
      </w:pPr>
      <w:r>
        <w:rPr>
          <w:rFonts w:ascii="Segoe UI" w:hAnsi="Segoe UI"/>
          <w:b/>
          <w:color w:val="1B365D"/>
          <w:sz w:val="56"/>
        </w:rPr>
        <w:t>REMOTE-SENSE SYSTEM SPECIFICATION</w:t>
        <w:br/>
      </w:r>
    </w:p>
    <w:p>
      <w:pPr>
        <w:spacing w:before="0" w:after="720" w:line="276" w:lineRule="auto"/>
        <w:jc w:val="center"/>
      </w:pPr>
      <w:r>
        <w:rPr>
          <w:rFonts w:ascii="Segoe UI" w:hAnsi="Segoe UI"/>
          <w:i/>
          <w:color w:val="5A6B7C"/>
          <w:sz w:val="28"/>
        </w:rPr>
        <w:t>Comprehensive Architectural Design, Data Flow, and Operations Manual</w:t>
        <w:br/>
        <w:t>Internal Satellite Agricultural Intelligence Platform for Zimbabwean Agriculture</w:t>
      </w:r>
    </w:p>
    <w:tbl>
      <w:tblPr>
        <w:tblW w:type="auto" w:w="0"/>
        <w:jc w:val="center"/>
        <w:tblLayout w:type="autofit"/>
        <w:tblLook w:firstColumn="1" w:firstRow="1" w:lastColumn="0" w:lastRow="0" w:noHBand="0" w:noVBand="1" w:val="04A0"/>
      </w:tblPr>
      <w:tblGrid>
        <w:gridCol w:w="4680"/>
        <w:gridCol w:w="4680"/>
      </w:tblGrid>
      <w:tr>
        <w:tc>
          <w:tcPr>
            <w:tcW w:type="dxa" w:w="4680"/>
            <w:tcMar>
              <w:top w:w="40" w:type="dxa"/>
              <w:bottom w:w="40" w:type="dxa"/>
              <w:left w:w="80" w:type="dxa"/>
              <w:right w:w="80" w:type="dxa"/>
            </w:tcMar>
          </w:tcPr>
          <w:p>
            <w:pPr>
              <w:spacing w:before="0" w:after="0" w:line="276" w:lineRule="auto"/>
            </w:pPr>
            <w:r>
              <w:rPr>
                <w:rFonts w:ascii="Segoe UI" w:hAnsi="Segoe UI"/>
                <w:b/>
                <w:color w:val="1B365D"/>
                <w:sz w:val="20"/>
              </w:rPr>
              <w:t>Platform Name:</w:t>
            </w:r>
          </w:p>
        </w:tc>
        <w:tc>
          <w:tcPr>
            <w:tcW w:type="dxa" w:w="4680"/>
            <w:tcMar>
              <w:top w:w="40" w:type="dxa"/>
              <w:bottom w:w="40" w:type="dxa"/>
              <w:left w:w="80" w:type="dxa"/>
              <w:right w:w="80" w:type="dxa"/>
            </w:tcMar>
          </w:tcPr>
          <w:p>
            <w:pPr>
              <w:spacing w:before="0" w:after="0" w:line="276" w:lineRule="auto"/>
            </w:pPr>
            <w:r>
              <w:rPr>
                <w:rFonts w:ascii="Calibri" w:hAnsi="Calibri"/>
                <w:color w:val="333333"/>
                <w:sz w:val="20"/>
              </w:rPr>
              <w:t>remote-sense (Backbone of AgriTrack)</w:t>
            </w:r>
          </w:p>
        </w:tc>
      </w:tr>
      <w:tr>
        <w:tc>
          <w:tcPr>
            <w:tcW w:type="dxa" w:w="4680"/>
            <w:tcMar>
              <w:top w:w="40" w:type="dxa"/>
              <w:bottom w:w="40" w:type="dxa"/>
              <w:left w:w="80" w:type="dxa"/>
              <w:right w:w="80" w:type="dxa"/>
            </w:tcMar>
          </w:tcPr>
          <w:p>
            <w:pPr>
              <w:spacing w:before="0" w:after="0" w:line="276" w:lineRule="auto"/>
            </w:pPr>
            <w:r>
              <w:rPr>
                <w:rFonts w:ascii="Segoe UI" w:hAnsi="Segoe UI"/>
                <w:b/>
                <w:color w:val="1B365D"/>
                <w:sz w:val="20"/>
              </w:rPr>
              <w:t>Target System:</w:t>
            </w:r>
          </w:p>
        </w:tc>
        <w:tc>
          <w:tcPr>
            <w:tcW w:type="dxa" w:w="4680"/>
            <w:tcMar>
              <w:top w:w="40" w:type="dxa"/>
              <w:bottom w:w="40" w:type="dxa"/>
              <w:left w:w="80" w:type="dxa"/>
              <w:right w:w="80" w:type="dxa"/>
            </w:tcMar>
          </w:tcPr>
          <w:p>
            <w:pPr>
              <w:spacing w:before="0" w:after="0" w:line="276" w:lineRule="auto"/>
            </w:pPr>
            <w:r>
              <w:rPr>
                <w:rFonts w:ascii="Calibri" w:hAnsi="Calibri"/>
                <w:color w:val="333333"/>
                <w:sz w:val="20"/>
              </w:rPr>
              <w:t>Zimbabwean Agronomic Monitoring Platform</w:t>
            </w:r>
          </w:p>
        </w:tc>
      </w:tr>
      <w:tr>
        <w:tc>
          <w:tcPr>
            <w:tcW w:type="dxa" w:w="4680"/>
            <w:tcMar>
              <w:top w:w="40" w:type="dxa"/>
              <w:bottom w:w="40" w:type="dxa"/>
              <w:left w:w="80" w:type="dxa"/>
              <w:right w:w="80" w:type="dxa"/>
            </w:tcMar>
          </w:tcPr>
          <w:p>
            <w:pPr>
              <w:spacing w:before="0" w:after="0" w:line="276" w:lineRule="auto"/>
            </w:pPr>
            <w:r>
              <w:rPr>
                <w:rFonts w:ascii="Segoe UI" w:hAnsi="Segoe UI"/>
                <w:b/>
                <w:color w:val="1B365D"/>
                <w:sz w:val="20"/>
              </w:rPr>
              <w:t>Date of Publication:</w:t>
            </w:r>
          </w:p>
        </w:tc>
        <w:tc>
          <w:tcPr>
            <w:tcW w:type="dxa" w:w="4680"/>
            <w:tcMar>
              <w:top w:w="40" w:type="dxa"/>
              <w:bottom w:w="40" w:type="dxa"/>
              <w:left w:w="80" w:type="dxa"/>
              <w:right w:w="80" w:type="dxa"/>
            </w:tcMar>
          </w:tcPr>
          <w:p>
            <w:pPr>
              <w:spacing w:before="0" w:after="0" w:line="276" w:lineRule="auto"/>
            </w:pPr>
            <w:r>
              <w:rPr>
                <w:rFonts w:ascii="Calibri" w:hAnsi="Calibri"/>
                <w:color w:val="333333"/>
                <w:sz w:val="20"/>
              </w:rPr>
              <w:t>June 15, 2026</w:t>
            </w:r>
          </w:p>
        </w:tc>
      </w:tr>
      <w:tr>
        <w:tc>
          <w:tcPr>
            <w:tcW w:type="dxa" w:w="4680"/>
            <w:tcMar>
              <w:top w:w="40" w:type="dxa"/>
              <w:bottom w:w="40" w:type="dxa"/>
              <w:left w:w="80" w:type="dxa"/>
              <w:right w:w="80" w:type="dxa"/>
            </w:tcMar>
          </w:tcPr>
          <w:p>
            <w:pPr>
              <w:spacing w:before="0" w:after="0" w:line="276" w:lineRule="auto"/>
            </w:pPr>
            <w:r>
              <w:rPr>
                <w:rFonts w:ascii="Segoe UI" w:hAnsi="Segoe UI"/>
                <w:b/>
                <w:color w:val="1B365D"/>
                <w:sz w:val="20"/>
              </w:rPr>
              <w:t>Security / Status:</w:t>
            </w:r>
          </w:p>
        </w:tc>
        <w:tc>
          <w:tcPr>
            <w:tcW w:type="dxa" w:w="4680"/>
            <w:tcMar>
              <w:top w:w="40" w:type="dxa"/>
              <w:bottom w:w="40" w:type="dxa"/>
              <w:left w:w="80" w:type="dxa"/>
              <w:right w:w="80" w:type="dxa"/>
            </w:tcMar>
          </w:tcPr>
          <w:p>
            <w:pPr>
              <w:spacing w:before="0" w:after="0" w:line="276" w:lineRule="auto"/>
            </w:pPr>
            <w:r>
              <w:rPr>
                <w:rFonts w:ascii="Calibri" w:hAnsi="Calibri"/>
                <w:color w:val="333333"/>
                <w:sz w:val="20"/>
              </w:rPr>
              <w:t>Internal Confidential / System Reference Spec</w:t>
            </w:r>
          </w:p>
        </w:tc>
      </w:tr>
    </w:tbl>
    <w:p>
      <w:r>
        <w:br w:type="page"/>
      </w:r>
    </w:p>
    <w:p>
      <w:pPr>
        <w:keepNext/>
        <w:spacing w:before="360" w:after="120" w:line="276" w:lineRule="auto"/>
      </w:pPr>
      <w:r>
        <w:rPr>
          <w:rFonts w:ascii="Segoe UI" w:hAnsi="Segoe UI"/>
          <w:b/>
          <w:color w:val="1B365D"/>
          <w:sz w:val="36"/>
        </w:rPr>
        <w:t>1. Executive Summary &amp; Core Purpose</w:t>
      </w:r>
    </w:p>
    <w:p>
      <w:pPr>
        <w:spacing w:before="0" w:after="120" w:line="276" w:lineRule="auto"/>
      </w:pPr>
      <w:r>
        <w:rPr>
          <w:rFonts w:ascii="Calibri" w:hAnsi="Calibri"/>
          <w:b w:val="0"/>
          <w:i w:val="0"/>
          <w:color w:val="333333"/>
          <w:sz w:val="22"/>
        </w:rPr>
        <w:t>The remote-sense platform is an internal satellite agricultural intelligence engine designed as the analysis backbone behind the farmer-facing AgriTrack mobile application. While AgriTrack is a lightweight consumer app tailored for farmers on the ground, remote-sense is an expert-facing system optimized for analytical density, precision, and agronomist-led decision support.</w:t>
      </w:r>
    </w:p>
    <w:p>
      <w:pPr>
        <w:spacing w:before="0" w:after="120" w:line="276" w:lineRule="auto"/>
      </w:pPr>
      <w:r>
        <w:rPr>
          <w:rFonts w:ascii="Calibri" w:hAnsi="Calibri"/>
          <w:b w:val="0"/>
          <w:i w:val="0"/>
          <w:color w:val="333333"/>
          <w:sz w:val="22"/>
        </w:rPr>
        <w:t>At its core, remote-sense automates the process of turning raw satellite imagery into per-field agronomic indices and narrative interpretations. It operates via a robust ports-and-adapters architecture to pull Sentinel-2 L2A surface reflectance data, mask cloud cover, compute vegetative indices, overlay weather telemetry, and generate drafts of plain-language agronomic assessments that are reviewed by experts before publication.</w:t>
      </w:r>
    </w:p>
    <w:p>
      <w:pPr>
        <w:keepNext/>
        <w:spacing w:before="240" w:after="80" w:line="276" w:lineRule="auto"/>
      </w:pPr>
      <w:r>
        <w:rPr>
          <w:rFonts w:ascii="Segoe UI" w:hAnsi="Segoe UI"/>
          <w:b/>
          <w:color w:val="008080"/>
          <w:sz w:val="28"/>
        </w:rPr>
        <w:t>Key Responsibilities of remote-sense</w:t>
      </w:r>
    </w:p>
    <w:p>
      <w:pPr>
        <w:pStyle w:val="ListBullet"/>
        <w:spacing w:before="0" w:after="60" w:line="276" w:lineRule="auto"/>
        <w:ind w:left="360"/>
      </w:pPr>
      <w:r>
        <w:rPr>
          <w:rFonts w:ascii="Calibri" w:hAnsi="Calibri"/>
          <w:b/>
          <w:color w:val="333333"/>
          <w:sz w:val="22"/>
        </w:rPr>
        <w:t>Ingestion &amp; Validation:</w:t>
      </w:r>
      <w:r>
        <w:rPr>
          <w:rFonts w:ascii="Calibri" w:hAnsi="Calibri"/>
          <w:color w:val="333333"/>
          <w:sz w:val="22"/>
        </w:rPr>
        <w:t xml:space="preserve"> receive field boundaries (geometries) from the master AgriTrack database via a secure REST API.</w:t>
      </w:r>
    </w:p>
    <w:p>
      <w:pPr>
        <w:pStyle w:val="ListBullet"/>
        <w:spacing w:before="0" w:after="60" w:line="276" w:lineRule="auto"/>
        <w:ind w:left="360"/>
      </w:pPr>
      <w:r>
        <w:rPr>
          <w:rFonts w:ascii="Calibri" w:hAnsi="Calibri"/>
          <w:b/>
          <w:color w:val="333333"/>
          <w:sz w:val="22"/>
        </w:rPr>
        <w:t>Collection Pipeline:</w:t>
      </w:r>
      <w:r>
        <w:rPr>
          <w:rFonts w:ascii="Calibri" w:hAnsi="Calibri"/>
          <w:color w:val="333333"/>
          <w:sz w:val="22"/>
        </w:rPr>
        <w:t xml:space="preserve"> orchestrate Celery tasks to perform initial historical backfills (typically 18 months) and continuous forward-fills (5-day Sentinel-2 orbit cadence) for every registered field.</w:t>
      </w:r>
    </w:p>
    <w:p>
      <w:pPr>
        <w:pStyle w:val="ListBullet"/>
        <w:spacing w:before="0" w:after="60" w:line="276" w:lineRule="auto"/>
        <w:ind w:left="360"/>
      </w:pPr>
      <w:r>
        <w:rPr>
          <w:rFonts w:ascii="Calibri" w:hAnsi="Calibri"/>
          <w:b/>
          <w:color w:val="333333"/>
          <w:sz w:val="22"/>
        </w:rPr>
        <w:t>Imagery Access:</w:t>
      </w:r>
      <w:r>
        <w:rPr>
          <w:rFonts w:ascii="Calibri" w:hAnsi="Calibri"/>
          <w:color w:val="333333"/>
          <w:sz w:val="22"/>
        </w:rPr>
        <w:t xml:space="preserve"> retrieve Copernicus Sentinel-2 L2A bands from the Copernicus Data Space Ecosystem (CDSE) using efficient windowed cloud-optimized GeoTIFF (COG) reads.</w:t>
      </w:r>
    </w:p>
    <w:p>
      <w:pPr>
        <w:pStyle w:val="ListBullet"/>
        <w:spacing w:before="0" w:after="60" w:line="276" w:lineRule="auto"/>
        <w:ind w:left="360"/>
      </w:pPr>
      <w:r>
        <w:rPr>
          <w:rFonts w:ascii="Calibri" w:hAnsi="Calibri"/>
          <w:b/>
          <w:color w:val="333333"/>
          <w:sz w:val="22"/>
        </w:rPr>
        <w:t>Analysis Core:</w:t>
      </w:r>
      <w:r>
        <w:rPr>
          <w:rFonts w:ascii="Calibri" w:hAnsi="Calibri"/>
          <w:color w:val="333333"/>
          <w:sz w:val="22"/>
        </w:rPr>
        <w:t xml:space="preserve"> calculate reflectance-corrected vegetative indices (NDVI, EVI2, SAVI, NDRE, NDMI) at their native resolutions with strict Scene Classification Layer (SCL) cloud masking.</w:t>
      </w:r>
    </w:p>
    <w:p>
      <w:pPr>
        <w:pStyle w:val="ListBullet"/>
        <w:spacing w:before="0" w:after="60" w:line="276" w:lineRule="auto"/>
        <w:ind w:left="360"/>
      </w:pPr>
      <w:r>
        <w:rPr>
          <w:rFonts w:ascii="Calibri" w:hAnsi="Calibri"/>
          <w:b/>
          <w:color w:val="333333"/>
          <w:sz w:val="22"/>
        </w:rPr>
        <w:t>Agronomic Interpretation:</w:t>
      </w:r>
      <w:r>
        <w:rPr>
          <w:rFonts w:ascii="Calibri" w:hAnsi="Calibri"/>
          <w:color w:val="333333"/>
          <w:sz w:val="22"/>
        </w:rPr>
        <w:t xml:space="preserve"> generate plain-language agricultural interpretations by feeding crop types, indices, weather, and activity logs into Claude-3.5-class model APIs under a strict human-in-the-loop review model.</w:t>
      </w:r>
    </w:p>
    <w:p>
      <w:pPr>
        <w:pStyle w:val="ListBullet"/>
        <w:spacing w:before="0" w:after="60" w:line="276" w:lineRule="auto"/>
        <w:ind w:left="360"/>
      </w:pPr>
      <w:r>
        <w:rPr>
          <w:rFonts w:ascii="Calibri" w:hAnsi="Calibri"/>
          <w:b/>
          <w:color w:val="333333"/>
          <w:sz w:val="22"/>
        </w:rPr>
        <w:t>Visualization &amp; BFF:</w:t>
      </w:r>
      <w:r>
        <w:rPr>
          <w:rFonts w:ascii="Calibri" w:hAnsi="Calibri"/>
          <w:color w:val="333333"/>
          <w:sz w:val="22"/>
        </w:rPr>
        <w:t xml:space="preserve"> store zonal statistics and colorized COGs, serving map tiles dynamically through Nginx and an in-container rio-tiler service to the analyst workspace.</w:t>
      </w:r>
    </w:p>
    <w:p>
      <w:pPr>
        <w:pStyle w:val="ListBullet"/>
        <w:spacing w:before="0" w:after="60" w:line="276" w:lineRule="auto"/>
        <w:ind w:left="360"/>
      </w:pPr>
      <w:r>
        <w:rPr>
          <w:rFonts w:ascii="Calibri" w:hAnsi="Calibri"/>
          <w:b/>
          <w:color w:val="333333"/>
          <w:sz w:val="22"/>
        </w:rPr>
        <w:t>Outbound Sync:</w:t>
      </w:r>
      <w:r>
        <w:rPr>
          <w:rFonts w:ascii="Calibri" w:hAnsi="Calibri"/>
          <w:color w:val="333333"/>
          <w:sz w:val="22"/>
        </w:rPr>
        <w:t xml:space="preserve"> push reviewed reports and interpretations back to the AgriTrack gateway, utilizing a robust, retry-backed, geometry-free sync model.</w:t>
      </w:r>
    </w:p>
    <w:tbl>
      <w:tblPr>
        <w:tblW w:type="auto" w:w="0"/>
        <w:jc w:val="center"/>
        <w:tblLayout w:type="fixed"/>
        <w:tblLook w:firstColumn="1" w:firstRow="1" w:lastColumn="0" w:lastRow="0" w:noHBand="0" w:noVBand="1" w:val="04A0"/>
      </w:tblPr>
      <w:tblGrid>
        <w:gridCol w:w="9360"/>
      </w:tblGrid>
      <w:tr>
        <w:tc>
          <w:tcPr>
            <w:tcW w:type="dxa" w:w="8640"/>
            <w:shd w:fill="F2F4F7"/>
            <w:tcBorders>
              <w:left w:val="single" w:sz="24" w:space="0" w:color="1B365D"/>
              <w:top w:val="none"/>
              <w:bottom w:val="none"/>
              <w:right w:val="none"/>
            </w:tcBorders>
            <w:tcMar>
              <w:top w:w="140" w:type="dxa"/>
              <w:bottom w:w="140" w:type="dxa"/>
              <w:left w:w="200" w:type="dxa"/>
              <w:right w:w="200" w:type="dxa"/>
            </w:tcMar>
          </w:tcPr>
          <w:p>
            <w:pPr>
              <w:spacing w:before="0" w:after="60" w:line="276" w:lineRule="auto"/>
            </w:pPr>
            <w:r>
              <w:rPr>
                <w:rFonts w:ascii="Segoe UI" w:hAnsi="Segoe UI"/>
                <w:b/>
                <w:color w:val="1B365D"/>
                <w:sz w:val="21"/>
              </w:rPr>
              <w:t xml:space="preserve">[CORE GEOSPATIAL CONCEPT] </w:t>
            </w:r>
            <w:r>
              <w:rPr>
                <w:rFonts w:ascii="Calibri" w:hAnsi="Calibri"/>
                <w:i/>
                <w:color w:val="333333"/>
                <w:sz w:val="21"/>
              </w:rPr>
              <w:t>The remote-sense engine never tasks new satellite captures. Sentinel-2 is an archive-query system; the application searches and downloads existing imagery captures according to the satellite's orbital schedule.</w:t>
            </w:r>
          </w:p>
        </w:tc>
      </w:tr>
    </w:tbl>
    <w:p>
      <w:pPr>
        <w:spacing w:before="0" w:after="120" w:line="276" w:lineRule="auto"/>
      </w:pPr>
    </w:p>
    <w:p>
      <w:r>
        <w:br w:type="page"/>
      </w:r>
    </w:p>
    <w:p>
      <w:pPr>
        <w:keepNext/>
        <w:spacing w:before="360" w:after="120" w:line="276" w:lineRule="auto"/>
      </w:pPr>
      <w:r>
        <w:rPr>
          <w:rFonts w:ascii="Segoe UI" w:hAnsi="Segoe UI"/>
          <w:b/>
          <w:color w:val="1B365D"/>
          <w:sz w:val="36"/>
        </w:rPr>
        <w:t>2. System Architecture &amp; Macro-Flow</w:t>
      </w:r>
    </w:p>
    <w:p>
      <w:pPr>
        <w:spacing w:before="0" w:after="120" w:line="276" w:lineRule="auto"/>
      </w:pPr>
      <w:r>
        <w:rPr>
          <w:rFonts w:ascii="Calibri" w:hAnsi="Calibri"/>
          <w:b w:val="0"/>
          <w:i w:val="0"/>
          <w:color w:val="333333"/>
          <w:sz w:val="22"/>
        </w:rPr>
        <w:t>The platform is structured as a monorepo consisting of importable libraries (packages) and runnable services, built with FastAPI, Celery, PostgreSQL/PostGIS, Redis, MinIO (S3-compatible storage), and Nginx. This modular layout prevents tight coupling and ensures clear separation of concerns.</w:t>
      </w:r>
    </w:p>
    <w:p>
      <w:pPr>
        <w:keepNext/>
        <w:spacing w:before="240" w:after="80" w:line="276" w:lineRule="auto"/>
      </w:pPr>
      <w:r>
        <w:rPr>
          <w:rFonts w:ascii="Segoe UI" w:hAnsi="Segoe UI"/>
          <w:b/>
          <w:color w:val="008080"/>
          <w:sz w:val="28"/>
        </w:rPr>
        <w:t>Architecture In One Line</w:t>
      </w:r>
    </w:p>
    <w:p>
      <w:pPr>
        <w:spacing w:before="0" w:after="120" w:line="276" w:lineRule="auto"/>
      </w:pPr>
      <w:r>
        <w:rPr>
          <w:rFonts w:ascii="Calibri" w:hAnsi="Calibri"/>
          <w:b w:val="0"/>
          <w:i/>
          <w:color w:val="333333"/>
          <w:sz w:val="22"/>
        </w:rPr>
        <w:t>Gateway ▸ Ingestion ▸ Collection ▸ Access Layer ⇄ CDSE ▸ Analysis ▸ Substrate ▸ Tiles ▸ Workspace ▸ Outbound ▸ Gateway</w:t>
      </w:r>
    </w:p>
    <w:p>
      <w:pPr>
        <w:keepNext/>
        <w:spacing w:before="240" w:after="80" w:line="276" w:lineRule="auto"/>
      </w:pPr>
      <w:r>
        <w:rPr>
          <w:rFonts w:ascii="Segoe UI" w:hAnsi="Segoe UI"/>
          <w:b/>
          <w:color w:val="008080"/>
          <w:sz w:val="28"/>
        </w:rPr>
        <w:t>Monorepo Module Map</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2340"/>
        <w:gridCol w:w="2340"/>
        <w:gridCol w:w="2340"/>
        <w:gridCol w:w="2340"/>
      </w:tblGrid>
      <w:tr>
        <w:tc>
          <w:tcPr>
            <w:tcW w:type="dxa" w:w="2160"/>
            <w:shd w:fill="1B365D"/>
            <w:tcMar>
              <w:top w:w="100" w:type="dxa"/>
              <w:bottom w:w="100" w:type="dxa"/>
              <w:left w:w="150" w:type="dxa"/>
              <w:right w:w="150" w:type="dxa"/>
            </w:tcMar>
          </w:tcPr>
          <w:p>
            <w:pPr>
              <w:spacing w:before="0" w:after="0" w:line="276" w:lineRule="auto"/>
              <w:jc w:val="left"/>
            </w:pPr>
            <w:r>
              <w:rPr>
                <w:rFonts w:ascii="Segoe UI" w:hAnsi="Segoe UI"/>
                <w:b/>
                <w:color w:val="FFFFFF"/>
                <w:sz w:val="20"/>
              </w:rPr>
              <w:t>Module / Service</w:t>
            </w:r>
          </w:p>
        </w:tc>
        <w:tc>
          <w:tcPr>
            <w:tcW w:type="dxa" w:w="3168"/>
            <w:shd w:fill="1B365D"/>
            <w:tcMar>
              <w:top w:w="100" w:type="dxa"/>
              <w:bottom w:w="100" w:type="dxa"/>
              <w:left w:w="150" w:type="dxa"/>
              <w:right w:w="150" w:type="dxa"/>
            </w:tcMar>
          </w:tcPr>
          <w:p>
            <w:pPr>
              <w:spacing w:before="0" w:after="0" w:line="276" w:lineRule="auto"/>
              <w:jc w:val="left"/>
            </w:pPr>
            <w:r>
              <w:rPr>
                <w:rFonts w:ascii="Segoe UI" w:hAnsi="Segoe UI"/>
                <w:b/>
                <w:color w:val="FFFFFF"/>
                <w:sz w:val="20"/>
              </w:rPr>
              <w:t>Responsibility</w:t>
            </w:r>
          </w:p>
        </w:tc>
        <w:tc>
          <w:tcPr>
            <w:tcW w:type="dxa" w:w="1728"/>
            <w:shd w:fill="1B365D"/>
            <w:tcMar>
              <w:top w:w="100" w:type="dxa"/>
              <w:bottom w:w="100" w:type="dxa"/>
              <w:left w:w="150" w:type="dxa"/>
              <w:right w:w="150" w:type="dxa"/>
            </w:tcMar>
          </w:tcPr>
          <w:p>
            <w:pPr>
              <w:spacing w:before="0" w:after="0" w:line="276" w:lineRule="auto"/>
              <w:jc w:val="left"/>
            </w:pPr>
            <w:r>
              <w:rPr>
                <w:rFonts w:ascii="Segoe UI" w:hAnsi="Segoe UI"/>
                <w:b/>
                <w:color w:val="FFFFFF"/>
                <w:sz w:val="20"/>
              </w:rPr>
              <w:t>Seam / Boundary</w:t>
            </w:r>
          </w:p>
        </w:tc>
        <w:tc>
          <w:tcPr>
            <w:tcW w:type="dxa" w:w="1584"/>
            <w:shd w:fill="1B365D"/>
            <w:tcMar>
              <w:top w:w="100" w:type="dxa"/>
              <w:bottom w:w="100" w:type="dxa"/>
              <w:left w:w="150" w:type="dxa"/>
              <w:right w:w="150" w:type="dxa"/>
            </w:tcMar>
          </w:tcPr>
          <w:p>
            <w:pPr>
              <w:spacing w:before="0" w:after="0" w:line="276" w:lineRule="auto"/>
              <w:jc w:val="left"/>
            </w:pPr>
            <w:r>
              <w:rPr>
                <w:rFonts w:ascii="Segoe UI" w:hAnsi="Segoe UI"/>
                <w:b/>
                <w:color w:val="FFFFFF"/>
                <w:sz w:val="20"/>
              </w:rPr>
              <w:t>Primary Stack</w:t>
            </w:r>
          </w:p>
        </w:tc>
      </w:tr>
      <w:tr>
        <w:tc>
          <w:tcPr>
            <w:tcW w:type="dxa" w:w="2160"/>
            <w:shd w:fill="FFFFFF"/>
            <w:tcMar>
              <w:top w:w="80" w:type="dxa"/>
              <w:bottom w:w="80" w:type="dxa"/>
              <w:left w:w="150" w:type="dxa"/>
              <w:right w:w="150" w:type="dxa"/>
            </w:tcMar>
          </w:tcPr>
          <w:p>
            <w:pPr>
              <w:spacing w:before="0" w:after="0" w:line="276" w:lineRule="auto"/>
              <w:jc w:val="left"/>
            </w:pPr>
            <w:r>
              <w:rPr>
                <w:rFonts w:ascii="Calibri" w:hAnsi="Calibri"/>
                <w:color w:val="333333"/>
                <w:sz w:val="19"/>
              </w:rPr>
              <w:t>packages/rs_core</w:t>
            </w:r>
          </w:p>
        </w:tc>
        <w:tc>
          <w:tcPr>
            <w:tcW w:type="dxa" w:w="3168"/>
            <w:shd w:fill="FFFFFF"/>
            <w:tcMar>
              <w:top w:w="80" w:type="dxa"/>
              <w:bottom w:w="80" w:type="dxa"/>
              <w:left w:w="150" w:type="dxa"/>
              <w:right w:w="150" w:type="dxa"/>
            </w:tcMar>
          </w:tcPr>
          <w:p>
            <w:pPr>
              <w:spacing w:before="0" w:after="0" w:line="276" w:lineRule="auto"/>
              <w:jc w:val="left"/>
            </w:pPr>
            <w:r>
              <w:rPr>
                <w:rFonts w:ascii="Calibri" w:hAnsi="Calibri"/>
                <w:color w:val="333333"/>
                <w:sz w:val="19"/>
              </w:rPr>
              <w:t>Configuration, DB Session, PostGIS Model, RBAC, Repositories, Alerts</w:t>
            </w:r>
          </w:p>
        </w:tc>
        <w:tc>
          <w:tcPr>
            <w:tcW w:type="dxa" w:w="1728"/>
            <w:shd w:fill="FFFFFF"/>
            <w:tcMar>
              <w:top w:w="80" w:type="dxa"/>
              <w:bottom w:w="80" w:type="dxa"/>
              <w:left w:w="150" w:type="dxa"/>
              <w:right w:w="150" w:type="dxa"/>
            </w:tcMar>
          </w:tcPr>
          <w:p>
            <w:pPr>
              <w:spacing w:before="0" w:after="0" w:line="276" w:lineRule="auto"/>
              <w:jc w:val="left"/>
            </w:pPr>
            <w:r>
              <w:rPr>
                <w:rFonts w:ascii="Calibri" w:hAnsi="Calibri"/>
                <w:color w:val="333333"/>
                <w:sz w:val="19"/>
              </w:rPr>
              <w:t>Imported by all services; no service imports</w:t>
            </w:r>
          </w:p>
        </w:tc>
        <w:tc>
          <w:tcPr>
            <w:tcW w:type="dxa" w:w="1584"/>
            <w:shd w:fill="FFFFFF"/>
            <w:tcMar>
              <w:top w:w="80" w:type="dxa"/>
              <w:bottom w:w="80" w:type="dxa"/>
              <w:left w:w="150" w:type="dxa"/>
              <w:right w:w="150" w:type="dxa"/>
            </w:tcMar>
          </w:tcPr>
          <w:p>
            <w:pPr>
              <w:spacing w:before="0" w:after="0" w:line="276" w:lineRule="auto"/>
              <w:jc w:val="left"/>
            </w:pPr>
            <w:r>
              <w:rPr>
                <w:rFonts w:ascii="Calibri" w:hAnsi="Calibri"/>
                <w:color w:val="333333"/>
                <w:sz w:val="19"/>
              </w:rPr>
              <w:t>SQLAlchemy 2.0, GeoAlchemy2, Pydantic v2</w:t>
            </w:r>
          </w:p>
        </w:tc>
      </w:tr>
      <w:tr>
        <w:tc>
          <w:tcPr>
            <w:tcW w:type="dxa" w:w="2160"/>
            <w:shd w:fill="F9FBFD"/>
            <w:tcMar>
              <w:top w:w="80" w:type="dxa"/>
              <w:bottom w:w="80" w:type="dxa"/>
              <w:left w:w="150" w:type="dxa"/>
              <w:right w:w="150" w:type="dxa"/>
            </w:tcMar>
          </w:tcPr>
          <w:p>
            <w:pPr>
              <w:spacing w:before="0" w:after="0" w:line="276" w:lineRule="auto"/>
              <w:jc w:val="left"/>
            </w:pPr>
            <w:r>
              <w:rPr>
                <w:rFonts w:ascii="Calibri" w:hAnsi="Calibri"/>
                <w:color w:val="333333"/>
                <w:sz w:val="19"/>
              </w:rPr>
              <w:t>packages/rs_imagery</w:t>
            </w:r>
          </w:p>
        </w:tc>
        <w:tc>
          <w:tcPr>
            <w:tcW w:type="dxa" w:w="3168"/>
            <w:shd w:fill="F9FBFD"/>
            <w:tcMar>
              <w:top w:w="80" w:type="dxa"/>
              <w:bottom w:w="80" w:type="dxa"/>
              <w:left w:w="150" w:type="dxa"/>
              <w:right w:w="150" w:type="dxa"/>
            </w:tcMar>
          </w:tcPr>
          <w:p>
            <w:pPr>
              <w:spacing w:before="0" w:after="0" w:line="276" w:lineRule="auto"/>
              <w:jc w:val="left"/>
            </w:pPr>
            <w:r>
              <w:rPr>
                <w:rFonts w:ascii="Calibri" w:hAnsi="Calibri"/>
                <w:color w:val="333333"/>
                <w:sz w:val="19"/>
              </w:rPr>
              <w:t>Satellite access layer: AccessPort, CdseStacClient, evaluationscripts</w:t>
            </w:r>
          </w:p>
        </w:tc>
        <w:tc>
          <w:tcPr>
            <w:tcW w:type="dxa" w:w="1728"/>
            <w:shd w:fill="F9FBFD"/>
            <w:tcMar>
              <w:top w:w="80" w:type="dxa"/>
              <w:bottom w:w="80" w:type="dxa"/>
              <w:left w:w="150" w:type="dxa"/>
              <w:right w:w="150" w:type="dxa"/>
            </w:tcMar>
          </w:tcPr>
          <w:p>
            <w:pPr>
              <w:spacing w:before="0" w:after="0" w:line="276" w:lineRule="auto"/>
              <w:jc w:val="left"/>
            </w:pPr>
            <w:r>
              <w:rPr>
                <w:rFonts w:ascii="Calibri" w:hAnsi="Calibri"/>
                <w:color w:val="333333"/>
                <w:sz w:val="19"/>
              </w:rPr>
              <w:t>The ONLY path to satellite data</w:t>
            </w:r>
          </w:p>
        </w:tc>
        <w:tc>
          <w:tcPr>
            <w:tcW w:type="dxa" w:w="1584"/>
            <w:shd w:fill="F9FBFD"/>
            <w:tcMar>
              <w:top w:w="80" w:type="dxa"/>
              <w:bottom w:w="80" w:type="dxa"/>
              <w:left w:w="150" w:type="dxa"/>
              <w:right w:w="150" w:type="dxa"/>
            </w:tcMar>
          </w:tcPr>
          <w:p>
            <w:pPr>
              <w:spacing w:before="0" w:after="0" w:line="276" w:lineRule="auto"/>
              <w:jc w:val="left"/>
            </w:pPr>
            <w:r>
              <w:rPr>
                <w:rFonts w:ascii="Calibri" w:hAnsi="Calibri"/>
                <w:color w:val="333333"/>
                <w:sz w:val="19"/>
              </w:rPr>
              <w:t>httpx, tenacity, CDSE REST API</w:t>
            </w:r>
          </w:p>
        </w:tc>
      </w:tr>
      <w:tr>
        <w:tc>
          <w:tcPr>
            <w:tcW w:type="dxa" w:w="2160"/>
            <w:shd w:fill="FFFFFF"/>
            <w:tcMar>
              <w:top w:w="80" w:type="dxa"/>
              <w:bottom w:w="80" w:type="dxa"/>
              <w:left w:w="150" w:type="dxa"/>
              <w:right w:w="150" w:type="dxa"/>
            </w:tcMar>
          </w:tcPr>
          <w:p>
            <w:pPr>
              <w:spacing w:before="0" w:after="0" w:line="276" w:lineRule="auto"/>
              <w:jc w:val="left"/>
            </w:pPr>
            <w:r>
              <w:rPr>
                <w:rFonts w:ascii="Calibri" w:hAnsi="Calibri"/>
                <w:color w:val="333333"/>
                <w:sz w:val="19"/>
              </w:rPr>
              <w:t>packages/rs_analysis</w:t>
            </w:r>
          </w:p>
        </w:tc>
        <w:tc>
          <w:tcPr>
            <w:tcW w:type="dxa" w:w="3168"/>
            <w:shd w:fill="FFFFFF"/>
            <w:tcMar>
              <w:top w:w="80" w:type="dxa"/>
              <w:bottom w:w="80" w:type="dxa"/>
              <w:left w:w="150" w:type="dxa"/>
              <w:right w:w="150" w:type="dxa"/>
            </w:tcMar>
          </w:tcPr>
          <w:p>
            <w:pPr>
              <w:spacing w:before="0" w:after="0" w:line="276" w:lineRule="auto"/>
              <w:jc w:val="left"/>
            </w:pPr>
            <w:r>
              <w:rPr>
                <w:rFonts w:ascii="Calibri" w:hAnsi="Calibri"/>
                <w:color w:val="333333"/>
                <w:sz w:val="19"/>
              </w:rPr>
              <w:t>Reflectance offset math, SCL cloud masking, index computation, zonal stats</w:t>
            </w:r>
          </w:p>
        </w:tc>
        <w:tc>
          <w:tcPr>
            <w:tcW w:type="dxa" w:w="1728"/>
            <w:shd w:fill="FFFFFF"/>
            <w:tcMar>
              <w:top w:w="80" w:type="dxa"/>
              <w:bottom w:w="80" w:type="dxa"/>
              <w:left w:w="150" w:type="dxa"/>
              <w:right w:w="150" w:type="dxa"/>
            </w:tcMar>
          </w:tcPr>
          <w:p>
            <w:pPr>
              <w:spacing w:before="0" w:after="0" w:line="276" w:lineRule="auto"/>
              <w:jc w:val="left"/>
            </w:pPr>
            <w:r>
              <w:rPr>
                <w:rFonts w:ascii="Calibri" w:hAnsi="Calibri"/>
                <w:color w:val="333333"/>
                <w:sz w:val="19"/>
              </w:rPr>
              <w:t>Pure library; no DB or external service imports</w:t>
            </w:r>
          </w:p>
        </w:tc>
        <w:tc>
          <w:tcPr>
            <w:tcW w:type="dxa" w:w="1584"/>
            <w:shd w:fill="FFFFFF"/>
            <w:tcMar>
              <w:top w:w="80" w:type="dxa"/>
              <w:bottom w:w="80" w:type="dxa"/>
              <w:left w:w="150" w:type="dxa"/>
              <w:right w:w="150" w:type="dxa"/>
            </w:tcMar>
          </w:tcPr>
          <w:p>
            <w:pPr>
              <w:spacing w:before="0" w:after="0" w:line="276" w:lineRule="auto"/>
              <w:jc w:val="left"/>
            </w:pPr>
            <w:r>
              <w:rPr>
                <w:rFonts w:ascii="Calibri" w:hAnsi="Calibri"/>
                <w:color w:val="333333"/>
                <w:sz w:val="19"/>
              </w:rPr>
              <w:t>rasterio, NumPy, shapely, pyproj</w:t>
            </w:r>
          </w:p>
        </w:tc>
      </w:tr>
      <w:tr>
        <w:tc>
          <w:tcPr>
            <w:tcW w:type="dxa" w:w="2160"/>
            <w:shd w:fill="F9FBFD"/>
            <w:tcMar>
              <w:top w:w="80" w:type="dxa"/>
              <w:bottom w:w="80" w:type="dxa"/>
              <w:left w:w="150" w:type="dxa"/>
              <w:right w:w="150" w:type="dxa"/>
            </w:tcMar>
          </w:tcPr>
          <w:p>
            <w:pPr>
              <w:spacing w:before="0" w:after="0" w:line="276" w:lineRule="auto"/>
              <w:jc w:val="left"/>
            </w:pPr>
            <w:r>
              <w:rPr>
                <w:rFonts w:ascii="Calibri" w:hAnsi="Calibri"/>
                <w:color w:val="333333"/>
                <w:sz w:val="19"/>
              </w:rPr>
              <w:t>packages/rs_weather</w:t>
            </w:r>
          </w:p>
        </w:tc>
        <w:tc>
          <w:tcPr>
            <w:tcW w:type="dxa" w:w="3168"/>
            <w:shd w:fill="F9FBFD"/>
            <w:tcMar>
              <w:top w:w="80" w:type="dxa"/>
              <w:bottom w:w="80" w:type="dxa"/>
              <w:left w:w="150" w:type="dxa"/>
              <w:right w:w="150" w:type="dxa"/>
            </w:tcMar>
          </w:tcPr>
          <w:p>
            <w:pPr>
              <w:spacing w:before="0" w:after="0" w:line="276" w:lineRule="auto"/>
              <w:jc w:val="left"/>
            </w:pPr>
            <w:r>
              <w:rPr>
                <w:rFonts w:ascii="Calibri" w:hAnsi="Calibri"/>
                <w:color w:val="333333"/>
                <w:sz w:val="19"/>
              </w:rPr>
              <w:t>WeatherPort: historical daily weather &amp; short forecasts. ET0 and GDD math</w:t>
            </w:r>
          </w:p>
        </w:tc>
        <w:tc>
          <w:tcPr>
            <w:tcW w:type="dxa" w:w="1728"/>
            <w:shd w:fill="F9FBFD"/>
            <w:tcMar>
              <w:top w:w="80" w:type="dxa"/>
              <w:bottom w:w="80" w:type="dxa"/>
              <w:left w:w="150" w:type="dxa"/>
              <w:right w:w="150" w:type="dxa"/>
            </w:tcMar>
          </w:tcPr>
          <w:p>
            <w:pPr>
              <w:spacing w:before="0" w:after="0" w:line="276" w:lineRule="auto"/>
              <w:jc w:val="left"/>
            </w:pPr>
            <w:r>
              <w:rPr>
                <w:rFonts w:ascii="Calibri" w:hAnsi="Calibri"/>
                <w:color w:val="333333"/>
                <w:sz w:val="19"/>
              </w:rPr>
              <w:t>The ONLY path to weather providers</w:t>
            </w:r>
          </w:p>
        </w:tc>
        <w:tc>
          <w:tcPr>
            <w:tcW w:type="dxa" w:w="1584"/>
            <w:shd w:fill="F9FBFD"/>
            <w:tcMar>
              <w:top w:w="80" w:type="dxa"/>
              <w:bottom w:w="80" w:type="dxa"/>
              <w:left w:w="150" w:type="dxa"/>
              <w:right w:w="150" w:type="dxa"/>
            </w:tcMar>
          </w:tcPr>
          <w:p>
            <w:pPr>
              <w:spacing w:before="0" w:after="0" w:line="276" w:lineRule="auto"/>
              <w:jc w:val="left"/>
            </w:pPr>
            <w:r>
              <w:rPr>
                <w:rFonts w:ascii="Calibri" w:hAnsi="Calibri"/>
                <w:color w:val="333333"/>
                <w:sz w:val="19"/>
              </w:rPr>
              <w:t>Open-Meteo REST API, FAO-56 math</w:t>
            </w:r>
          </w:p>
        </w:tc>
      </w:tr>
      <w:tr>
        <w:tc>
          <w:tcPr>
            <w:tcW w:type="dxa" w:w="2160"/>
            <w:shd w:fill="FFFFFF"/>
            <w:tcMar>
              <w:top w:w="80" w:type="dxa"/>
              <w:bottom w:w="80" w:type="dxa"/>
              <w:left w:w="150" w:type="dxa"/>
              <w:right w:w="150" w:type="dxa"/>
            </w:tcMar>
          </w:tcPr>
          <w:p>
            <w:pPr>
              <w:spacing w:before="0" w:after="0" w:line="276" w:lineRule="auto"/>
              <w:jc w:val="left"/>
            </w:pPr>
            <w:r>
              <w:rPr>
                <w:rFonts w:ascii="Calibri" w:hAnsi="Calibri"/>
                <w:color w:val="333333"/>
                <w:sz w:val="19"/>
              </w:rPr>
              <w:t>packages/rs_activity</w:t>
            </w:r>
          </w:p>
        </w:tc>
        <w:tc>
          <w:tcPr>
            <w:tcW w:type="dxa" w:w="3168"/>
            <w:shd w:fill="FFFFFF"/>
            <w:tcMar>
              <w:top w:w="80" w:type="dxa"/>
              <w:bottom w:w="80" w:type="dxa"/>
              <w:left w:w="150" w:type="dxa"/>
              <w:right w:w="150" w:type="dxa"/>
            </w:tcMar>
          </w:tcPr>
          <w:p>
            <w:pPr>
              <w:spacing w:before="0" w:after="0" w:line="276" w:lineRule="auto"/>
              <w:jc w:val="left"/>
            </w:pPr>
            <w:r>
              <w:rPr>
                <w:rFonts w:ascii="Calibri" w:hAnsi="Calibri"/>
                <w:color w:val="333333"/>
                <w:sz w:val="19"/>
              </w:rPr>
              <w:t>ActivityLogPort: read field-activity intervention logs (planting, spraying, etc.)</w:t>
            </w:r>
          </w:p>
        </w:tc>
        <w:tc>
          <w:tcPr>
            <w:tcW w:type="dxa" w:w="1728"/>
            <w:shd w:fill="FFFFFF"/>
            <w:tcMar>
              <w:top w:w="80" w:type="dxa"/>
              <w:bottom w:w="80" w:type="dxa"/>
              <w:left w:w="150" w:type="dxa"/>
              <w:right w:w="150" w:type="dxa"/>
            </w:tcMar>
          </w:tcPr>
          <w:p>
            <w:pPr>
              <w:spacing w:before="0" w:after="0" w:line="276" w:lineRule="auto"/>
              <w:jc w:val="left"/>
            </w:pPr>
            <w:r>
              <w:rPr>
                <w:rFonts w:ascii="Calibri" w:hAnsi="Calibri"/>
                <w:color w:val="333333"/>
                <w:sz w:val="19"/>
              </w:rPr>
              <w:t>The ONLY path to AgriTrack telemetry</w:t>
            </w:r>
          </w:p>
        </w:tc>
        <w:tc>
          <w:tcPr>
            <w:tcW w:type="dxa" w:w="1584"/>
            <w:shd w:fill="FFFFFF"/>
            <w:tcMar>
              <w:top w:w="80" w:type="dxa"/>
              <w:bottom w:w="80" w:type="dxa"/>
              <w:left w:w="150" w:type="dxa"/>
              <w:right w:w="150" w:type="dxa"/>
            </w:tcMar>
          </w:tcPr>
          <w:p>
            <w:pPr>
              <w:spacing w:before="0" w:after="0" w:line="276" w:lineRule="auto"/>
              <w:jc w:val="left"/>
            </w:pPr>
            <w:r>
              <w:rPr>
                <w:rFonts w:ascii="Calibri" w:hAnsi="Calibri"/>
                <w:color w:val="333333"/>
                <w:sz w:val="19"/>
              </w:rPr>
              <w:t>AgriTrack API client (read-only)</w:t>
            </w:r>
          </w:p>
        </w:tc>
      </w:tr>
      <w:tr>
        <w:tc>
          <w:tcPr>
            <w:tcW w:type="dxa" w:w="2160"/>
            <w:shd w:fill="F9FBFD"/>
            <w:tcMar>
              <w:top w:w="80" w:type="dxa"/>
              <w:bottom w:w="80" w:type="dxa"/>
              <w:left w:w="150" w:type="dxa"/>
              <w:right w:w="150" w:type="dxa"/>
            </w:tcMar>
          </w:tcPr>
          <w:p>
            <w:pPr>
              <w:spacing w:before="0" w:after="0" w:line="276" w:lineRule="auto"/>
              <w:jc w:val="left"/>
            </w:pPr>
            <w:r>
              <w:rPr>
                <w:rFonts w:ascii="Calibri" w:hAnsi="Calibri"/>
                <w:color w:val="333333"/>
                <w:sz w:val="19"/>
              </w:rPr>
              <w:t>packages/rs_interpret</w:t>
            </w:r>
          </w:p>
        </w:tc>
        <w:tc>
          <w:tcPr>
            <w:tcW w:type="dxa" w:w="3168"/>
            <w:shd w:fill="F9FBFD"/>
            <w:tcMar>
              <w:top w:w="80" w:type="dxa"/>
              <w:bottom w:w="80" w:type="dxa"/>
              <w:left w:w="150" w:type="dxa"/>
              <w:right w:w="150" w:type="dxa"/>
            </w:tcMar>
          </w:tcPr>
          <w:p>
            <w:pPr>
              <w:spacing w:before="0" w:after="0" w:line="276" w:lineRule="auto"/>
              <w:jc w:val="left"/>
            </w:pPr>
            <w:r>
              <w:rPr>
                <w:rFonts w:ascii="Calibri" w:hAnsi="Calibri"/>
                <w:color w:val="333333"/>
                <w:sz w:val="19"/>
              </w:rPr>
              <w:t>Crop threshold definitions, prompt templates, Claude API integration</w:t>
            </w:r>
          </w:p>
        </w:tc>
        <w:tc>
          <w:tcPr>
            <w:tcW w:type="dxa" w:w="1728"/>
            <w:shd w:fill="F9FBFD"/>
            <w:tcMar>
              <w:top w:w="80" w:type="dxa"/>
              <w:bottom w:w="80" w:type="dxa"/>
              <w:left w:w="150" w:type="dxa"/>
              <w:right w:w="150" w:type="dxa"/>
            </w:tcMar>
          </w:tcPr>
          <w:p>
            <w:pPr>
              <w:spacing w:before="0" w:after="0" w:line="276" w:lineRule="auto"/>
              <w:jc w:val="left"/>
            </w:pPr>
            <w:r>
              <w:rPr>
                <w:rFonts w:ascii="Calibri" w:hAnsi="Calibri"/>
                <w:color w:val="333333"/>
                <w:sz w:val="19"/>
              </w:rPr>
              <w:t>Agronomic interpretation library</w:t>
            </w:r>
          </w:p>
        </w:tc>
        <w:tc>
          <w:tcPr>
            <w:tcW w:type="dxa" w:w="1584"/>
            <w:shd w:fill="F9FBFD"/>
            <w:tcMar>
              <w:top w:w="80" w:type="dxa"/>
              <w:bottom w:w="80" w:type="dxa"/>
              <w:left w:w="150" w:type="dxa"/>
              <w:right w:w="150" w:type="dxa"/>
            </w:tcMar>
          </w:tcPr>
          <w:p>
            <w:pPr>
              <w:spacing w:before="0" w:after="0" w:line="276" w:lineRule="auto"/>
              <w:jc w:val="left"/>
            </w:pPr>
            <w:r>
              <w:rPr>
                <w:rFonts w:ascii="Calibri" w:hAnsi="Calibri"/>
                <w:color w:val="333333"/>
                <w:sz w:val="19"/>
              </w:rPr>
              <w:t>Anthropic Python SDK (Client)</w:t>
            </w:r>
          </w:p>
        </w:tc>
      </w:tr>
      <w:tr>
        <w:tc>
          <w:tcPr>
            <w:tcW w:type="dxa" w:w="2160"/>
            <w:shd w:fill="FFFFFF"/>
            <w:tcMar>
              <w:top w:w="80" w:type="dxa"/>
              <w:bottom w:w="80" w:type="dxa"/>
              <w:left w:w="150" w:type="dxa"/>
              <w:right w:w="150" w:type="dxa"/>
            </w:tcMar>
          </w:tcPr>
          <w:p>
            <w:pPr>
              <w:spacing w:before="0" w:after="0" w:line="276" w:lineRule="auto"/>
              <w:jc w:val="left"/>
            </w:pPr>
            <w:r>
              <w:rPr>
                <w:rFonts w:ascii="Calibri" w:hAnsi="Calibri"/>
                <w:color w:val="333333"/>
                <w:sz w:val="19"/>
              </w:rPr>
              <w:t>packages/rs_sync</w:t>
            </w:r>
          </w:p>
        </w:tc>
        <w:tc>
          <w:tcPr>
            <w:tcW w:type="dxa" w:w="3168"/>
            <w:shd w:fill="FFFFFF"/>
            <w:tcMar>
              <w:top w:w="80" w:type="dxa"/>
              <w:bottom w:w="80" w:type="dxa"/>
              <w:left w:w="150" w:type="dxa"/>
              <w:right w:w="150" w:type="dxa"/>
            </w:tcMar>
          </w:tcPr>
          <w:p>
            <w:pPr>
              <w:spacing w:before="0" w:after="0" w:line="276" w:lineRule="auto"/>
              <w:jc w:val="left"/>
            </w:pPr>
            <w:r>
              <w:rPr>
                <w:rFonts w:ascii="Calibri" w:hAnsi="Calibri"/>
                <w:color w:val="333333"/>
                <w:sz w:val="19"/>
              </w:rPr>
              <w:t>GatewayPort: push payloads, SyncOutbox ledger, CSV/GeoTIFF exporters</w:t>
            </w:r>
          </w:p>
        </w:tc>
        <w:tc>
          <w:tcPr>
            <w:tcW w:type="dxa" w:w="1728"/>
            <w:shd w:fill="FFFFFF"/>
            <w:tcMar>
              <w:top w:w="80" w:type="dxa"/>
              <w:bottom w:w="80" w:type="dxa"/>
              <w:left w:w="150" w:type="dxa"/>
              <w:right w:w="150" w:type="dxa"/>
            </w:tcMar>
          </w:tcPr>
          <w:p>
            <w:pPr>
              <w:spacing w:before="0" w:after="0" w:line="276" w:lineRule="auto"/>
              <w:jc w:val="left"/>
            </w:pPr>
            <w:r>
              <w:rPr>
                <w:rFonts w:ascii="Calibri" w:hAnsi="Calibri"/>
                <w:color w:val="333333"/>
                <w:sz w:val="19"/>
              </w:rPr>
              <w:t>The ONLY path back to the AgriTrack gateway</w:t>
            </w:r>
          </w:p>
        </w:tc>
        <w:tc>
          <w:tcPr>
            <w:tcW w:type="dxa" w:w="1584"/>
            <w:shd w:fill="FFFFFF"/>
            <w:tcMar>
              <w:top w:w="80" w:type="dxa"/>
              <w:bottom w:w="80" w:type="dxa"/>
              <w:left w:w="150" w:type="dxa"/>
              <w:right w:w="150" w:type="dxa"/>
            </w:tcMar>
          </w:tcPr>
          <w:p>
            <w:pPr>
              <w:spacing w:before="0" w:after="0" w:line="276" w:lineRule="auto"/>
              <w:jc w:val="left"/>
            </w:pPr>
            <w:r>
              <w:rPr>
                <w:rFonts w:ascii="Calibri" w:hAnsi="Calibri"/>
                <w:color w:val="333333"/>
                <w:sz w:val="19"/>
              </w:rPr>
              <w:t>httpx, tenacity, zipfile, rio-cogeo</w:t>
            </w:r>
          </w:p>
        </w:tc>
      </w:tr>
      <w:tr>
        <w:tc>
          <w:tcPr>
            <w:tcW w:type="dxa" w:w="2160"/>
            <w:shd w:fill="F9FBFD"/>
            <w:tcMar>
              <w:top w:w="80" w:type="dxa"/>
              <w:bottom w:w="80" w:type="dxa"/>
              <w:left w:w="150" w:type="dxa"/>
              <w:right w:w="150" w:type="dxa"/>
            </w:tcMar>
          </w:tcPr>
          <w:p>
            <w:pPr>
              <w:spacing w:before="0" w:after="0" w:line="276" w:lineRule="auto"/>
              <w:jc w:val="left"/>
            </w:pPr>
            <w:r>
              <w:rPr>
                <w:rFonts w:ascii="Calibri" w:hAnsi="Calibri"/>
                <w:color w:val="333333"/>
                <w:sz w:val="19"/>
              </w:rPr>
              <w:t>services/api</w:t>
            </w:r>
          </w:p>
        </w:tc>
        <w:tc>
          <w:tcPr>
            <w:tcW w:type="dxa" w:w="3168"/>
            <w:shd w:fill="F9FBFD"/>
            <w:tcMar>
              <w:top w:w="80" w:type="dxa"/>
              <w:bottom w:w="80" w:type="dxa"/>
              <w:left w:w="150" w:type="dxa"/>
              <w:right w:w="150" w:type="dxa"/>
            </w:tcMar>
          </w:tcPr>
          <w:p>
            <w:pPr>
              <w:spacing w:before="0" w:after="0" w:line="276" w:lineRule="auto"/>
              <w:jc w:val="left"/>
            </w:pPr>
            <w:r>
              <w:rPr>
                <w:rFonts w:ascii="Calibri" w:hAnsi="Calibri"/>
                <w:color w:val="333333"/>
                <w:sz w:val="19"/>
              </w:rPr>
              <w:t>FastAPI ingestion endpoint, workspace BFF API, publish triggers, RBAC JWT auth</w:t>
            </w:r>
          </w:p>
        </w:tc>
        <w:tc>
          <w:tcPr>
            <w:tcW w:type="dxa" w:w="1728"/>
            <w:shd w:fill="F9FBFD"/>
            <w:tcMar>
              <w:top w:w="80" w:type="dxa"/>
              <w:bottom w:w="80" w:type="dxa"/>
              <w:left w:w="150" w:type="dxa"/>
              <w:right w:w="150" w:type="dxa"/>
            </w:tcMar>
          </w:tcPr>
          <w:p>
            <w:pPr>
              <w:spacing w:before="0" w:after="0" w:line="276" w:lineRule="auto"/>
              <w:jc w:val="left"/>
            </w:pPr>
            <w:r>
              <w:rPr>
                <w:rFonts w:ascii="Calibri" w:hAnsi="Calibri"/>
                <w:color w:val="333333"/>
                <w:sz w:val="19"/>
              </w:rPr>
              <w:t>Exposes HTTP endpoints to the web/analysts</w:t>
            </w:r>
          </w:p>
        </w:tc>
        <w:tc>
          <w:tcPr>
            <w:tcW w:type="dxa" w:w="1584"/>
            <w:shd w:fill="F9FBFD"/>
            <w:tcMar>
              <w:top w:w="80" w:type="dxa"/>
              <w:bottom w:w="80" w:type="dxa"/>
              <w:left w:w="150" w:type="dxa"/>
              <w:right w:w="150" w:type="dxa"/>
            </w:tcMar>
          </w:tcPr>
          <w:p>
            <w:pPr>
              <w:spacing w:before="0" w:after="0" w:line="276" w:lineRule="auto"/>
              <w:jc w:val="left"/>
            </w:pPr>
            <w:r>
              <w:rPr>
                <w:rFonts w:ascii="Calibri" w:hAnsi="Calibri"/>
                <w:color w:val="333333"/>
                <w:sz w:val="19"/>
              </w:rPr>
              <w:t>FastAPI, PyJWT, Uvicorn</w:t>
            </w:r>
          </w:p>
        </w:tc>
      </w:tr>
      <w:tr>
        <w:tc>
          <w:tcPr>
            <w:tcW w:type="dxa" w:w="2160"/>
            <w:shd w:fill="FFFFFF"/>
            <w:tcMar>
              <w:top w:w="80" w:type="dxa"/>
              <w:bottom w:w="80" w:type="dxa"/>
              <w:left w:w="150" w:type="dxa"/>
              <w:right w:w="150" w:type="dxa"/>
            </w:tcMar>
          </w:tcPr>
          <w:p>
            <w:pPr>
              <w:spacing w:before="0" w:after="0" w:line="276" w:lineRule="auto"/>
              <w:jc w:val="left"/>
            </w:pPr>
            <w:r>
              <w:rPr>
                <w:rFonts w:ascii="Calibri" w:hAnsi="Calibri"/>
                <w:color w:val="333333"/>
                <w:sz w:val="19"/>
              </w:rPr>
              <w:t>services/worker</w:t>
            </w:r>
          </w:p>
        </w:tc>
        <w:tc>
          <w:tcPr>
            <w:tcW w:type="dxa" w:w="3168"/>
            <w:shd w:fill="FFFFFF"/>
            <w:tcMar>
              <w:top w:w="80" w:type="dxa"/>
              <w:bottom w:w="80" w:type="dxa"/>
              <w:left w:w="150" w:type="dxa"/>
              <w:right w:w="150" w:type="dxa"/>
            </w:tcMar>
          </w:tcPr>
          <w:p>
            <w:pPr>
              <w:spacing w:before="0" w:after="0" w:line="276" w:lineRule="auto"/>
              <w:jc w:val="left"/>
            </w:pPr>
            <w:r>
              <w:rPr>
                <w:rFonts w:ascii="Calibri" w:hAnsi="Calibri"/>
                <w:color w:val="333333"/>
                <w:sz w:val="19"/>
              </w:rPr>
              <w:t>Celery task execution: backfill, forward-fill, analysis execution, sync triggers</w:t>
            </w:r>
          </w:p>
        </w:tc>
        <w:tc>
          <w:tcPr>
            <w:tcW w:type="dxa" w:w="1728"/>
            <w:shd w:fill="FFFFFF"/>
            <w:tcMar>
              <w:top w:w="80" w:type="dxa"/>
              <w:bottom w:w="80" w:type="dxa"/>
              <w:left w:w="150" w:type="dxa"/>
              <w:right w:w="150" w:type="dxa"/>
            </w:tcMar>
          </w:tcPr>
          <w:p>
            <w:pPr>
              <w:spacing w:before="0" w:after="0" w:line="276" w:lineRule="auto"/>
              <w:jc w:val="left"/>
            </w:pPr>
            <w:r>
              <w:rPr>
                <w:rFonts w:ascii="Calibri" w:hAnsi="Calibri"/>
                <w:color w:val="333333"/>
                <w:sz w:val="19"/>
              </w:rPr>
              <w:t>Processes background queue jobs</w:t>
            </w:r>
          </w:p>
        </w:tc>
        <w:tc>
          <w:tcPr>
            <w:tcW w:type="dxa" w:w="1584"/>
            <w:shd w:fill="FFFFFF"/>
            <w:tcMar>
              <w:top w:w="80" w:type="dxa"/>
              <w:bottom w:w="80" w:type="dxa"/>
              <w:left w:w="150" w:type="dxa"/>
              <w:right w:w="150" w:type="dxa"/>
            </w:tcMar>
          </w:tcPr>
          <w:p>
            <w:pPr>
              <w:spacing w:before="0" w:after="0" w:line="276" w:lineRule="auto"/>
              <w:jc w:val="left"/>
            </w:pPr>
            <w:r>
              <w:rPr>
                <w:rFonts w:ascii="Calibri" w:hAnsi="Calibri"/>
                <w:color w:val="333333"/>
                <w:sz w:val="19"/>
              </w:rPr>
              <w:t>Celery, Redis broker, Kombu</w:t>
            </w:r>
          </w:p>
        </w:tc>
      </w:tr>
      <w:tr>
        <w:tc>
          <w:tcPr>
            <w:tcW w:type="dxa" w:w="2160"/>
            <w:shd w:fill="F9FBFD"/>
            <w:tcMar>
              <w:top w:w="80" w:type="dxa"/>
              <w:bottom w:w="80" w:type="dxa"/>
              <w:left w:w="150" w:type="dxa"/>
              <w:right w:w="150" w:type="dxa"/>
            </w:tcMar>
          </w:tcPr>
          <w:p>
            <w:pPr>
              <w:spacing w:before="0" w:after="0" w:line="276" w:lineRule="auto"/>
              <w:jc w:val="left"/>
            </w:pPr>
            <w:r>
              <w:rPr>
                <w:rFonts w:ascii="Calibri" w:hAnsi="Calibri"/>
                <w:color w:val="333333"/>
                <w:sz w:val="19"/>
              </w:rPr>
              <w:t>services/tiler</w:t>
            </w:r>
          </w:p>
        </w:tc>
        <w:tc>
          <w:tcPr>
            <w:tcW w:type="dxa" w:w="3168"/>
            <w:shd w:fill="F9FBFD"/>
            <w:tcMar>
              <w:top w:w="80" w:type="dxa"/>
              <w:bottom w:w="80" w:type="dxa"/>
              <w:left w:w="150" w:type="dxa"/>
              <w:right w:w="150" w:type="dxa"/>
            </w:tcMar>
          </w:tcPr>
          <w:p>
            <w:pPr>
              <w:spacing w:before="0" w:after="0" w:line="276" w:lineRule="auto"/>
              <w:jc w:val="left"/>
            </w:pPr>
            <w:r>
              <w:rPr>
                <w:rFonts w:ascii="Calibri" w:hAnsi="Calibri"/>
                <w:color w:val="333333"/>
                <w:sz w:val="19"/>
              </w:rPr>
              <w:t>rio-tiler application rendering colorized PNG tiles from stored COG arrays</w:t>
            </w:r>
          </w:p>
        </w:tc>
        <w:tc>
          <w:tcPr>
            <w:tcW w:type="dxa" w:w="1728"/>
            <w:shd w:fill="F9FBFD"/>
            <w:tcMar>
              <w:top w:w="80" w:type="dxa"/>
              <w:bottom w:w="80" w:type="dxa"/>
              <w:left w:w="150" w:type="dxa"/>
              <w:right w:w="150" w:type="dxa"/>
            </w:tcMar>
          </w:tcPr>
          <w:p>
            <w:pPr>
              <w:spacing w:before="0" w:after="0" w:line="276" w:lineRule="auto"/>
              <w:jc w:val="left"/>
            </w:pPr>
            <w:r>
              <w:rPr>
                <w:rFonts w:ascii="Calibri" w:hAnsi="Calibri"/>
                <w:color w:val="333333"/>
                <w:sz w:val="19"/>
              </w:rPr>
              <w:t>Serves raster overlays directly to frontend maps</w:t>
            </w:r>
          </w:p>
        </w:tc>
        <w:tc>
          <w:tcPr>
            <w:tcW w:type="dxa" w:w="1584"/>
            <w:shd w:fill="F9FBFD"/>
            <w:tcMar>
              <w:top w:w="80" w:type="dxa"/>
              <w:bottom w:w="80" w:type="dxa"/>
              <w:left w:w="150" w:type="dxa"/>
              <w:right w:w="150" w:type="dxa"/>
            </w:tcMar>
          </w:tcPr>
          <w:p>
            <w:pPr>
              <w:spacing w:before="0" w:after="0" w:line="276" w:lineRule="auto"/>
              <w:jc w:val="left"/>
            </w:pPr>
            <w:r>
              <w:rPr>
                <w:rFonts w:ascii="Calibri" w:hAnsi="Calibri"/>
                <w:color w:val="333333"/>
                <w:sz w:val="19"/>
              </w:rPr>
              <w:t>FastAPI, rio-tiler, Nginx fronting</w:t>
            </w:r>
          </w:p>
        </w:tc>
      </w:tr>
      <w:tr>
        <w:tc>
          <w:tcPr>
            <w:tcW w:type="dxa" w:w="2160"/>
            <w:shd w:fill="FFFFFF"/>
            <w:tcMar>
              <w:top w:w="80" w:type="dxa"/>
              <w:bottom w:w="80" w:type="dxa"/>
              <w:left w:w="150" w:type="dxa"/>
              <w:right w:w="150" w:type="dxa"/>
            </w:tcMar>
          </w:tcPr>
          <w:p>
            <w:pPr>
              <w:spacing w:before="0" w:after="0" w:line="276" w:lineRule="auto"/>
              <w:jc w:val="left"/>
            </w:pPr>
            <w:r>
              <w:rPr>
                <w:rFonts w:ascii="Calibri" w:hAnsi="Calibri"/>
                <w:color w:val="333333"/>
                <w:sz w:val="19"/>
              </w:rPr>
              <w:t>frontend/</w:t>
            </w:r>
          </w:p>
        </w:tc>
        <w:tc>
          <w:tcPr>
            <w:tcW w:type="dxa" w:w="3168"/>
            <w:shd w:fill="FFFFFF"/>
            <w:tcMar>
              <w:top w:w="80" w:type="dxa"/>
              <w:bottom w:w="80" w:type="dxa"/>
              <w:left w:w="150" w:type="dxa"/>
              <w:right w:w="150" w:type="dxa"/>
            </w:tcMar>
          </w:tcPr>
          <w:p>
            <w:pPr>
              <w:spacing w:before="0" w:after="0" w:line="276" w:lineRule="auto"/>
              <w:jc w:val="left"/>
            </w:pPr>
            <w:r>
              <w:rPr>
                <w:rFonts w:ascii="Calibri" w:hAnsi="Calibri"/>
                <w:color w:val="333333"/>
                <w:sz w:val="19"/>
              </w:rPr>
              <w:t>Vite SPA: React dashboard, MapLibre map cockpit, inspector tabs, comparison screens</w:t>
            </w:r>
          </w:p>
        </w:tc>
        <w:tc>
          <w:tcPr>
            <w:tcW w:type="dxa" w:w="1728"/>
            <w:shd w:fill="FFFFFF"/>
            <w:tcMar>
              <w:top w:w="80" w:type="dxa"/>
              <w:bottom w:w="80" w:type="dxa"/>
              <w:left w:w="150" w:type="dxa"/>
              <w:right w:w="150" w:type="dxa"/>
            </w:tcMar>
          </w:tcPr>
          <w:p>
            <w:pPr>
              <w:spacing w:before="0" w:after="0" w:line="276" w:lineRule="auto"/>
              <w:jc w:val="left"/>
            </w:pPr>
            <w:r>
              <w:rPr>
                <w:rFonts w:ascii="Calibri" w:hAnsi="Calibri"/>
                <w:color w:val="333333"/>
                <w:sz w:val="19"/>
              </w:rPr>
              <w:t>Browser application for agronomists/analysts</w:t>
            </w:r>
          </w:p>
        </w:tc>
        <w:tc>
          <w:tcPr>
            <w:tcW w:type="dxa" w:w="1584"/>
            <w:shd w:fill="FFFFFF"/>
            <w:tcMar>
              <w:top w:w="80" w:type="dxa"/>
              <w:bottom w:w="80" w:type="dxa"/>
              <w:left w:w="150" w:type="dxa"/>
              <w:right w:w="150" w:type="dxa"/>
            </w:tcMar>
          </w:tcPr>
          <w:p>
            <w:pPr>
              <w:spacing w:before="0" w:after="0" w:line="276" w:lineRule="auto"/>
              <w:jc w:val="left"/>
            </w:pPr>
            <w:r>
              <w:rPr>
                <w:rFonts w:ascii="Calibri" w:hAnsi="Calibri"/>
                <w:color w:val="333333"/>
                <w:sz w:val="19"/>
              </w:rPr>
              <w:t>Vite, React, TS, Tailwind v4, MapLibre GL</w:t>
            </w:r>
          </w:p>
        </w:tc>
      </w:tr>
    </w:tbl>
    <w:p>
      <w:pPr>
        <w:spacing w:before="0" w:after="120" w:line="276" w:lineRule="auto"/>
      </w:pPr>
    </w:p>
    <w:p>
      <w:pPr>
        <w:keepNext/>
        <w:spacing w:before="240" w:after="80" w:line="276" w:lineRule="auto"/>
      </w:pPr>
      <w:r>
        <w:rPr>
          <w:rFonts w:ascii="Segoe UI" w:hAnsi="Segoe UI"/>
          <w:b/>
          <w:color w:val="008080"/>
          <w:sz w:val="28"/>
        </w:rPr>
        <w:t>Macro Data Flow Detail</w:t>
      </w:r>
    </w:p>
    <w:p>
      <w:pPr>
        <w:spacing w:before="0" w:after="120" w:line="276" w:lineRule="auto"/>
      </w:pPr>
      <w:r>
        <w:rPr>
          <w:rFonts w:ascii="Calibri" w:hAnsi="Calibri"/>
          <w:b w:val="0"/>
          <w:i w:val="0"/>
          <w:color w:val="333333"/>
          <w:sz w:val="22"/>
        </w:rPr>
        <w:t>The data cycle operates through three major phases:</w:t>
      </w:r>
    </w:p>
    <w:p>
      <w:pPr>
        <w:pStyle w:val="ListBullet"/>
        <w:spacing w:before="0" w:after="60" w:line="276" w:lineRule="auto"/>
        <w:ind w:left="360"/>
      </w:pPr>
      <w:r>
        <w:rPr>
          <w:rFonts w:ascii="Calibri" w:hAnsi="Calibri"/>
          <w:b/>
          <w:color w:val="333333"/>
          <w:sz w:val="22"/>
        </w:rPr>
        <w:t xml:space="preserve">1. Ingest: </w:t>
      </w:r>
      <w:r>
        <w:rPr>
          <w:rFonts w:ascii="Calibri" w:hAnsi="Calibri"/>
          <w:color w:val="333333"/>
          <w:sz w:val="22"/>
        </w:rPr>
        <w:t xml:space="preserve"> The AgriTrack PHP application calls POST /api/v1/mobile/sync or POST /ingest/farm with GeoJSON polygons. The API validates the geometries, reprojects coordinates, version-tracks any boundary changes, and stores the metadata. It then triggers the collection pipeline.</w:t>
      </w:r>
    </w:p>
    <w:p>
      <w:pPr>
        <w:pStyle w:val="ListBullet"/>
        <w:spacing w:before="0" w:after="60" w:line="276" w:lineRule="auto"/>
        <w:ind w:left="360"/>
      </w:pPr>
      <w:r>
        <w:rPr>
          <w:rFonts w:ascii="Calibri" w:hAnsi="Calibri"/>
          <w:b/>
          <w:color w:val="333333"/>
          <w:sz w:val="22"/>
        </w:rPr>
        <w:t xml:space="preserve">2. Process: </w:t>
      </w:r>
      <w:r>
        <w:rPr>
          <w:rFonts w:ascii="Calibri" w:hAnsi="Calibri"/>
          <w:color w:val="333333"/>
          <w:sz w:val="22"/>
        </w:rPr>
        <w:t xml:space="preserve"> Celery Beat schedules a scan beat. A Celery task uses rs_imagery to query the Sentinel-2 STAC catalogue for passes matching the field AOI. Valid passes are enqueued. For each pass, raw bands are retrieved from the CDSE S3 store, reflectance correction is applied, cloud pixels are masked using SCL, index bands are computed, zonal statistics are calculated, and a Cloud-Optimized GeoTIFF (COG) is written to MinIO. The raw bands are then immediately discarded.</w:t>
      </w:r>
    </w:p>
    <w:p>
      <w:pPr>
        <w:pStyle w:val="ListBullet"/>
        <w:spacing w:before="0" w:after="60" w:line="276" w:lineRule="auto"/>
        <w:ind w:left="360"/>
      </w:pPr>
      <w:r>
        <w:rPr>
          <w:rFonts w:ascii="Calibri" w:hAnsi="Calibri"/>
          <w:b/>
          <w:color w:val="333333"/>
          <w:sz w:val="22"/>
        </w:rPr>
        <w:t xml:space="preserve">3. Interpret &amp; Sync: </w:t>
      </w:r>
      <w:r>
        <w:rPr>
          <w:rFonts w:ascii="Calibri" w:hAnsi="Calibri"/>
          <w:color w:val="333333"/>
          <w:sz w:val="22"/>
        </w:rPr>
        <w:t xml:space="preserve"> The system fetches preceding 14-day weather (precipitation, GDD) and 30-day farm logs (interventions) and compiles an Evidence payload. This goes to the Anthropic API to draft a narrative. Analysts log into the MapLibre workspace, review indices, overlay weather/activity graphs, edit/approve the narrative, and click 'Publish'. This pushes the geometry-free result package back to the AgriTrack endpoint via GatewayPort with idempotency controls.</w:t>
      </w:r>
    </w:p>
    <w:p>
      <w:r>
        <w:br w:type="page"/>
      </w:r>
    </w:p>
    <w:p>
      <w:pPr>
        <w:keepNext/>
        <w:spacing w:before="360" w:after="120" w:line="276" w:lineRule="auto"/>
      </w:pPr>
      <w:r>
        <w:rPr>
          <w:rFonts w:ascii="Segoe UI" w:hAnsi="Segoe UI"/>
          <w:b/>
          <w:color w:val="1B365D"/>
          <w:sz w:val="36"/>
        </w:rPr>
        <w:t>3. Core Architectural Invariants</w:t>
      </w:r>
    </w:p>
    <w:p>
      <w:pPr>
        <w:spacing w:before="0" w:after="120" w:line="276" w:lineRule="auto"/>
      </w:pPr>
      <w:r>
        <w:rPr>
          <w:rFonts w:ascii="Calibri" w:hAnsi="Calibri"/>
          <w:b w:val="0"/>
          <w:i w:val="0"/>
          <w:color w:val="333333"/>
          <w:sz w:val="22"/>
        </w:rPr>
        <w:t>To maintain reliability, reproducibility, and prevent code rot, the remote-sense platform enforces eight strict architectural invariants. Violating any invariant requires a formal Architecture Decision Record (ADR).</w:t>
      </w:r>
    </w:p>
    <w:p>
      <w:pPr>
        <w:keepNext/>
        <w:spacing w:before="240" w:after="80" w:line="276" w:lineRule="auto"/>
      </w:pPr>
      <w:r>
        <w:rPr>
          <w:rFonts w:ascii="Segoe UI" w:hAnsi="Segoe UI"/>
          <w:b/>
          <w:color w:val="008080"/>
          <w:sz w:val="28"/>
        </w:rPr>
        <w:t>The Eight Invariants</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3120"/>
        <w:gridCol w:w="3120"/>
        <w:gridCol w:w="3120"/>
      </w:tblGrid>
      <w:tr>
        <w:tc>
          <w:tcPr>
            <w:tcW w:type="dxa" w:w="2016"/>
            <w:shd w:fill="1B365D"/>
            <w:tcMar>
              <w:top w:w="100" w:type="dxa"/>
              <w:bottom w:w="100" w:type="dxa"/>
              <w:left w:w="150" w:type="dxa"/>
              <w:right w:w="150" w:type="dxa"/>
            </w:tcMar>
          </w:tcPr>
          <w:p>
            <w:pPr>
              <w:spacing w:before="0" w:after="0" w:line="276" w:lineRule="auto"/>
              <w:jc w:val="left"/>
            </w:pPr>
            <w:r>
              <w:rPr>
                <w:rFonts w:ascii="Segoe UI" w:hAnsi="Segoe UI"/>
                <w:b/>
                <w:color w:val="FFFFFF"/>
                <w:sz w:val="20"/>
              </w:rPr>
              <w:t>Invariant</w:t>
            </w:r>
          </w:p>
        </w:tc>
        <w:tc>
          <w:tcPr>
            <w:tcW w:type="dxa" w:w="4032"/>
            <w:shd w:fill="1B365D"/>
            <w:tcMar>
              <w:top w:w="100" w:type="dxa"/>
              <w:bottom w:w="100" w:type="dxa"/>
              <w:left w:w="150" w:type="dxa"/>
              <w:right w:w="150" w:type="dxa"/>
            </w:tcMar>
          </w:tcPr>
          <w:p>
            <w:pPr>
              <w:spacing w:before="0" w:after="0" w:line="276" w:lineRule="auto"/>
              <w:jc w:val="left"/>
            </w:pPr>
            <w:r>
              <w:rPr>
                <w:rFonts w:ascii="Segoe UI" w:hAnsi="Segoe UI"/>
                <w:b/>
                <w:color w:val="FFFFFF"/>
                <w:sz w:val="20"/>
              </w:rPr>
              <w:t>Description</w:t>
            </w:r>
          </w:p>
        </w:tc>
        <w:tc>
          <w:tcPr>
            <w:tcW w:type="dxa" w:w="2592"/>
            <w:shd w:fill="1B365D"/>
            <w:tcMar>
              <w:top w:w="100" w:type="dxa"/>
              <w:bottom w:w="100" w:type="dxa"/>
              <w:left w:w="150" w:type="dxa"/>
              <w:right w:w="150" w:type="dxa"/>
            </w:tcMar>
          </w:tcPr>
          <w:p>
            <w:pPr>
              <w:spacing w:before="0" w:after="0" w:line="276" w:lineRule="auto"/>
              <w:jc w:val="left"/>
            </w:pPr>
            <w:r>
              <w:rPr>
                <w:rFonts w:ascii="Segoe UI" w:hAnsi="Segoe UI"/>
                <w:b/>
                <w:color w:val="FFFFFF"/>
                <w:sz w:val="20"/>
              </w:rPr>
              <w:t>Technical Enforcement</w:t>
            </w:r>
          </w:p>
        </w:tc>
      </w:tr>
      <w:tr>
        <w:tc>
          <w:tcPr>
            <w:tcW w:type="dxa" w:w="2016"/>
            <w:shd w:fill="FFFFFF"/>
            <w:tcMar>
              <w:top w:w="80" w:type="dxa"/>
              <w:bottom w:w="80" w:type="dxa"/>
              <w:left w:w="150" w:type="dxa"/>
              <w:right w:w="150" w:type="dxa"/>
            </w:tcMar>
          </w:tcPr>
          <w:p>
            <w:pPr>
              <w:spacing w:before="0" w:after="0" w:line="276" w:lineRule="auto"/>
              <w:jc w:val="left"/>
            </w:pPr>
            <w:r>
              <w:rPr>
                <w:rFonts w:ascii="Calibri" w:hAnsi="Calibri"/>
                <w:color w:val="333333"/>
                <w:sz w:val="19"/>
              </w:rPr>
              <w:t>1. Ports &amp; Adapters</w:t>
            </w:r>
          </w:p>
        </w:tc>
        <w:tc>
          <w:tcPr>
            <w:tcW w:type="dxa" w:w="4032"/>
            <w:shd w:fill="FFFFFF"/>
            <w:tcMar>
              <w:top w:w="80" w:type="dxa"/>
              <w:bottom w:w="80" w:type="dxa"/>
              <w:left w:w="150" w:type="dxa"/>
              <w:right w:w="150" w:type="dxa"/>
            </w:tcMar>
          </w:tcPr>
          <w:p>
            <w:pPr>
              <w:spacing w:before="0" w:after="0" w:line="276" w:lineRule="auto"/>
              <w:jc w:val="left"/>
            </w:pPr>
            <w:r>
              <w:rPr>
                <w:rFonts w:ascii="Calibri" w:hAnsi="Calibri"/>
                <w:color w:val="333333"/>
                <w:sz w:val="19"/>
              </w:rPr>
              <w:t>All external boundaries (Satellite, Gateway, Weather, Activities) must sit behind an abstract Port. Vendor SDKs or URLs must never leak downstream.</w:t>
            </w:r>
          </w:p>
        </w:tc>
        <w:tc>
          <w:tcPr>
            <w:tcW w:type="dxa" w:w="2592"/>
            <w:shd w:fill="FFFFFF"/>
            <w:tcMar>
              <w:top w:w="80" w:type="dxa"/>
              <w:bottom w:w="80" w:type="dxa"/>
              <w:left w:w="150" w:type="dxa"/>
              <w:right w:w="150" w:type="dxa"/>
            </w:tcMar>
          </w:tcPr>
          <w:p>
            <w:pPr>
              <w:spacing w:before="0" w:after="0" w:line="276" w:lineRule="auto"/>
              <w:jc w:val="left"/>
            </w:pPr>
            <w:r>
              <w:rPr>
                <w:rFonts w:ascii="Calibri" w:hAnsi="Calibri"/>
                <w:color w:val="333333"/>
                <w:sz w:val="19"/>
              </w:rPr>
              <w:t>Config switch (RS_IMAGERY_ADAPTER, etc.) controls dependency injection at run-time.</w:t>
            </w:r>
          </w:p>
        </w:tc>
      </w:tr>
      <w:tr>
        <w:tc>
          <w:tcPr>
            <w:tcW w:type="dxa" w:w="2016"/>
            <w:shd w:fill="F9FBFD"/>
            <w:tcMar>
              <w:top w:w="80" w:type="dxa"/>
              <w:bottom w:w="80" w:type="dxa"/>
              <w:left w:w="150" w:type="dxa"/>
              <w:right w:w="150" w:type="dxa"/>
            </w:tcMar>
          </w:tcPr>
          <w:p>
            <w:pPr>
              <w:spacing w:before="0" w:after="0" w:line="276" w:lineRule="auto"/>
              <w:jc w:val="left"/>
            </w:pPr>
            <w:r>
              <w:rPr>
                <w:rFonts w:ascii="Calibri" w:hAnsi="Calibri"/>
                <w:color w:val="333333"/>
                <w:sz w:val="19"/>
              </w:rPr>
              <w:t>2. Reflectance First</w:t>
            </w:r>
          </w:p>
        </w:tc>
        <w:tc>
          <w:tcPr>
            <w:tcW w:type="dxa" w:w="4032"/>
            <w:shd w:fill="F9FBFD"/>
            <w:tcMar>
              <w:top w:w="80" w:type="dxa"/>
              <w:bottom w:w="80" w:type="dxa"/>
              <w:left w:w="150" w:type="dxa"/>
              <w:right w:w="150" w:type="dxa"/>
            </w:tcMar>
          </w:tcPr>
          <w:p>
            <w:pPr>
              <w:spacing w:before="0" w:after="0" w:line="276" w:lineRule="auto"/>
              <w:jc w:val="left"/>
            </w:pPr>
            <w:r>
              <w:rPr>
                <w:rFonts w:ascii="Calibri" w:hAnsi="Calibri"/>
                <w:color w:val="333333"/>
                <w:sz w:val="19"/>
              </w:rPr>
              <w:t>All indices must be computed on Bottom-Of-Atmosphere (BOA) surface reflectance: rho = (DN + BOA_ADD_OFFSET) / QUANTIFICATION_VALUE. These metadata values must be parsed per scene.</w:t>
            </w:r>
          </w:p>
        </w:tc>
        <w:tc>
          <w:tcPr>
            <w:tcW w:type="dxa" w:w="2592"/>
            <w:shd w:fill="F9FBFD"/>
            <w:tcMar>
              <w:top w:w="80" w:type="dxa"/>
              <w:bottom w:w="80" w:type="dxa"/>
              <w:left w:w="150" w:type="dxa"/>
              <w:right w:w="150" w:type="dxa"/>
            </w:tcMar>
          </w:tcPr>
          <w:p>
            <w:pPr>
              <w:spacing w:before="0" w:after="0" w:line="276" w:lineRule="auto"/>
              <w:jc w:val="left"/>
            </w:pPr>
            <w:r>
              <w:rPr>
                <w:rFonts w:ascii="Calibri" w:hAnsi="Calibri"/>
                <w:color w:val="333333"/>
                <w:sz w:val="19"/>
              </w:rPr>
              <w:t>Parsed from CDSE MTD_MSIL2A.xml metadata. Hard-coding is forbidden. DN = 0 is treated strictly as NoData.</w:t>
            </w:r>
          </w:p>
        </w:tc>
      </w:tr>
      <w:tr>
        <w:tc>
          <w:tcPr>
            <w:tcW w:type="dxa" w:w="2016"/>
            <w:shd w:fill="FFFFFF"/>
            <w:tcMar>
              <w:top w:w="80" w:type="dxa"/>
              <w:bottom w:w="80" w:type="dxa"/>
              <w:left w:w="150" w:type="dxa"/>
              <w:right w:w="150" w:type="dxa"/>
            </w:tcMar>
          </w:tcPr>
          <w:p>
            <w:pPr>
              <w:spacing w:before="0" w:after="0" w:line="276" w:lineRule="auto"/>
              <w:jc w:val="left"/>
            </w:pPr>
            <w:r>
              <w:rPr>
                <w:rFonts w:ascii="Calibri" w:hAnsi="Calibri"/>
                <w:color w:val="333333"/>
                <w:sz w:val="19"/>
              </w:rPr>
              <w:t>3. Per-AOI Cloud Masking</w:t>
            </w:r>
          </w:p>
        </w:tc>
        <w:tc>
          <w:tcPr>
            <w:tcW w:type="dxa" w:w="4032"/>
            <w:shd w:fill="FFFFFF"/>
            <w:tcMar>
              <w:top w:w="80" w:type="dxa"/>
              <w:bottom w:w="80" w:type="dxa"/>
              <w:left w:w="150" w:type="dxa"/>
              <w:right w:w="150" w:type="dxa"/>
            </w:tcMar>
          </w:tcPr>
          <w:p>
            <w:pPr>
              <w:spacing w:before="0" w:after="0" w:line="276" w:lineRule="auto"/>
              <w:jc w:val="left"/>
            </w:pPr>
            <w:r>
              <w:rPr>
                <w:rFonts w:ascii="Calibri" w:hAnsi="Calibri"/>
                <w:color w:val="333333"/>
                <w:sz w:val="19"/>
              </w:rPr>
              <w:t>Cloud cover must be assessed at the field polygon level via the Scene Classification Layer (SCL). Stating cloudiness based on scene-level metadata is prohibited.</w:t>
            </w:r>
          </w:p>
        </w:tc>
        <w:tc>
          <w:tcPr>
            <w:tcW w:type="dxa" w:w="2592"/>
            <w:shd w:fill="FFFFFF"/>
            <w:tcMar>
              <w:top w:w="80" w:type="dxa"/>
              <w:bottom w:w="80" w:type="dxa"/>
              <w:left w:w="150" w:type="dxa"/>
              <w:right w:w="150" w:type="dxa"/>
            </w:tcMar>
          </w:tcPr>
          <w:p>
            <w:pPr>
              <w:spacing w:before="0" w:after="0" w:line="276" w:lineRule="auto"/>
              <w:jc w:val="left"/>
            </w:pPr>
            <w:r>
              <w:rPr>
                <w:rFonts w:ascii="Calibri" w:hAnsi="Calibri"/>
                <w:color w:val="333333"/>
                <w:sz w:val="19"/>
              </w:rPr>
              <w:t>Clear-pixel fraction calculated using clear_mask(scl) &amp; aoi_mask. Stored with every Analysis record.</w:t>
            </w:r>
          </w:p>
        </w:tc>
      </w:tr>
      <w:tr>
        <w:tc>
          <w:tcPr>
            <w:tcW w:type="dxa" w:w="2016"/>
            <w:shd w:fill="F9FBFD"/>
            <w:tcMar>
              <w:top w:w="80" w:type="dxa"/>
              <w:bottom w:w="80" w:type="dxa"/>
              <w:left w:w="150" w:type="dxa"/>
              <w:right w:w="150" w:type="dxa"/>
            </w:tcMar>
          </w:tcPr>
          <w:p>
            <w:pPr>
              <w:spacing w:before="0" w:after="0" w:line="276" w:lineRule="auto"/>
              <w:jc w:val="left"/>
            </w:pPr>
            <w:r>
              <w:rPr>
                <w:rFonts w:ascii="Calibri" w:hAnsi="Calibri"/>
                <w:color w:val="333333"/>
                <w:sz w:val="19"/>
              </w:rPr>
              <w:t>4. Resolution Honesty</w:t>
            </w:r>
          </w:p>
        </w:tc>
        <w:tc>
          <w:tcPr>
            <w:tcW w:type="dxa" w:w="4032"/>
            <w:shd w:fill="F9FBFD"/>
            <w:tcMar>
              <w:top w:w="80" w:type="dxa"/>
              <w:bottom w:w="80" w:type="dxa"/>
              <w:left w:w="150" w:type="dxa"/>
              <w:right w:w="150" w:type="dxa"/>
            </w:tcMar>
          </w:tcPr>
          <w:p>
            <w:pPr>
              <w:spacing w:before="0" w:after="0" w:line="276" w:lineRule="auto"/>
              <w:jc w:val="left"/>
            </w:pPr>
            <w:r>
              <w:rPr>
                <w:rFonts w:ascii="Calibri" w:hAnsi="Calibri"/>
                <w:color w:val="333333"/>
                <w:sz w:val="19"/>
              </w:rPr>
              <w:t>Vegetation indices must be calculated at their coarsest band's native resolution. Bilinear upsampling to fake higher detail is prohibited.</w:t>
            </w:r>
          </w:p>
        </w:tc>
        <w:tc>
          <w:tcPr>
            <w:tcW w:type="dxa" w:w="2592"/>
            <w:shd w:fill="F9FBFD"/>
            <w:tcMar>
              <w:top w:w="80" w:type="dxa"/>
              <w:bottom w:w="80" w:type="dxa"/>
              <w:left w:w="150" w:type="dxa"/>
              <w:right w:w="150" w:type="dxa"/>
            </w:tcMar>
          </w:tcPr>
          <w:p>
            <w:pPr>
              <w:spacing w:before="0" w:after="0" w:line="276" w:lineRule="auto"/>
              <w:jc w:val="left"/>
            </w:pPr>
            <w:r>
              <w:rPr>
                <w:rFonts w:ascii="Calibri" w:hAnsi="Calibri"/>
                <w:color w:val="333333"/>
                <w:sz w:val="19"/>
              </w:rPr>
              <w:t>NDVI/EVI2/SAVI computed at 10m. NDRE/NDMI computed at 20m. Resolution is explicitly recorded in DB.</w:t>
            </w:r>
          </w:p>
        </w:tc>
      </w:tr>
      <w:tr>
        <w:tc>
          <w:tcPr>
            <w:tcW w:type="dxa" w:w="2016"/>
            <w:shd w:fill="FFFFFF"/>
            <w:tcMar>
              <w:top w:w="80" w:type="dxa"/>
              <w:bottom w:w="80" w:type="dxa"/>
              <w:left w:w="150" w:type="dxa"/>
              <w:right w:w="150" w:type="dxa"/>
            </w:tcMar>
          </w:tcPr>
          <w:p>
            <w:pPr>
              <w:spacing w:before="0" w:after="0" w:line="276" w:lineRule="auto"/>
              <w:jc w:val="left"/>
            </w:pPr>
            <w:r>
              <w:rPr>
                <w:rFonts w:ascii="Calibri" w:hAnsi="Calibri"/>
                <w:color w:val="333333"/>
                <w:sz w:val="19"/>
              </w:rPr>
              <w:t>5. Strict Provenance</w:t>
            </w:r>
          </w:p>
        </w:tc>
        <w:tc>
          <w:tcPr>
            <w:tcW w:type="dxa" w:w="4032"/>
            <w:shd w:fill="FFFFFF"/>
            <w:tcMar>
              <w:top w:w="80" w:type="dxa"/>
              <w:bottom w:w="80" w:type="dxa"/>
              <w:left w:w="150" w:type="dxa"/>
              <w:right w:w="150" w:type="dxa"/>
            </w:tcMar>
          </w:tcPr>
          <w:p>
            <w:pPr>
              <w:spacing w:before="0" w:after="0" w:line="276" w:lineRule="auto"/>
              <w:jc w:val="left"/>
            </w:pPr>
            <w:r>
              <w:rPr>
                <w:rFonts w:ascii="Calibri" w:hAnsi="Calibri"/>
                <w:color w:val="333333"/>
                <w:sz w:val="19"/>
              </w:rPr>
              <w:t>Every analysis row must carry a complete provenance tuple to guarantee scientific reproducibility.</w:t>
            </w:r>
          </w:p>
        </w:tc>
        <w:tc>
          <w:tcPr>
            <w:tcW w:type="dxa" w:w="2592"/>
            <w:shd w:fill="FFFFFF"/>
            <w:tcMar>
              <w:top w:w="80" w:type="dxa"/>
              <w:bottom w:w="80" w:type="dxa"/>
              <w:left w:w="150" w:type="dxa"/>
              <w:right w:w="150" w:type="dxa"/>
            </w:tcMar>
          </w:tcPr>
          <w:p>
            <w:pPr>
              <w:spacing w:before="0" w:after="0" w:line="276" w:lineRule="auto"/>
              <w:jc w:val="left"/>
            </w:pPr>
            <w:r>
              <w:rPr>
                <w:rFonts w:ascii="Calibri" w:hAnsi="Calibri"/>
                <w:color w:val="333333"/>
                <w:sz w:val="19"/>
              </w:rPr>
              <w:t>Provenance tuple: (provider, provider_scene_id, processing_mode, formula_version, geometry_version) stored on the Analysis table.</w:t>
            </w:r>
          </w:p>
        </w:tc>
      </w:tr>
      <w:tr>
        <w:tc>
          <w:tcPr>
            <w:tcW w:type="dxa" w:w="2016"/>
            <w:shd w:fill="F9FBFD"/>
            <w:tcMar>
              <w:top w:w="80" w:type="dxa"/>
              <w:bottom w:w="80" w:type="dxa"/>
              <w:left w:w="150" w:type="dxa"/>
              <w:right w:w="150" w:type="dxa"/>
            </w:tcMar>
          </w:tcPr>
          <w:p>
            <w:pPr>
              <w:spacing w:before="0" w:after="0" w:line="276" w:lineRule="auto"/>
              <w:jc w:val="left"/>
            </w:pPr>
            <w:r>
              <w:rPr>
                <w:rFonts w:ascii="Calibri" w:hAnsi="Calibri"/>
                <w:color w:val="333333"/>
                <w:sz w:val="19"/>
              </w:rPr>
              <w:t>6. Split-Ownership Sync</w:t>
            </w:r>
          </w:p>
        </w:tc>
        <w:tc>
          <w:tcPr>
            <w:tcW w:type="dxa" w:w="4032"/>
            <w:shd w:fill="F9FBFD"/>
            <w:tcMar>
              <w:top w:w="80" w:type="dxa"/>
              <w:bottom w:w="80" w:type="dxa"/>
              <w:left w:w="150" w:type="dxa"/>
              <w:right w:w="150" w:type="dxa"/>
            </w:tcMar>
          </w:tcPr>
          <w:p>
            <w:pPr>
              <w:spacing w:before="0" w:after="0" w:line="276" w:lineRule="auto"/>
              <w:jc w:val="left"/>
            </w:pPr>
            <w:r>
              <w:rPr>
                <w:rFonts w:ascii="Calibri" w:hAnsi="Calibri"/>
                <w:color w:val="333333"/>
                <w:sz w:val="19"/>
              </w:rPr>
              <w:t>AgriTrack owns identity and geometry (read-only to us). remote-sense owns analyses (read-only to AgriTrack). They join on canonical farm ID. We never return geometry.</w:t>
            </w:r>
          </w:p>
        </w:tc>
        <w:tc>
          <w:tcPr>
            <w:tcW w:type="dxa" w:w="2592"/>
            <w:shd w:fill="F9FBFD"/>
            <w:tcMar>
              <w:top w:w="80" w:type="dxa"/>
              <w:bottom w:w="80" w:type="dxa"/>
              <w:left w:w="150" w:type="dxa"/>
              <w:right w:w="150" w:type="dxa"/>
            </w:tcMar>
          </w:tcPr>
          <w:p>
            <w:pPr>
              <w:spacing w:before="0" w:after="0" w:line="276" w:lineRule="auto"/>
              <w:jc w:val="left"/>
            </w:pPr>
            <w:r>
              <w:rPr>
                <w:rFonts w:ascii="Calibri" w:hAnsi="Calibri"/>
                <w:color w:val="333333"/>
                <w:sz w:val="19"/>
              </w:rPr>
              <w:t>Database schema separates external identity. Outbound push payloads contain zero geometry fields.</w:t>
            </w:r>
          </w:p>
        </w:tc>
      </w:tr>
      <w:tr>
        <w:tc>
          <w:tcPr>
            <w:tcW w:type="dxa" w:w="2016"/>
            <w:shd w:fill="FFFFFF"/>
            <w:tcMar>
              <w:top w:w="80" w:type="dxa"/>
              <w:bottom w:w="80" w:type="dxa"/>
              <w:left w:w="150" w:type="dxa"/>
              <w:right w:w="150" w:type="dxa"/>
            </w:tcMar>
          </w:tcPr>
          <w:p>
            <w:pPr>
              <w:spacing w:before="0" w:after="0" w:line="276" w:lineRule="auto"/>
              <w:jc w:val="left"/>
            </w:pPr>
            <w:r>
              <w:rPr>
                <w:rFonts w:ascii="Calibri" w:hAnsi="Calibri"/>
                <w:color w:val="333333"/>
                <w:sz w:val="19"/>
              </w:rPr>
              <w:t>7. Raw Bands are Transient</w:t>
            </w:r>
          </w:p>
        </w:tc>
        <w:tc>
          <w:tcPr>
            <w:tcW w:type="dxa" w:w="4032"/>
            <w:shd w:fill="FFFFFF"/>
            <w:tcMar>
              <w:top w:w="80" w:type="dxa"/>
              <w:bottom w:w="80" w:type="dxa"/>
              <w:left w:w="150" w:type="dxa"/>
              <w:right w:w="150" w:type="dxa"/>
            </w:tcMar>
          </w:tcPr>
          <w:p>
            <w:pPr>
              <w:spacing w:before="0" w:after="0" w:line="276" w:lineRule="auto"/>
              <w:jc w:val="left"/>
            </w:pPr>
            <w:r>
              <w:rPr>
                <w:rFonts w:ascii="Calibri" w:hAnsi="Calibri"/>
                <w:color w:val="333333"/>
                <w:sz w:val="19"/>
              </w:rPr>
              <w:t>Raw bands are downloaded, processed to extract index rasters and zonal stats, and then immediately discarded. Storing raw satellite bands is forbidden.</w:t>
            </w:r>
          </w:p>
        </w:tc>
        <w:tc>
          <w:tcPr>
            <w:tcW w:type="dxa" w:w="2592"/>
            <w:shd w:fill="FFFFFF"/>
            <w:tcMar>
              <w:top w:w="80" w:type="dxa"/>
              <w:bottom w:w="80" w:type="dxa"/>
              <w:left w:w="150" w:type="dxa"/>
              <w:right w:w="150" w:type="dxa"/>
            </w:tcMar>
          </w:tcPr>
          <w:p>
            <w:pPr>
              <w:spacing w:before="0" w:after="0" w:line="276" w:lineRule="auto"/>
              <w:jc w:val="left"/>
            </w:pPr>
            <w:r>
              <w:rPr>
                <w:rFonts w:ascii="Calibri" w:hAnsi="Calibri"/>
                <w:color w:val="333333"/>
                <w:sz w:val="19"/>
              </w:rPr>
              <w:t>In-memory processing or temp-file cleanup on worker tasks. Only derived COGs and statistical floats are persisted.</w:t>
            </w:r>
          </w:p>
        </w:tc>
      </w:tr>
      <w:tr>
        <w:tc>
          <w:tcPr>
            <w:tcW w:type="dxa" w:w="2016"/>
            <w:shd w:fill="F9FBFD"/>
            <w:tcMar>
              <w:top w:w="80" w:type="dxa"/>
              <w:bottom w:w="80" w:type="dxa"/>
              <w:left w:w="150" w:type="dxa"/>
              <w:right w:w="150" w:type="dxa"/>
            </w:tcMar>
          </w:tcPr>
          <w:p>
            <w:pPr>
              <w:spacing w:before="0" w:after="0" w:line="276" w:lineRule="auto"/>
              <w:jc w:val="left"/>
            </w:pPr>
            <w:r>
              <w:rPr>
                <w:rFonts w:ascii="Calibri" w:hAnsi="Calibri"/>
                <w:color w:val="333333"/>
                <w:sz w:val="19"/>
              </w:rPr>
              <w:t>8. Zero Secrets in Git</w:t>
            </w:r>
          </w:p>
        </w:tc>
        <w:tc>
          <w:tcPr>
            <w:tcW w:type="dxa" w:w="4032"/>
            <w:shd w:fill="F9FBFD"/>
            <w:tcMar>
              <w:top w:w="80" w:type="dxa"/>
              <w:bottom w:w="80" w:type="dxa"/>
              <w:left w:w="150" w:type="dxa"/>
              <w:right w:w="150" w:type="dxa"/>
            </w:tcMar>
          </w:tcPr>
          <w:p>
            <w:pPr>
              <w:spacing w:before="0" w:after="0" w:line="276" w:lineRule="auto"/>
              <w:jc w:val="left"/>
            </w:pPr>
            <w:r>
              <w:rPr>
                <w:rFonts w:ascii="Calibri" w:hAnsi="Calibri"/>
                <w:color w:val="333333"/>
                <w:sz w:val="19"/>
              </w:rPr>
              <w:t>All configuration and secrets must be loaded via environment variables or a secure vault.</w:t>
            </w:r>
          </w:p>
        </w:tc>
        <w:tc>
          <w:tcPr>
            <w:tcW w:type="dxa" w:w="2592"/>
            <w:shd w:fill="F9FBFD"/>
            <w:tcMar>
              <w:top w:w="80" w:type="dxa"/>
              <w:bottom w:w="80" w:type="dxa"/>
              <w:left w:w="150" w:type="dxa"/>
              <w:right w:w="150" w:type="dxa"/>
            </w:tcMar>
          </w:tcPr>
          <w:p>
            <w:pPr>
              <w:spacing w:before="0" w:after="0" w:line="276" w:lineRule="auto"/>
              <w:jc w:val="left"/>
            </w:pPr>
            <w:r>
              <w:rPr>
                <w:rFonts w:ascii="Calibri" w:hAnsi="Calibri"/>
                <w:color w:val="333333"/>
                <w:sz w:val="19"/>
              </w:rPr>
              <w:t>Pydantic-settings loads configuration from env. .env is git-ignored, and .env.example contains dummy keys.</w:t>
            </w:r>
          </w:p>
        </w:tc>
      </w:tr>
    </w:tbl>
    <w:p>
      <w:pPr>
        <w:spacing w:before="0" w:after="120" w:line="276" w:lineRule="auto"/>
      </w:pPr>
    </w:p>
    <w:p>
      <w:r>
        <w:br w:type="page"/>
      </w:r>
    </w:p>
    <w:p>
      <w:pPr>
        <w:keepNext/>
        <w:spacing w:before="360" w:after="120" w:line="276" w:lineRule="auto"/>
      </w:pPr>
      <w:r>
        <w:rPr>
          <w:rFonts w:ascii="Segoe UI" w:hAnsi="Segoe UI"/>
          <w:b/>
          <w:color w:val="1B365D"/>
          <w:sz w:val="36"/>
        </w:rPr>
        <w:t>4. Data Model &amp; Database Schema Specifications</w:t>
      </w:r>
    </w:p>
    <w:p>
      <w:pPr>
        <w:spacing w:before="0" w:after="120" w:line="276" w:lineRule="auto"/>
      </w:pPr>
      <w:r>
        <w:rPr>
          <w:rFonts w:ascii="Calibri" w:hAnsi="Calibri"/>
          <w:b w:val="0"/>
          <w:i w:val="0"/>
          <w:color w:val="333333"/>
          <w:sz w:val="22"/>
        </w:rPr>
        <w:t>The database is backed by PostgreSQL with PostGIS extensions. Geometries are stored canonically in WGS84 (SRID 4326), but are converted to local UTM coordinate systems (EPSG:32735 for Western Zimbabwe, EPSG:32736 for Eastern Zimbabwe) for all distance, area, and intersection calculations.</w:t>
      </w:r>
    </w:p>
    <w:p>
      <w:pPr>
        <w:keepNext/>
        <w:spacing w:before="240" w:after="80" w:line="276" w:lineRule="auto"/>
      </w:pPr>
      <w:r>
        <w:rPr>
          <w:rFonts w:ascii="Segoe UI" w:hAnsi="Segoe UI"/>
          <w:b/>
          <w:color w:val="008080"/>
          <w:sz w:val="28"/>
        </w:rPr>
        <w:t>Entity Relationship Summary</w:t>
      </w:r>
    </w:p>
    <w:p>
      <w:pPr>
        <w:spacing w:before="0" w:after="120" w:line="276" w:lineRule="auto"/>
      </w:pPr>
      <w:r>
        <w:rPr>
          <w:rFonts w:ascii="Calibri" w:hAnsi="Calibri"/>
          <w:b w:val="0"/>
          <w:i w:val="0"/>
          <w:color w:val="333333"/>
          <w:sz w:val="22"/>
        </w:rPr>
        <w:t>The data model maintains a strict hierarchy: a Farm owns multiple Fields. Because a field's boundary can change, geometry versions are tracked in a dedicated table so historical analyses remain pinned to the exact boundary shape they were calculated against.</w:t>
      </w:r>
    </w:p>
    <w:p>
      <w:pPr>
        <w:keepNext/>
        <w:spacing w:before="120" w:after="40" w:line="276" w:lineRule="auto"/>
      </w:pPr>
      <w:r>
        <w:rPr>
          <w:rFonts w:ascii="Segoe UI" w:hAnsi="Segoe UI"/>
          <w:b/>
          <w:i/>
          <w:color w:val="5A6B7C"/>
          <w:sz w:val="24"/>
        </w:rPr>
        <w:t>1. Farm Table</w:t>
      </w:r>
    </w:p>
    <w:p>
      <w:pPr>
        <w:spacing w:before="0" w:after="120" w:line="276" w:lineRule="auto"/>
      </w:pPr>
      <w:r>
        <w:rPr>
          <w:rFonts w:ascii="Calibri" w:hAnsi="Calibri"/>
          <w:b w:val="0"/>
          <w:i w:val="0"/>
          <w:color w:val="333333"/>
          <w:sz w:val="22"/>
        </w:rPr>
        <w:t>The entry point for Gateway sync. canonical_farm_id is the primary join key.</w:t>
      </w:r>
    </w:p>
    <w:p>
      <w:pPr>
        <w:pStyle w:val="ListBullet"/>
        <w:spacing w:before="0" w:after="60" w:line="276" w:lineRule="auto"/>
        <w:ind w:left="360"/>
      </w:pPr>
      <w:r>
        <w:rPr>
          <w:rFonts w:ascii="Calibri" w:hAnsi="Calibri"/>
          <w:color w:val="333333"/>
          <w:sz w:val="22"/>
        </w:rPr>
        <w:t xml:space="preserve"> id (UUID, PK): System identifier.</w:t>
      </w:r>
    </w:p>
    <w:p>
      <w:pPr>
        <w:pStyle w:val="ListBullet"/>
        <w:spacing w:before="0" w:after="60" w:line="276" w:lineRule="auto"/>
        <w:ind w:left="360"/>
      </w:pPr>
      <w:r>
        <w:rPr>
          <w:rFonts w:ascii="Calibri" w:hAnsi="Calibri"/>
          <w:color w:val="333333"/>
          <w:sz w:val="22"/>
        </w:rPr>
        <w:t xml:space="preserve"> canonical_farm_id (VARCHAR(128), Unique, Indexed): Gateway-provided identifier.</w:t>
      </w:r>
    </w:p>
    <w:p>
      <w:pPr>
        <w:pStyle w:val="ListBullet"/>
        <w:spacing w:before="0" w:after="60" w:line="276" w:lineRule="auto"/>
        <w:ind w:left="360"/>
      </w:pPr>
      <w:r>
        <w:rPr>
          <w:rFonts w:ascii="Calibri" w:hAnsi="Calibri"/>
          <w:color w:val="333333"/>
          <w:sz w:val="22"/>
        </w:rPr>
        <w:t xml:space="preserve"> boundary (Geometry(MULTIPOLYGON, 4326)): Outer boundary of the farm.</w:t>
      </w:r>
    </w:p>
    <w:p>
      <w:pPr>
        <w:pStyle w:val="ListBullet"/>
        <w:spacing w:before="0" w:after="60" w:line="276" w:lineRule="auto"/>
        <w:ind w:left="360"/>
      </w:pPr>
      <w:r>
        <w:rPr>
          <w:rFonts w:ascii="Calibri" w:hAnsi="Calibri"/>
          <w:color w:val="333333"/>
          <w:sz w:val="22"/>
        </w:rPr>
        <w:t xml:space="preserve"> source_crs / working_crs (VARCHAR(32)): CRS identifiers for coordinate conversion.</w:t>
      </w:r>
    </w:p>
    <w:p>
      <w:pPr>
        <w:pStyle w:val="ListBullet"/>
        <w:spacing w:before="0" w:after="60" w:line="276" w:lineRule="auto"/>
        <w:ind w:left="360"/>
      </w:pPr>
      <w:r>
        <w:rPr>
          <w:rFonts w:ascii="Calibri" w:hAnsi="Calibri"/>
          <w:color w:val="333333"/>
          <w:sz w:val="22"/>
        </w:rPr>
        <w:t xml:space="preserve"> centroid_lon / centroid_lat (FLOAT): Coordinates used for weather location lookups.</w:t>
      </w:r>
    </w:p>
    <w:p>
      <w:pPr>
        <w:keepNext/>
        <w:spacing w:before="120" w:after="40" w:line="276" w:lineRule="auto"/>
      </w:pPr>
      <w:r>
        <w:rPr>
          <w:rFonts w:ascii="Segoe UI" w:hAnsi="Segoe UI"/>
          <w:b/>
          <w:i/>
          <w:color w:val="5A6B7C"/>
          <w:sz w:val="24"/>
        </w:rPr>
        <w:t>2. Field Table</w:t>
      </w:r>
    </w:p>
    <w:p>
      <w:pPr>
        <w:spacing w:before="0" w:after="120" w:line="276" w:lineRule="auto"/>
      </w:pPr>
      <w:r>
        <w:rPr>
          <w:rFonts w:ascii="Calibri" w:hAnsi="Calibri"/>
          <w:b w:val="0"/>
          <w:i w:val="0"/>
          <w:color w:val="333333"/>
          <w:sz w:val="22"/>
        </w:rPr>
        <w:t>The core analytical unit. If a farm is onboarded without inner fields, a field is derived from the farm's outer boundary.</w:t>
      </w:r>
    </w:p>
    <w:p>
      <w:pPr>
        <w:pStyle w:val="ListBullet"/>
        <w:spacing w:before="0" w:after="60" w:line="276" w:lineRule="auto"/>
        <w:ind w:left="360"/>
      </w:pPr>
      <w:r>
        <w:rPr>
          <w:rFonts w:ascii="Calibri" w:hAnsi="Calibri"/>
          <w:color w:val="333333"/>
          <w:sz w:val="22"/>
        </w:rPr>
        <w:t xml:space="preserve"> id (UUID, PK): System identifier.</w:t>
      </w:r>
    </w:p>
    <w:p>
      <w:pPr>
        <w:pStyle w:val="ListBullet"/>
        <w:spacing w:before="0" w:after="60" w:line="276" w:lineRule="auto"/>
        <w:ind w:left="360"/>
      </w:pPr>
      <w:r>
        <w:rPr>
          <w:rFonts w:ascii="Calibri" w:hAnsi="Calibri"/>
          <w:color w:val="333333"/>
          <w:sz w:val="22"/>
        </w:rPr>
        <w:t xml:space="preserve"> farm_id (UUID, FK -&gt; Farm): Link to parent farm.</w:t>
      </w:r>
    </w:p>
    <w:p>
      <w:pPr>
        <w:pStyle w:val="ListBullet"/>
        <w:spacing w:before="0" w:after="60" w:line="276" w:lineRule="auto"/>
        <w:ind w:left="360"/>
      </w:pPr>
      <w:r>
        <w:rPr>
          <w:rFonts w:ascii="Calibri" w:hAnsi="Calibri"/>
          <w:color w:val="333333"/>
          <w:sz w:val="22"/>
        </w:rPr>
        <w:t xml:space="preserve"> canonical_field_id (VARCHAR(128)): Gateway-provided field or plot identifier.</w:t>
      </w:r>
    </w:p>
    <w:p>
      <w:pPr>
        <w:pStyle w:val="ListBullet"/>
        <w:spacing w:before="0" w:after="60" w:line="276" w:lineRule="auto"/>
        <w:ind w:left="360"/>
      </w:pPr>
      <w:r>
        <w:rPr>
          <w:rFonts w:ascii="Calibri" w:hAnsi="Calibri"/>
          <w:color w:val="333333"/>
          <w:sz w:val="22"/>
        </w:rPr>
        <w:t xml:space="preserve"> boundary (Geometry(MULTIPOLYGON, 4326)): Field polygon.</w:t>
      </w:r>
    </w:p>
    <w:p>
      <w:pPr>
        <w:pStyle w:val="ListBullet"/>
        <w:spacing w:before="0" w:after="60" w:line="276" w:lineRule="auto"/>
        <w:ind w:left="360"/>
      </w:pPr>
      <w:r>
        <w:rPr>
          <w:rFonts w:ascii="Calibri" w:hAnsi="Calibri"/>
          <w:color w:val="333333"/>
          <w:sz w:val="22"/>
        </w:rPr>
        <w:t xml:space="preserve"> geometry_version (INT, Default 1): Incremented on boundary updates.</w:t>
      </w:r>
    </w:p>
    <w:p>
      <w:pPr>
        <w:pStyle w:val="ListBullet"/>
        <w:spacing w:before="0" w:after="60" w:line="276" w:lineRule="auto"/>
        <w:ind w:left="360"/>
      </w:pPr>
      <w:r>
        <w:rPr>
          <w:rFonts w:ascii="Calibri" w:hAnsi="Calibri"/>
          <w:color w:val="333333"/>
          <w:sz w:val="22"/>
        </w:rPr>
        <w:t xml:space="preserve"> needs_backfill (BOOLEAN): Flag triggering Celery pipeline processing.</w:t>
      </w:r>
    </w:p>
    <w:p>
      <w:pPr>
        <w:pStyle w:val="ListBullet"/>
        <w:spacing w:before="0" w:after="60" w:line="276" w:lineRule="auto"/>
        <w:ind w:left="360"/>
      </w:pPr>
      <w:r>
        <w:rPr>
          <w:rFonts w:ascii="Calibri" w:hAnsi="Calibri"/>
          <w:color w:val="333333"/>
          <w:sz w:val="22"/>
        </w:rPr>
        <w:t xml:space="preserve"> crop (VARCHAR(64)): Active crop (e.g. maize, cotton, tobacco, sorghum).</w:t>
      </w:r>
    </w:p>
    <w:p>
      <w:pPr>
        <w:keepNext/>
        <w:spacing w:before="120" w:after="40" w:line="276" w:lineRule="auto"/>
      </w:pPr>
      <w:r>
        <w:rPr>
          <w:rFonts w:ascii="Segoe UI" w:hAnsi="Segoe UI"/>
          <w:b/>
          <w:i/>
          <w:color w:val="5A6B7C"/>
          <w:sz w:val="24"/>
        </w:rPr>
        <w:t>3. FieldGeometryVersion Table</w:t>
      </w:r>
    </w:p>
    <w:p>
      <w:pPr>
        <w:spacing w:before="0" w:after="120" w:line="276" w:lineRule="auto"/>
      </w:pPr>
      <w:r>
        <w:rPr>
          <w:rFonts w:ascii="Calibri" w:hAnsi="Calibri"/>
          <w:b w:val="0"/>
          <w:i w:val="0"/>
          <w:color w:val="333333"/>
          <w:sz w:val="22"/>
        </w:rPr>
        <w:t>An immutable record of every boundary a field has ever had, keeping past analyses reproducible.</w:t>
      </w:r>
    </w:p>
    <w:p>
      <w:pPr>
        <w:pStyle w:val="ListBullet"/>
        <w:spacing w:before="0" w:after="60" w:line="276" w:lineRule="auto"/>
        <w:ind w:left="360"/>
      </w:pPr>
      <w:r>
        <w:rPr>
          <w:rFonts w:ascii="Calibri" w:hAnsi="Calibri"/>
          <w:color w:val="333333"/>
          <w:sz w:val="22"/>
        </w:rPr>
        <w:t xml:space="preserve"> id (UUID, PK) / field_id (UUID, FK -&gt; Field) / version (INT): Identifiers.</w:t>
      </w:r>
    </w:p>
    <w:p>
      <w:pPr>
        <w:pStyle w:val="ListBullet"/>
        <w:spacing w:before="0" w:after="60" w:line="276" w:lineRule="auto"/>
        <w:ind w:left="360"/>
      </w:pPr>
      <w:r>
        <w:rPr>
          <w:rFonts w:ascii="Calibri" w:hAnsi="Calibri"/>
          <w:color w:val="333333"/>
          <w:sz w:val="22"/>
        </w:rPr>
        <w:t xml:space="preserve"> boundary (Geometry(MULTIPOLYGON, 4326)): Boundary representation.</w:t>
      </w:r>
    </w:p>
    <w:p>
      <w:pPr>
        <w:pStyle w:val="ListBullet"/>
        <w:spacing w:before="0" w:after="60" w:line="276" w:lineRule="auto"/>
        <w:ind w:left="360"/>
      </w:pPr>
      <w:r>
        <w:rPr>
          <w:rFonts w:ascii="Calibri" w:hAnsi="Calibri"/>
          <w:color w:val="333333"/>
          <w:sz w:val="22"/>
        </w:rPr>
        <w:t xml:space="preserve"> area_m2 (FLOAT): Exact computed area in local UTM projection.</w:t>
      </w:r>
    </w:p>
    <w:p>
      <w:pPr>
        <w:keepNext/>
        <w:spacing w:before="120" w:after="40" w:line="276" w:lineRule="auto"/>
      </w:pPr>
      <w:r>
        <w:rPr>
          <w:rFonts w:ascii="Segoe UI" w:hAnsi="Segoe UI"/>
          <w:b/>
          <w:i/>
          <w:color w:val="5A6B7C"/>
          <w:sz w:val="24"/>
        </w:rPr>
        <w:t>4. SceneMetadata Table</w:t>
      </w:r>
    </w:p>
    <w:p>
      <w:pPr>
        <w:spacing w:before="0" w:after="120" w:line="276" w:lineRule="auto"/>
      </w:pPr>
      <w:r>
        <w:rPr>
          <w:rFonts w:ascii="Calibri" w:hAnsi="Calibri"/>
          <w:b w:val="0"/>
          <w:i w:val="0"/>
          <w:color w:val="333333"/>
          <w:sz w:val="22"/>
        </w:rPr>
        <w:t>Per-scene radiometric parameters. Ensures index calculation correctness.</w:t>
      </w:r>
    </w:p>
    <w:p>
      <w:pPr>
        <w:pStyle w:val="ListBullet"/>
        <w:spacing w:before="0" w:after="60" w:line="276" w:lineRule="auto"/>
        <w:ind w:left="360"/>
      </w:pPr>
      <w:r>
        <w:rPr>
          <w:rFonts w:ascii="Calibri" w:hAnsi="Calibri"/>
          <w:color w:val="333333"/>
          <w:sz w:val="22"/>
        </w:rPr>
        <w:t xml:space="preserve"> scene_id (VARCHAR(256), PK): Copernicus scene identifier.</w:t>
      </w:r>
    </w:p>
    <w:p>
      <w:pPr>
        <w:pStyle w:val="ListBullet"/>
        <w:spacing w:before="0" w:after="60" w:line="276" w:lineRule="auto"/>
        <w:ind w:left="360"/>
      </w:pPr>
      <w:r>
        <w:rPr>
          <w:rFonts w:ascii="Calibri" w:hAnsi="Calibri"/>
          <w:color w:val="333333"/>
          <w:sz w:val="22"/>
        </w:rPr>
        <w:t xml:space="preserve"> provider (VARCHAR(64)): Sentinel-2 source.</w:t>
      </w:r>
    </w:p>
    <w:p>
      <w:pPr>
        <w:pStyle w:val="ListBullet"/>
        <w:spacing w:before="0" w:after="60" w:line="276" w:lineRule="auto"/>
        <w:ind w:left="360"/>
      </w:pPr>
      <w:r>
        <w:rPr>
          <w:rFonts w:ascii="Calibri" w:hAnsi="Calibri"/>
          <w:color w:val="333333"/>
          <w:sz w:val="22"/>
        </w:rPr>
        <w:t xml:space="preserve"> quantification_value (FLOAT): Divisor to convert DN to reflectance.</w:t>
      </w:r>
    </w:p>
    <w:p>
      <w:pPr>
        <w:pStyle w:val="ListBullet"/>
        <w:spacing w:before="0" w:after="60" w:line="276" w:lineRule="auto"/>
        <w:ind w:left="360"/>
      </w:pPr>
      <w:r>
        <w:rPr>
          <w:rFonts w:ascii="Calibri" w:hAnsi="Calibri"/>
          <w:color w:val="333333"/>
          <w:sz w:val="22"/>
        </w:rPr>
        <w:t xml:space="preserve"> boa_add_offset (JSONB): Band-specific BOA add offsets.</w:t>
      </w:r>
    </w:p>
    <w:p>
      <w:pPr>
        <w:pStyle w:val="ListBullet"/>
        <w:spacing w:before="0" w:after="60" w:line="276" w:lineRule="auto"/>
        <w:ind w:left="360"/>
      </w:pPr>
      <w:r>
        <w:rPr>
          <w:rFonts w:ascii="Calibri" w:hAnsi="Calibri"/>
          <w:color w:val="333333"/>
          <w:sz w:val="22"/>
        </w:rPr>
        <w:t xml:space="preserve"> sensing_datetime (TIMESTAMP WITH TIME ZONE): Exact image capture time.</w:t>
      </w:r>
    </w:p>
    <w:p>
      <w:pPr>
        <w:keepNext/>
        <w:spacing w:before="120" w:after="40" w:line="276" w:lineRule="auto"/>
      </w:pPr>
      <w:r>
        <w:rPr>
          <w:rFonts w:ascii="Segoe UI" w:hAnsi="Segoe UI"/>
          <w:b/>
          <w:i/>
          <w:color w:val="5A6B7C"/>
          <w:sz w:val="24"/>
        </w:rPr>
        <w:t>5. Analysis Table (PARTITIONED BY RANGE)</w:t>
      </w:r>
    </w:p>
    <w:p>
      <w:pPr>
        <w:spacing w:before="0" w:after="120" w:line="276" w:lineRule="auto"/>
      </w:pPr>
      <w:r>
        <w:rPr>
          <w:rFonts w:ascii="Calibri" w:hAnsi="Calibri"/>
          <w:b w:val="0"/>
          <w:i w:val="0"/>
          <w:color w:val="333333"/>
          <w:sz w:val="22"/>
        </w:rPr>
        <w:t>Stores zonal statistics and provenance for every calculated index. It is partitioned by range on pass_date. PostgreSQL requires pass_date to be part of the primary key, making the PK composite: (id, pass_date).</w:t>
      </w:r>
    </w:p>
    <w:p>
      <w:pPr>
        <w:pStyle w:val="ListBullet"/>
        <w:spacing w:before="0" w:after="60" w:line="276" w:lineRule="auto"/>
        <w:ind w:left="360"/>
      </w:pPr>
      <w:r>
        <w:rPr>
          <w:rFonts w:ascii="Calibri" w:hAnsi="Calibri"/>
          <w:color w:val="333333"/>
          <w:sz w:val="22"/>
        </w:rPr>
        <w:t xml:space="preserve"> id (UUID, PK) / pass_date (DATE, PK, Partition Key): Identifiers.</w:t>
      </w:r>
    </w:p>
    <w:p>
      <w:pPr>
        <w:pStyle w:val="ListBullet"/>
        <w:spacing w:before="0" w:after="60" w:line="276" w:lineRule="auto"/>
        <w:ind w:left="360"/>
      </w:pPr>
      <w:r>
        <w:rPr>
          <w:rFonts w:ascii="Calibri" w:hAnsi="Calibri"/>
          <w:color w:val="333333"/>
          <w:sz w:val="22"/>
        </w:rPr>
        <w:t xml:space="preserve"> field_id (UUID, FK -&gt; Field) / scene_id (VARCHAR(256), FK -&gt; SceneMetadata): Foreign keys.</w:t>
      </w:r>
    </w:p>
    <w:p>
      <w:pPr>
        <w:pStyle w:val="ListBullet"/>
        <w:spacing w:before="0" w:after="60" w:line="276" w:lineRule="auto"/>
        <w:ind w:left="360"/>
      </w:pPr>
      <w:r>
        <w:rPr>
          <w:rFonts w:ascii="Calibri" w:hAnsi="Calibri"/>
          <w:color w:val="333333"/>
          <w:sz w:val="22"/>
        </w:rPr>
        <w:t xml:space="preserve"> index_name (VARCHAR(32)): name of index (ndvi, evi2, savi, ndre, ndmi).</w:t>
      </w:r>
    </w:p>
    <w:p>
      <w:pPr>
        <w:pStyle w:val="ListBullet"/>
        <w:spacing w:before="0" w:after="60" w:line="276" w:lineRule="auto"/>
        <w:ind w:left="360"/>
      </w:pPr>
      <w:r>
        <w:rPr>
          <w:rFonts w:ascii="Calibri" w:hAnsi="Calibri"/>
          <w:color w:val="333333"/>
          <w:sz w:val="22"/>
        </w:rPr>
        <w:t xml:space="preserve"> mean / min_val / max_val / std / p10 / p90 (FLOAT): Zonal stats over the AOI.</w:t>
      </w:r>
    </w:p>
    <w:p>
      <w:pPr>
        <w:pStyle w:val="ListBullet"/>
        <w:spacing w:before="0" w:after="60" w:line="276" w:lineRule="auto"/>
        <w:ind w:left="360"/>
      </w:pPr>
      <w:r>
        <w:rPr>
          <w:rFonts w:ascii="Calibri" w:hAnsi="Calibri"/>
          <w:color w:val="333333"/>
          <w:sz w:val="22"/>
        </w:rPr>
        <w:t xml:space="preserve"> clear_fraction (FLOAT): SCL-derived clear pixel fraction.</w:t>
      </w:r>
    </w:p>
    <w:p>
      <w:pPr>
        <w:pStyle w:val="ListBullet"/>
        <w:spacing w:before="0" w:after="60" w:line="276" w:lineRule="auto"/>
        <w:ind w:left="360"/>
      </w:pPr>
      <w:r>
        <w:rPr>
          <w:rFonts w:ascii="Calibri" w:hAnsi="Calibri"/>
          <w:color w:val="333333"/>
          <w:sz w:val="22"/>
        </w:rPr>
        <w:t xml:space="preserve"> formula_version (VARCHAR(32)) / geometry_version (INT): Provenance metadata.</w:t>
      </w:r>
    </w:p>
    <w:p>
      <w:pPr>
        <w:pStyle w:val="ListBullet"/>
        <w:spacing w:before="0" w:after="60" w:line="276" w:lineRule="auto"/>
        <w:ind w:left="360"/>
      </w:pPr>
      <w:r>
        <w:rPr>
          <w:rFonts w:ascii="Calibri" w:hAnsi="Calibri"/>
          <w:color w:val="333333"/>
          <w:sz w:val="22"/>
        </w:rPr>
        <w:t xml:space="preserve"> provider / provider_scene_id / processing_mode (VARCHAR): Source provenance.</w:t>
      </w:r>
    </w:p>
    <w:p>
      <w:pPr>
        <w:pStyle w:val="ListBullet"/>
        <w:spacing w:before="0" w:after="60" w:line="276" w:lineRule="auto"/>
        <w:ind w:left="360"/>
      </w:pPr>
      <w:r>
        <w:rPr>
          <w:rFonts w:ascii="Calibri" w:hAnsi="Calibri"/>
          <w:color w:val="333333"/>
          <w:sz w:val="22"/>
        </w:rPr>
        <w:t xml:space="preserve"> cog_uri (VARCHAR(512)): Key pointing to the colorized raster file in MinIO.</w:t>
      </w:r>
    </w:p>
    <w:p>
      <w:pPr>
        <w:keepNext/>
        <w:spacing w:before="120" w:after="40" w:line="276" w:lineRule="auto"/>
      </w:pPr>
      <w:r>
        <w:rPr>
          <w:rFonts w:ascii="Segoe UI" w:hAnsi="Segoe UI"/>
          <w:b/>
          <w:i/>
          <w:color w:val="5A6B7C"/>
          <w:sz w:val="24"/>
        </w:rPr>
        <w:t>6. FieldCollectionState Table</w:t>
      </w:r>
    </w:p>
    <w:p>
      <w:pPr>
        <w:spacing w:before="0" w:after="120" w:line="276" w:lineRule="auto"/>
      </w:pPr>
      <w:r>
        <w:rPr>
          <w:rFonts w:ascii="Calibri" w:hAnsi="Calibri"/>
          <w:b w:val="0"/>
          <w:i w:val="0"/>
          <w:color w:val="333333"/>
          <w:sz w:val="22"/>
        </w:rPr>
        <w:t>Tracks collection progress for a field at a specific boundary geometry version.</w:t>
      </w:r>
    </w:p>
    <w:p>
      <w:pPr>
        <w:pStyle w:val="ListBullet"/>
        <w:spacing w:before="0" w:after="60" w:line="276" w:lineRule="auto"/>
        <w:ind w:left="360"/>
      </w:pPr>
      <w:r>
        <w:rPr>
          <w:rFonts w:ascii="Calibri" w:hAnsi="Calibri"/>
          <w:color w:val="333333"/>
          <w:sz w:val="22"/>
        </w:rPr>
        <w:t xml:space="preserve"> backfill_complete (BOOLEAN) / backfill_started_at / backfill_completed_at (TIMESTAMP): Backfill state.</w:t>
      </w:r>
    </w:p>
    <w:p>
      <w:pPr>
        <w:pStyle w:val="ListBullet"/>
        <w:spacing w:before="0" w:after="60" w:line="276" w:lineRule="auto"/>
        <w:ind w:left="360"/>
      </w:pPr>
      <w:r>
        <w:rPr>
          <w:rFonts w:ascii="Calibri" w:hAnsi="Calibri"/>
          <w:color w:val="333333"/>
          <w:sz w:val="22"/>
        </w:rPr>
        <w:t xml:space="preserve"> cursor_date (DATE): Watermark date; the forward-fill scan starts searches from this date.</w:t>
      </w:r>
    </w:p>
    <w:p>
      <w:pPr>
        <w:keepNext/>
        <w:spacing w:before="120" w:after="40" w:line="276" w:lineRule="auto"/>
      </w:pPr>
      <w:r>
        <w:rPr>
          <w:rFonts w:ascii="Segoe UI" w:hAnsi="Segoe UI"/>
          <w:b/>
          <w:i/>
          <w:color w:val="5A6B7C"/>
          <w:sz w:val="24"/>
        </w:rPr>
        <w:t>7. Interpretation Table</w:t>
      </w:r>
    </w:p>
    <w:p>
      <w:pPr>
        <w:spacing w:before="0" w:after="120" w:line="276" w:lineRule="auto"/>
      </w:pPr>
      <w:r>
        <w:rPr>
          <w:rFonts w:ascii="Calibri" w:hAnsi="Calibri"/>
          <w:b w:val="0"/>
          <w:i w:val="0"/>
          <w:color w:val="333333"/>
          <w:sz w:val="22"/>
        </w:rPr>
        <w:t>Agronomist review-gated plain-language narrative and the grounding data it was generated from.</w:t>
      </w:r>
    </w:p>
    <w:p>
      <w:pPr>
        <w:pStyle w:val="ListBullet"/>
        <w:spacing w:before="0" w:after="60" w:line="276" w:lineRule="auto"/>
        <w:ind w:left="360"/>
      </w:pPr>
      <w:r>
        <w:rPr>
          <w:rFonts w:ascii="Calibri" w:hAnsi="Calibri"/>
          <w:color w:val="333333"/>
          <w:sz w:val="22"/>
        </w:rPr>
        <w:t xml:space="preserve"> narrative (TEXT): Plain language text draft or approved narrative.</w:t>
      </w:r>
    </w:p>
    <w:p>
      <w:pPr>
        <w:pStyle w:val="ListBullet"/>
        <w:spacing w:before="0" w:after="60" w:line="276" w:lineRule="auto"/>
        <w:ind w:left="360"/>
      </w:pPr>
      <w:r>
        <w:rPr>
          <w:rFonts w:ascii="Calibri" w:hAnsi="Calibri"/>
          <w:color w:val="333333"/>
          <w:sz w:val="22"/>
        </w:rPr>
        <w:t xml:space="preserve"> status (VARCHAR(32)) / confidence (VARCHAR(16)): Overall classification and confidence.</w:t>
      </w:r>
    </w:p>
    <w:p>
      <w:pPr>
        <w:pStyle w:val="ListBullet"/>
        <w:spacing w:before="0" w:after="60" w:line="276" w:lineRule="auto"/>
        <w:ind w:left="360"/>
      </w:pPr>
      <w:r>
        <w:rPr>
          <w:rFonts w:ascii="Calibri" w:hAnsi="Calibri"/>
          <w:color w:val="333333"/>
          <w:sz w:val="22"/>
        </w:rPr>
        <w:t xml:space="preserve"> published (BOOLEAN) / reviewed_by (VARCHAR) / reviewed_at (TIMESTAMP): Review status.</w:t>
      </w:r>
    </w:p>
    <w:p>
      <w:pPr>
        <w:pStyle w:val="ListBullet"/>
        <w:spacing w:before="0" w:after="60" w:line="276" w:lineRule="auto"/>
        <w:ind w:left="360"/>
      </w:pPr>
      <w:r>
        <w:rPr>
          <w:rFonts w:ascii="Calibri" w:hAnsi="Calibri"/>
          <w:color w:val="333333"/>
          <w:sz w:val="22"/>
        </w:rPr>
        <w:t xml:space="preserve"> gdd_accumulation / total_precipitation / recent_activities (JSONB): Persistent grounding telemetry.</w:t>
      </w:r>
    </w:p>
    <w:p>
      <w:pPr>
        <w:keepNext/>
        <w:spacing w:before="120" w:after="40" w:line="276" w:lineRule="auto"/>
      </w:pPr>
      <w:r>
        <w:rPr>
          <w:rFonts w:ascii="Segoe UI" w:hAnsi="Segoe UI"/>
          <w:b/>
          <w:i/>
          <w:color w:val="5A6B7C"/>
          <w:sz w:val="24"/>
        </w:rPr>
        <w:t>8. Annotation Table</w:t>
      </w:r>
    </w:p>
    <w:p>
      <w:pPr>
        <w:spacing w:before="0" w:after="120" w:line="276" w:lineRule="auto"/>
      </w:pPr>
      <w:r>
        <w:rPr>
          <w:rFonts w:ascii="Calibri" w:hAnsi="Calibri"/>
          <w:b w:val="0"/>
          <w:i w:val="0"/>
          <w:color w:val="333333"/>
          <w:sz w:val="22"/>
        </w:rPr>
        <w:t>Shared free-text field notes pinned to a field and optionally to a specific pass date.</w:t>
      </w:r>
    </w:p>
    <w:p>
      <w:pPr>
        <w:pStyle w:val="ListBullet"/>
        <w:spacing w:before="0" w:after="60" w:line="276" w:lineRule="auto"/>
        <w:ind w:left="360"/>
      </w:pPr>
      <w:r>
        <w:rPr>
          <w:rFonts w:ascii="Calibri" w:hAnsi="Calibri"/>
          <w:color w:val="333333"/>
          <w:sz w:val="22"/>
        </w:rPr>
        <w:t xml:space="preserve"> field_id (UUID) / geometry_version (INT) / pass_date (DATE, Nullable) / body (TEXT) / author (VARCHAR).</w:t>
      </w:r>
    </w:p>
    <w:p>
      <w:pPr>
        <w:keepNext/>
        <w:spacing w:before="120" w:after="40" w:line="276" w:lineRule="auto"/>
      </w:pPr>
      <w:r>
        <w:rPr>
          <w:rFonts w:ascii="Segoe UI" w:hAnsi="Segoe UI"/>
          <w:b/>
          <w:i/>
          <w:color w:val="5A6B7C"/>
          <w:sz w:val="24"/>
        </w:rPr>
        <w:t>9. SyncOutbox Table</w:t>
      </w:r>
    </w:p>
    <w:p>
      <w:pPr>
        <w:spacing w:before="0" w:after="120" w:line="276" w:lineRule="auto"/>
      </w:pPr>
      <w:r>
        <w:rPr>
          <w:rFonts w:ascii="Calibri" w:hAnsi="Calibri"/>
          <w:b w:val="0"/>
          <w:i w:val="0"/>
          <w:color w:val="333333"/>
          <w:sz w:val="22"/>
        </w:rPr>
        <w:t>Sync ledger preventing duplicate push deliveries and tracking gateway errors.</w:t>
      </w:r>
    </w:p>
    <w:p>
      <w:pPr>
        <w:pStyle w:val="ListBullet"/>
        <w:spacing w:before="0" w:after="60" w:line="276" w:lineRule="auto"/>
        <w:ind w:left="360"/>
      </w:pPr>
      <w:r>
        <w:rPr>
          <w:rFonts w:ascii="Calibri" w:hAnsi="Calibri"/>
          <w:color w:val="333333"/>
          <w:sz w:val="22"/>
        </w:rPr>
        <w:t xml:space="preserve"> idempotency_key (VARCHAR, Unique, PK) / canonical_farm_id (VARCHAR) / status (VARCHAR: published|dead_letter).</w:t>
      </w:r>
    </w:p>
    <w:p>
      <w:r>
        <w:br w:type="page"/>
      </w:r>
    </w:p>
    <w:p>
      <w:pPr>
        <w:keepNext/>
        <w:spacing w:before="360" w:after="120" w:line="276" w:lineRule="auto"/>
      </w:pPr>
      <w:r>
        <w:rPr>
          <w:rFonts w:ascii="Segoe UI" w:hAnsi="Segoe UI"/>
          <w:b/>
          <w:color w:val="1B365D"/>
          <w:sz w:val="36"/>
        </w:rPr>
        <w:t>5. The Collection Pipeline</w:t>
      </w:r>
    </w:p>
    <w:p>
      <w:pPr>
        <w:spacing w:before="0" w:after="120" w:line="276" w:lineRule="auto"/>
      </w:pPr>
      <w:r>
        <w:rPr>
          <w:rFonts w:ascii="Calibri" w:hAnsi="Calibri"/>
          <w:b w:val="0"/>
          <w:i w:val="0"/>
          <w:color w:val="333333"/>
          <w:sz w:val="22"/>
        </w:rPr>
        <w:t>The collection pipeline runs asynchronously using Celery and Redis, managing backfills and forward-fills so the system stays synchronized with Sentinel-2 archives without overloading APIs.</w:t>
      </w:r>
    </w:p>
    <w:p>
      <w:pPr>
        <w:keepNext/>
        <w:spacing w:before="240" w:after="80" w:line="276" w:lineRule="auto"/>
      </w:pPr>
      <w:r>
        <w:rPr>
          <w:rFonts w:ascii="Segoe UI" w:hAnsi="Segoe UI"/>
          <w:b/>
          <w:color w:val="008080"/>
          <w:sz w:val="28"/>
        </w:rPr>
        <w:t>Queue Operations</w:t>
      </w:r>
    </w:p>
    <w:p>
      <w:pPr>
        <w:spacing w:before="0" w:after="120" w:line="276" w:lineRule="auto"/>
      </w:pPr>
      <w:r>
        <w:rPr>
          <w:rFonts w:ascii="Calibri" w:hAnsi="Calibri"/>
          <w:b w:val="0"/>
          <w:i w:val="0"/>
          <w:color w:val="333333"/>
          <w:sz w:val="22"/>
        </w:rPr>
        <w:t>Two primary workers process the queue:</w:t>
      </w:r>
    </w:p>
    <w:p>
      <w:pPr>
        <w:pStyle w:val="ListBullet"/>
        <w:spacing w:before="0" w:after="60" w:line="276" w:lineRule="auto"/>
        <w:ind w:left="360"/>
      </w:pPr>
      <w:r>
        <w:rPr>
          <w:rFonts w:ascii="Calibri" w:hAnsi="Calibri"/>
          <w:b/>
          <w:color w:val="333333"/>
          <w:sz w:val="22"/>
        </w:rPr>
        <w:t>Backfill Task:</w:t>
      </w:r>
      <w:r>
        <w:rPr>
          <w:rFonts w:ascii="Calibri" w:hAnsi="Calibri"/>
          <w:color w:val="333333"/>
          <w:sz w:val="22"/>
        </w:rPr>
        <w:t xml:space="preserve"> When a new field is ingested or its boundary updates, a backfill task is triggered. It queries the Sentinel-2 STAC archive for the historical window (default 18 months), plans scenes, and processes them oldest-to-newest. It marks backfill_complete=True once finished.</w:t>
      </w:r>
    </w:p>
    <w:p>
      <w:pPr>
        <w:pStyle w:val="ListBullet"/>
        <w:spacing w:before="0" w:after="60" w:line="276" w:lineRule="auto"/>
        <w:ind w:left="360"/>
      </w:pPr>
      <w:r>
        <w:rPr>
          <w:rFonts w:ascii="Calibri" w:hAnsi="Calibri"/>
          <w:b/>
          <w:color w:val="333333"/>
          <w:sz w:val="22"/>
        </w:rPr>
        <w:t>Forward-Fill Beat:</w:t>
      </w:r>
      <w:r>
        <w:rPr>
          <w:rFonts w:ascii="Calibri" w:hAnsi="Calibri"/>
          <w:color w:val="333333"/>
          <w:sz w:val="22"/>
        </w:rPr>
        <w:t xml:space="preserve"> A Celery Beat scheduler runs daily, identifying fields due for forward-fill (watermark older than 5 days). It enqueues collection tasks that query for passes from the watermark date to the present, ensuring new satellite captures are continuously ingested.</w:t>
      </w:r>
    </w:p>
    <w:p>
      <w:pPr>
        <w:keepNext/>
        <w:spacing w:before="240" w:after="80" w:line="276" w:lineRule="auto"/>
      </w:pPr>
      <w:r>
        <w:rPr>
          <w:rFonts w:ascii="Segoe UI" w:hAnsi="Segoe UI"/>
          <w:b/>
          <w:color w:val="008080"/>
          <w:sz w:val="28"/>
        </w:rPr>
        <w:t>Task Coordination &amp; Locking</w:t>
      </w:r>
    </w:p>
    <w:p>
      <w:pPr>
        <w:spacing w:before="0" w:after="120" w:line="276" w:lineRule="auto"/>
      </w:pPr>
      <w:r>
        <w:rPr>
          <w:rFonts w:ascii="Calibri" w:hAnsi="Calibri"/>
          <w:b w:val="0"/>
          <w:i w:val="0"/>
          <w:color w:val="333333"/>
          <w:sz w:val="22"/>
        </w:rPr>
        <w:t>To prevent duplicate downloads and processing collisions when backfills and forward-fills run concurrently, the pipeline utilizes Redis-based locking:</w:t>
      </w:r>
    </w:p>
    <w:p>
      <w:pPr>
        <w:pStyle w:val="ListBullet"/>
        <w:spacing w:before="0" w:after="60" w:line="276" w:lineRule="auto"/>
        <w:ind w:left="360"/>
      </w:pPr>
      <w:r>
        <w:rPr>
          <w:rFonts w:ascii="Calibri" w:hAnsi="Calibri"/>
          <w:color w:val="333333"/>
          <w:sz w:val="22"/>
        </w:rPr>
        <w:t xml:space="preserve"> Locks are keyed to each field and geometry version: f"lock:collect:field:{{field_id}}:v{{geometry_version}}".</w:t>
      </w:r>
    </w:p>
    <w:p>
      <w:pPr>
        <w:pStyle w:val="ListBullet"/>
        <w:spacing w:before="0" w:after="60" w:line="276" w:lineRule="auto"/>
        <w:ind w:left="360"/>
      </w:pPr>
      <w:r>
        <w:rPr>
          <w:rFonts w:ascii="Calibri" w:hAnsi="Calibri"/>
          <w:color w:val="333333"/>
          <w:sz w:val="22"/>
        </w:rPr>
        <w:t xml:space="preserve"> Before processing, a worker must acquire this lock. If the lock is held by another worker, the task immediately exits (first-write-wins) to conserve computing resources.</w:t>
      </w:r>
    </w:p>
    <w:p>
      <w:pPr>
        <w:pStyle w:val="ListBullet"/>
        <w:spacing w:before="0" w:after="60" w:line="276" w:lineRule="auto"/>
        <w:ind w:left="360"/>
      </w:pPr>
      <w:r>
        <w:rPr>
          <w:rFonts w:ascii="Calibri" w:hAnsi="Calibri"/>
          <w:color w:val="333333"/>
          <w:sz w:val="22"/>
        </w:rPr>
        <w:t xml:space="preserve"> Lock TTL is configured to 15 minutes, safeguarding against stuck tasks.</w:t>
      </w:r>
    </w:p>
    <w:p>
      <w:r>
        <w:br w:type="page"/>
      </w:r>
    </w:p>
    <w:p>
      <w:pPr>
        <w:keepNext/>
        <w:spacing w:before="360" w:after="120" w:line="276" w:lineRule="auto"/>
      </w:pPr>
      <w:r>
        <w:rPr>
          <w:rFonts w:ascii="Segoe UI" w:hAnsi="Segoe UI"/>
          <w:b/>
          <w:color w:val="1B365D"/>
          <w:sz w:val="36"/>
        </w:rPr>
        <w:t>6. Satellite Access Port &amp; CDSE Adapters</w:t>
      </w:r>
    </w:p>
    <w:p>
      <w:pPr>
        <w:spacing w:before="0" w:after="120" w:line="276" w:lineRule="auto"/>
      </w:pPr>
      <w:r>
        <w:rPr>
          <w:rFonts w:ascii="Calibri" w:hAnsi="Calibri"/>
          <w:b w:val="0"/>
          <w:i w:val="0"/>
          <w:color w:val="333333"/>
          <w:sz w:val="22"/>
        </w:rPr>
        <w:t>To isolate external dependencies, satellite data access is restricted to rs_imagery.AccessPort. Individual API calls, auth details, and evaluation scripts are contained within three adapters:</w:t>
      </w:r>
    </w:p>
    <w:p>
      <w:pPr>
        <w:keepNext/>
        <w:spacing w:before="240" w:after="80" w:line="276" w:lineRule="auto"/>
      </w:pPr>
      <w:r>
        <w:rPr>
          <w:rFonts w:ascii="Segoe UI" w:hAnsi="Segoe UI"/>
          <w:b/>
          <w:color w:val="008080"/>
          <w:sz w:val="28"/>
        </w:rPr>
        <w:t>The Three Access Adapters</w:t>
      </w:r>
    </w:p>
    <w:p>
      <w:pPr>
        <w:pStyle w:val="ListBullet"/>
        <w:spacing w:before="0" w:after="60" w:line="276" w:lineRule="auto"/>
        <w:ind w:left="360"/>
      </w:pPr>
      <w:r>
        <w:rPr>
          <w:rFonts w:ascii="Calibri" w:hAnsi="Calibri"/>
          <w:b/>
          <w:color w:val="333333"/>
          <w:sz w:val="22"/>
        </w:rPr>
        <w:t>1. mock:</w:t>
      </w:r>
      <w:r>
        <w:rPr>
          <w:rFonts w:ascii="Calibri" w:hAnsi="Calibri"/>
          <w:color w:val="333333"/>
          <w:sz w:val="22"/>
        </w:rPr>
        <w:t xml:space="preserve"> Generates deterministic synthetic arrays and metadata offline. Used to run the test suite and verify the entire backend without requiring credentials or network access.</w:t>
      </w:r>
    </w:p>
    <w:p>
      <w:pPr>
        <w:pStyle w:val="ListBullet"/>
        <w:spacing w:before="0" w:after="60" w:line="276" w:lineRule="auto"/>
        <w:ind w:left="360"/>
      </w:pPr>
      <w:r>
        <w:rPr>
          <w:rFonts w:ascii="Calibri" w:hAnsi="Calibri"/>
          <w:b/>
          <w:color w:val="333333"/>
          <w:sz w:val="22"/>
        </w:rPr>
        <w:t>2. windowed_cog:</w:t>
      </w:r>
      <w:r>
        <w:rPr>
          <w:rFonts w:ascii="Calibri" w:hAnsi="Calibri"/>
          <w:color w:val="333333"/>
          <w:sz w:val="22"/>
        </w:rPr>
        <w:t xml:space="preserve"> Searches the STAC catalogue to find passes, then reads windowed chunks of bands directly from CDSE's eodata S3 bucket using rasterio over GDAL's VSIS3 virtual file system. Because raw bands are not pre-harmonized, the adapter reads the per-scene MTD_MSIL2A.xml metadata to apply BOA offsets and quantification factors. It is the primary adapter for the stored backfill pipeline.</w:t>
      </w:r>
    </w:p>
    <w:p>
      <w:pPr>
        <w:pStyle w:val="ListBullet"/>
        <w:spacing w:before="0" w:after="60" w:line="276" w:lineRule="auto"/>
        <w:ind w:left="360"/>
      </w:pPr>
      <w:r>
        <w:rPr>
          <w:rFonts w:ascii="Calibri" w:hAnsi="Calibri"/>
          <w:b/>
          <w:color w:val="333333"/>
          <w:sz w:val="22"/>
        </w:rPr>
        <w:t>3. server_compute:</w:t>
      </w:r>
      <w:r>
        <w:rPr>
          <w:rFonts w:ascii="Calibri" w:hAnsi="Calibri"/>
          <w:color w:val="333333"/>
          <w:sz w:val="22"/>
        </w:rPr>
        <w:t xml:space="preserve"> Interacts with the Copernicus Sentinel Hub Process API. It evaluates index formulas and evaluates clear pixels server-side. For stored values, it retrieves raw reflectance bands from the Process API, passing them to our engine to ensure identical math and prevent data drift. It also generates pre-colorized PNG map overlays for real-time map previewing.</w:t>
      </w:r>
    </w:p>
    <w:tbl>
      <w:tblPr>
        <w:tblW w:type="auto" w:w="0"/>
        <w:jc w:val="center"/>
        <w:tblLayout w:type="fixed"/>
        <w:tblLook w:firstColumn="1" w:firstRow="1" w:lastColumn="0" w:lastRow="0" w:noHBand="0" w:noVBand="1" w:val="04A0"/>
      </w:tblPr>
      <w:tblGrid>
        <w:gridCol w:w="9360"/>
      </w:tblGrid>
      <w:tr>
        <w:tc>
          <w:tcPr>
            <w:tcW w:type="dxa" w:w="8640"/>
            <w:shd w:fill="F2F4F7"/>
            <w:tcBorders>
              <w:left w:val="single" w:sz="24" w:space="0" w:color="1B365D"/>
              <w:top w:val="none"/>
              <w:bottom w:val="none"/>
              <w:right w:val="none"/>
            </w:tcBorders>
            <w:tcMar>
              <w:top w:w="140" w:type="dxa"/>
              <w:bottom w:w="140" w:type="dxa"/>
              <w:left w:w="200" w:type="dxa"/>
              <w:right w:w="200" w:type="dxa"/>
            </w:tcMar>
          </w:tcPr>
          <w:p>
            <w:pPr>
              <w:spacing w:before="0" w:after="60" w:line="276" w:lineRule="auto"/>
            </w:pPr>
            <w:r>
              <w:rPr>
                <w:rFonts w:ascii="Segoe UI" w:hAnsi="Segoe UI"/>
                <w:b/>
                <w:color w:val="1B365D"/>
                <w:sz w:val="21"/>
              </w:rPr>
              <w:t xml:space="preserve">[ADAPTER PARITY] </w:t>
            </w:r>
            <w:r>
              <w:rPr>
                <w:rFonts w:ascii="Calibri" w:hAnsi="Calibri"/>
                <w:i/>
                <w:color w:val="333333"/>
                <w:sz w:val="21"/>
              </w:rPr>
              <w:t>To prevent discrepancies in data, both real adapters (windowed_cog and server_compute) must return identical values. This consistency is enforced in the codebase by running tests that compare both adapters on real scenes.</w:t>
            </w:r>
          </w:p>
        </w:tc>
      </w:tr>
    </w:tbl>
    <w:p>
      <w:pPr>
        <w:spacing w:before="0" w:after="120" w:line="276" w:lineRule="auto"/>
      </w:pPr>
    </w:p>
    <w:p>
      <w:r>
        <w:br w:type="page"/>
      </w:r>
    </w:p>
    <w:p>
      <w:pPr>
        <w:keepNext/>
        <w:spacing w:before="360" w:after="120" w:line="276" w:lineRule="auto"/>
      </w:pPr>
      <w:r>
        <w:rPr>
          <w:rFonts w:ascii="Segoe UI" w:hAnsi="Segoe UI"/>
          <w:b/>
          <w:color w:val="1B365D"/>
          <w:sz w:val="36"/>
        </w:rPr>
        <w:t>7. Geospatial Analysis Core</w:t>
      </w:r>
    </w:p>
    <w:p>
      <w:pPr>
        <w:spacing w:before="0" w:after="120" w:line="276" w:lineRule="auto"/>
      </w:pPr>
      <w:r>
        <w:rPr>
          <w:rFonts w:ascii="Calibri" w:hAnsi="Calibri"/>
          <w:b w:val="0"/>
          <w:i w:val="0"/>
          <w:color w:val="333333"/>
          <w:sz w:val="22"/>
        </w:rPr>
        <w:t>The analysis core (packages/rs_analysis) operates on raw numpy arrays to calculate vegetation indices and mask cloud cover, prioritizing resolution honesty and strict reflectance calculations.</w:t>
      </w:r>
    </w:p>
    <w:p>
      <w:pPr>
        <w:keepNext/>
        <w:spacing w:before="240" w:after="80" w:line="276" w:lineRule="auto"/>
      </w:pPr>
      <w:r>
        <w:rPr>
          <w:rFonts w:ascii="Segoe UI" w:hAnsi="Segoe UI"/>
          <w:b/>
          <w:color w:val="008080"/>
          <w:sz w:val="28"/>
        </w:rPr>
        <w:t>Spectral Vegetation Indices</w:t>
      </w:r>
    </w:p>
    <w:p>
      <w:pPr>
        <w:spacing w:before="0" w:after="120" w:line="276" w:lineRule="auto"/>
      </w:pPr>
      <w:r>
        <w:rPr>
          <w:rFonts w:ascii="Calibri" w:hAnsi="Calibri"/>
          <w:b w:val="0"/>
          <w:i w:val="0"/>
          <w:color w:val="333333"/>
          <w:sz w:val="22"/>
        </w:rPr>
        <w:t>Calculations are performed on BOA reflectance (floats between 0.0 and 1.0) using safe division that propagates NaNs for masked cloud pixels:</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1872"/>
        <w:gridCol w:w="1872"/>
        <w:gridCol w:w="1872"/>
        <w:gridCol w:w="1872"/>
        <w:gridCol w:w="1872"/>
      </w:tblGrid>
      <w:tr>
        <w:tc>
          <w:tcPr>
            <w:tcW w:type="dxa" w:w="1440"/>
            <w:shd w:fill="1B365D"/>
            <w:tcMar>
              <w:top w:w="100" w:type="dxa"/>
              <w:bottom w:w="100" w:type="dxa"/>
              <w:left w:w="150" w:type="dxa"/>
              <w:right w:w="150" w:type="dxa"/>
            </w:tcMar>
          </w:tcPr>
          <w:p>
            <w:pPr>
              <w:spacing w:before="0" w:after="0" w:line="276" w:lineRule="auto"/>
              <w:jc w:val="left"/>
            </w:pPr>
            <w:r>
              <w:rPr>
                <w:rFonts w:ascii="Segoe UI" w:hAnsi="Segoe UI"/>
                <w:b/>
                <w:color w:val="FFFFFF"/>
                <w:sz w:val="20"/>
              </w:rPr>
              <w:t>Index Name</w:t>
            </w:r>
          </w:p>
        </w:tc>
        <w:tc>
          <w:tcPr>
            <w:tcW w:type="dxa" w:w="2304"/>
            <w:shd w:fill="1B365D"/>
            <w:tcMar>
              <w:top w:w="100" w:type="dxa"/>
              <w:bottom w:w="100" w:type="dxa"/>
              <w:left w:w="150" w:type="dxa"/>
              <w:right w:w="150" w:type="dxa"/>
            </w:tcMar>
          </w:tcPr>
          <w:p>
            <w:pPr>
              <w:spacing w:before="0" w:after="0" w:line="276" w:lineRule="auto"/>
              <w:jc w:val="left"/>
            </w:pPr>
            <w:r>
              <w:rPr>
                <w:rFonts w:ascii="Segoe UI" w:hAnsi="Segoe UI"/>
                <w:b/>
                <w:color w:val="FFFFFF"/>
                <w:sz w:val="20"/>
              </w:rPr>
              <w:t>Target Metric</w:t>
            </w:r>
          </w:p>
        </w:tc>
        <w:tc>
          <w:tcPr>
            <w:tcW w:type="dxa" w:w="2160"/>
            <w:shd w:fill="1B365D"/>
            <w:tcMar>
              <w:top w:w="100" w:type="dxa"/>
              <w:bottom w:w="100" w:type="dxa"/>
              <w:left w:w="150" w:type="dxa"/>
              <w:right w:w="150" w:type="dxa"/>
            </w:tcMar>
          </w:tcPr>
          <w:p>
            <w:pPr>
              <w:spacing w:before="0" w:after="0" w:line="276" w:lineRule="auto"/>
              <w:jc w:val="left"/>
            </w:pPr>
            <w:r>
              <w:rPr>
                <w:rFonts w:ascii="Segoe UI" w:hAnsi="Segoe UI"/>
                <w:b/>
                <w:color w:val="FFFFFF"/>
                <w:sz w:val="20"/>
              </w:rPr>
              <w:t>Sentinel-2 Bands Used</w:t>
            </w:r>
          </w:p>
        </w:tc>
        <w:tc>
          <w:tcPr>
            <w:tcW w:type="dxa" w:w="2016"/>
            <w:shd w:fill="1B365D"/>
            <w:tcMar>
              <w:top w:w="100" w:type="dxa"/>
              <w:bottom w:w="100" w:type="dxa"/>
              <w:left w:w="150" w:type="dxa"/>
              <w:right w:w="150" w:type="dxa"/>
            </w:tcMar>
          </w:tcPr>
          <w:p>
            <w:pPr>
              <w:spacing w:before="0" w:after="0" w:line="276" w:lineRule="auto"/>
              <w:jc w:val="left"/>
            </w:pPr>
            <w:r>
              <w:rPr>
                <w:rFonts w:ascii="Segoe UI" w:hAnsi="Segoe UI"/>
                <w:b/>
                <w:color w:val="FFFFFF"/>
                <w:sz w:val="20"/>
              </w:rPr>
              <w:t>Formula</w:t>
            </w:r>
          </w:p>
        </w:tc>
        <w:tc>
          <w:tcPr>
            <w:tcW w:type="dxa" w:w="1152"/>
            <w:shd w:fill="1B365D"/>
            <w:tcMar>
              <w:top w:w="100" w:type="dxa"/>
              <w:bottom w:w="100" w:type="dxa"/>
              <w:left w:w="150" w:type="dxa"/>
              <w:right w:w="150" w:type="dxa"/>
            </w:tcMar>
          </w:tcPr>
          <w:p>
            <w:pPr>
              <w:spacing w:before="0" w:after="0" w:line="276" w:lineRule="auto"/>
              <w:jc w:val="left"/>
            </w:pPr>
            <w:r>
              <w:rPr>
                <w:rFonts w:ascii="Segoe UI" w:hAnsi="Segoe UI"/>
                <w:b/>
                <w:color w:val="FFFFFF"/>
                <w:sz w:val="20"/>
              </w:rPr>
              <w:t>Native Resolution</w:t>
            </w:r>
          </w:p>
        </w:tc>
      </w:tr>
      <w:tr>
        <w:tc>
          <w:tcPr>
            <w:tcW w:type="dxa" w:w="1440"/>
            <w:shd w:fill="FFFFFF"/>
            <w:tcMar>
              <w:top w:w="80" w:type="dxa"/>
              <w:bottom w:w="80" w:type="dxa"/>
              <w:left w:w="150" w:type="dxa"/>
              <w:right w:w="150" w:type="dxa"/>
            </w:tcMar>
          </w:tcPr>
          <w:p>
            <w:pPr>
              <w:spacing w:before="0" w:after="0" w:line="276" w:lineRule="auto"/>
              <w:jc w:val="left"/>
            </w:pPr>
            <w:r>
              <w:rPr>
                <w:rFonts w:ascii="Calibri" w:hAnsi="Calibri"/>
                <w:color w:val="333333"/>
                <w:sz w:val="19"/>
              </w:rPr>
              <w:t>NDVI</w:t>
            </w:r>
          </w:p>
        </w:tc>
        <w:tc>
          <w:tcPr>
            <w:tcW w:type="dxa" w:w="2304"/>
            <w:shd w:fill="FFFFFF"/>
            <w:tcMar>
              <w:top w:w="80" w:type="dxa"/>
              <w:bottom w:w="80" w:type="dxa"/>
              <w:left w:w="150" w:type="dxa"/>
              <w:right w:w="150" w:type="dxa"/>
            </w:tcMar>
          </w:tcPr>
          <w:p>
            <w:pPr>
              <w:spacing w:before="0" w:after="0" w:line="276" w:lineRule="auto"/>
              <w:jc w:val="left"/>
            </w:pPr>
            <w:r>
              <w:rPr>
                <w:rFonts w:ascii="Calibri" w:hAnsi="Calibri"/>
                <w:color w:val="333333"/>
                <w:sz w:val="19"/>
              </w:rPr>
              <w:t>Canopy Vigour &amp; Biomass</w:t>
            </w:r>
          </w:p>
        </w:tc>
        <w:tc>
          <w:tcPr>
            <w:tcW w:type="dxa" w:w="2160"/>
            <w:shd w:fill="FFFFFF"/>
            <w:tcMar>
              <w:top w:w="80" w:type="dxa"/>
              <w:bottom w:w="80" w:type="dxa"/>
              <w:left w:w="150" w:type="dxa"/>
              <w:right w:w="150" w:type="dxa"/>
            </w:tcMar>
          </w:tcPr>
          <w:p>
            <w:pPr>
              <w:spacing w:before="0" w:after="0" w:line="276" w:lineRule="auto"/>
              <w:jc w:val="left"/>
            </w:pPr>
            <w:r>
              <w:rPr>
                <w:rFonts w:ascii="Calibri" w:hAnsi="Calibri"/>
                <w:color w:val="333333"/>
                <w:sz w:val="19"/>
              </w:rPr>
              <w:t>B08 (NIR, 10m), B04 (Red, 10m)</w:t>
            </w:r>
          </w:p>
        </w:tc>
        <w:tc>
          <w:tcPr>
            <w:tcW w:type="dxa" w:w="2016"/>
            <w:shd w:fill="FFFFFF"/>
            <w:tcMar>
              <w:top w:w="80" w:type="dxa"/>
              <w:bottom w:w="80" w:type="dxa"/>
              <w:left w:w="150" w:type="dxa"/>
              <w:right w:w="150" w:type="dxa"/>
            </w:tcMar>
          </w:tcPr>
          <w:p>
            <w:pPr>
              <w:spacing w:before="0" w:after="0" w:line="276" w:lineRule="auto"/>
              <w:jc w:val="left"/>
            </w:pPr>
            <w:r>
              <w:rPr>
                <w:rFonts w:ascii="Calibri" w:hAnsi="Calibri"/>
                <w:color w:val="333333"/>
                <w:sz w:val="19"/>
              </w:rPr>
              <w:t>(B08 - B04) / (B08 + B04)</w:t>
            </w:r>
          </w:p>
        </w:tc>
        <w:tc>
          <w:tcPr>
            <w:tcW w:type="dxa" w:w="1152"/>
            <w:shd w:fill="FFFFFF"/>
            <w:tcMar>
              <w:top w:w="80" w:type="dxa"/>
              <w:bottom w:w="80" w:type="dxa"/>
              <w:left w:w="150" w:type="dxa"/>
              <w:right w:w="150" w:type="dxa"/>
            </w:tcMar>
          </w:tcPr>
          <w:p>
            <w:pPr>
              <w:spacing w:before="0" w:after="0" w:line="276" w:lineRule="auto"/>
              <w:jc w:val="left"/>
            </w:pPr>
            <w:r>
              <w:rPr>
                <w:rFonts w:ascii="Calibri" w:hAnsi="Calibri"/>
                <w:color w:val="333333"/>
                <w:sz w:val="19"/>
              </w:rPr>
              <w:t>10 m</w:t>
            </w:r>
          </w:p>
        </w:tc>
      </w:tr>
      <w:tr>
        <w:tc>
          <w:tcPr>
            <w:tcW w:type="dxa" w:w="1440"/>
            <w:shd w:fill="F9FBFD"/>
            <w:tcMar>
              <w:top w:w="80" w:type="dxa"/>
              <w:bottom w:w="80" w:type="dxa"/>
              <w:left w:w="150" w:type="dxa"/>
              <w:right w:w="150" w:type="dxa"/>
            </w:tcMar>
          </w:tcPr>
          <w:p>
            <w:pPr>
              <w:spacing w:before="0" w:after="0" w:line="276" w:lineRule="auto"/>
              <w:jc w:val="left"/>
            </w:pPr>
            <w:r>
              <w:rPr>
                <w:rFonts w:ascii="Calibri" w:hAnsi="Calibri"/>
                <w:color w:val="333333"/>
                <w:sz w:val="19"/>
              </w:rPr>
              <w:t>EVI2</w:t>
            </w:r>
          </w:p>
        </w:tc>
        <w:tc>
          <w:tcPr>
            <w:tcW w:type="dxa" w:w="2304"/>
            <w:shd w:fill="F9FBFD"/>
            <w:tcMar>
              <w:top w:w="80" w:type="dxa"/>
              <w:bottom w:w="80" w:type="dxa"/>
              <w:left w:w="150" w:type="dxa"/>
              <w:right w:w="150" w:type="dxa"/>
            </w:tcMar>
          </w:tcPr>
          <w:p>
            <w:pPr>
              <w:spacing w:before="0" w:after="0" w:line="276" w:lineRule="auto"/>
              <w:jc w:val="left"/>
            </w:pPr>
            <w:r>
              <w:rPr>
                <w:rFonts w:ascii="Calibri" w:hAnsi="Calibri"/>
                <w:color w:val="333333"/>
                <w:sz w:val="19"/>
              </w:rPr>
              <w:t>Biomass (Saturation resistant)</w:t>
            </w:r>
          </w:p>
        </w:tc>
        <w:tc>
          <w:tcPr>
            <w:tcW w:type="dxa" w:w="2160"/>
            <w:shd w:fill="F9FBFD"/>
            <w:tcMar>
              <w:top w:w="80" w:type="dxa"/>
              <w:bottom w:w="80" w:type="dxa"/>
              <w:left w:w="150" w:type="dxa"/>
              <w:right w:w="150" w:type="dxa"/>
            </w:tcMar>
          </w:tcPr>
          <w:p>
            <w:pPr>
              <w:spacing w:before="0" w:after="0" w:line="276" w:lineRule="auto"/>
              <w:jc w:val="left"/>
            </w:pPr>
            <w:r>
              <w:rPr>
                <w:rFonts w:ascii="Calibri" w:hAnsi="Calibri"/>
                <w:color w:val="333333"/>
                <w:sz w:val="19"/>
              </w:rPr>
              <w:t>B08 (NIR, 10m), B04 (Red, 10m)</w:t>
            </w:r>
          </w:p>
        </w:tc>
        <w:tc>
          <w:tcPr>
            <w:tcW w:type="dxa" w:w="2016"/>
            <w:shd w:fill="F9FBFD"/>
            <w:tcMar>
              <w:top w:w="80" w:type="dxa"/>
              <w:bottom w:w="80" w:type="dxa"/>
              <w:left w:w="150" w:type="dxa"/>
              <w:right w:w="150" w:type="dxa"/>
            </w:tcMar>
          </w:tcPr>
          <w:p>
            <w:pPr>
              <w:spacing w:before="0" w:after="0" w:line="276" w:lineRule="auto"/>
              <w:jc w:val="left"/>
            </w:pPr>
            <w:r>
              <w:rPr>
                <w:rFonts w:ascii="Calibri" w:hAnsi="Calibri"/>
                <w:color w:val="333333"/>
                <w:sz w:val="19"/>
              </w:rPr>
              <w:t>2.5 * (B08 - B04) / (B08 + 2.4 * B04 + 1.0)</w:t>
            </w:r>
          </w:p>
        </w:tc>
        <w:tc>
          <w:tcPr>
            <w:tcW w:type="dxa" w:w="1152"/>
            <w:shd w:fill="F9FBFD"/>
            <w:tcMar>
              <w:top w:w="80" w:type="dxa"/>
              <w:bottom w:w="80" w:type="dxa"/>
              <w:left w:w="150" w:type="dxa"/>
              <w:right w:w="150" w:type="dxa"/>
            </w:tcMar>
          </w:tcPr>
          <w:p>
            <w:pPr>
              <w:spacing w:before="0" w:after="0" w:line="276" w:lineRule="auto"/>
              <w:jc w:val="left"/>
            </w:pPr>
            <w:r>
              <w:rPr>
                <w:rFonts w:ascii="Calibri" w:hAnsi="Calibri"/>
                <w:color w:val="333333"/>
                <w:sz w:val="19"/>
              </w:rPr>
              <w:t>10 m</w:t>
            </w:r>
          </w:p>
        </w:tc>
      </w:tr>
      <w:tr>
        <w:tc>
          <w:tcPr>
            <w:tcW w:type="dxa" w:w="1440"/>
            <w:shd w:fill="FFFFFF"/>
            <w:tcMar>
              <w:top w:w="80" w:type="dxa"/>
              <w:bottom w:w="80" w:type="dxa"/>
              <w:left w:w="150" w:type="dxa"/>
              <w:right w:w="150" w:type="dxa"/>
            </w:tcMar>
          </w:tcPr>
          <w:p>
            <w:pPr>
              <w:spacing w:before="0" w:after="0" w:line="276" w:lineRule="auto"/>
              <w:jc w:val="left"/>
            </w:pPr>
            <w:r>
              <w:rPr>
                <w:rFonts w:ascii="Calibri" w:hAnsi="Calibri"/>
                <w:color w:val="333333"/>
                <w:sz w:val="19"/>
              </w:rPr>
              <w:t>SAVI</w:t>
            </w:r>
          </w:p>
        </w:tc>
        <w:tc>
          <w:tcPr>
            <w:tcW w:type="dxa" w:w="2304"/>
            <w:shd w:fill="FFFFFF"/>
            <w:tcMar>
              <w:top w:w="80" w:type="dxa"/>
              <w:bottom w:w="80" w:type="dxa"/>
              <w:left w:w="150" w:type="dxa"/>
              <w:right w:w="150" w:type="dxa"/>
            </w:tcMar>
          </w:tcPr>
          <w:p>
            <w:pPr>
              <w:spacing w:before="0" w:after="0" w:line="276" w:lineRule="auto"/>
              <w:jc w:val="left"/>
            </w:pPr>
            <w:r>
              <w:rPr>
                <w:rFonts w:ascii="Calibri" w:hAnsi="Calibri"/>
                <w:color w:val="333333"/>
                <w:sz w:val="19"/>
              </w:rPr>
              <w:t>Vigour (Corrects soil background)</w:t>
            </w:r>
          </w:p>
        </w:tc>
        <w:tc>
          <w:tcPr>
            <w:tcW w:type="dxa" w:w="2160"/>
            <w:shd w:fill="FFFFFF"/>
            <w:tcMar>
              <w:top w:w="80" w:type="dxa"/>
              <w:bottom w:w="80" w:type="dxa"/>
              <w:left w:w="150" w:type="dxa"/>
              <w:right w:w="150" w:type="dxa"/>
            </w:tcMar>
          </w:tcPr>
          <w:p>
            <w:pPr>
              <w:spacing w:before="0" w:after="0" w:line="276" w:lineRule="auto"/>
              <w:jc w:val="left"/>
            </w:pPr>
            <w:r>
              <w:rPr>
                <w:rFonts w:ascii="Calibri" w:hAnsi="Calibri"/>
                <w:color w:val="333333"/>
                <w:sz w:val="19"/>
              </w:rPr>
              <w:t>B08 (NIR, 10m), B04 (Red, 10m)</w:t>
            </w:r>
          </w:p>
        </w:tc>
        <w:tc>
          <w:tcPr>
            <w:tcW w:type="dxa" w:w="2016"/>
            <w:shd w:fill="FFFFFF"/>
            <w:tcMar>
              <w:top w:w="80" w:type="dxa"/>
              <w:bottom w:w="80" w:type="dxa"/>
              <w:left w:w="150" w:type="dxa"/>
              <w:right w:w="150" w:type="dxa"/>
            </w:tcMar>
          </w:tcPr>
          <w:p>
            <w:pPr>
              <w:spacing w:before="0" w:after="0" w:line="276" w:lineRule="auto"/>
              <w:jc w:val="left"/>
            </w:pPr>
            <w:r>
              <w:rPr>
                <w:rFonts w:ascii="Calibri" w:hAnsi="Calibri"/>
                <w:color w:val="333333"/>
                <w:sz w:val="19"/>
              </w:rPr>
              <w:t>1.5 * (B08 - B04) / (B08 + B04 + 0.5)</w:t>
            </w:r>
          </w:p>
        </w:tc>
        <w:tc>
          <w:tcPr>
            <w:tcW w:type="dxa" w:w="1152"/>
            <w:shd w:fill="FFFFFF"/>
            <w:tcMar>
              <w:top w:w="80" w:type="dxa"/>
              <w:bottom w:w="80" w:type="dxa"/>
              <w:left w:w="150" w:type="dxa"/>
              <w:right w:w="150" w:type="dxa"/>
            </w:tcMar>
          </w:tcPr>
          <w:p>
            <w:pPr>
              <w:spacing w:before="0" w:after="0" w:line="276" w:lineRule="auto"/>
              <w:jc w:val="left"/>
            </w:pPr>
            <w:r>
              <w:rPr>
                <w:rFonts w:ascii="Calibri" w:hAnsi="Calibri"/>
                <w:color w:val="333333"/>
                <w:sz w:val="19"/>
              </w:rPr>
              <w:t>10 m</w:t>
            </w:r>
          </w:p>
        </w:tc>
      </w:tr>
      <w:tr>
        <w:tc>
          <w:tcPr>
            <w:tcW w:type="dxa" w:w="1440"/>
            <w:shd w:fill="F9FBFD"/>
            <w:tcMar>
              <w:top w:w="80" w:type="dxa"/>
              <w:bottom w:w="80" w:type="dxa"/>
              <w:left w:w="150" w:type="dxa"/>
              <w:right w:w="150" w:type="dxa"/>
            </w:tcMar>
          </w:tcPr>
          <w:p>
            <w:pPr>
              <w:spacing w:before="0" w:after="0" w:line="276" w:lineRule="auto"/>
              <w:jc w:val="left"/>
            </w:pPr>
            <w:r>
              <w:rPr>
                <w:rFonts w:ascii="Calibri" w:hAnsi="Calibri"/>
                <w:color w:val="333333"/>
                <w:sz w:val="19"/>
              </w:rPr>
              <w:t>NDRE</w:t>
            </w:r>
          </w:p>
        </w:tc>
        <w:tc>
          <w:tcPr>
            <w:tcW w:type="dxa" w:w="2304"/>
            <w:shd w:fill="F9FBFD"/>
            <w:tcMar>
              <w:top w:w="80" w:type="dxa"/>
              <w:bottom w:w="80" w:type="dxa"/>
              <w:left w:w="150" w:type="dxa"/>
              <w:right w:w="150" w:type="dxa"/>
            </w:tcMar>
          </w:tcPr>
          <w:p>
            <w:pPr>
              <w:spacing w:before="0" w:after="0" w:line="276" w:lineRule="auto"/>
              <w:jc w:val="left"/>
            </w:pPr>
            <w:r>
              <w:rPr>
                <w:rFonts w:ascii="Calibri" w:hAnsi="Calibri"/>
                <w:color w:val="333333"/>
                <w:sz w:val="19"/>
              </w:rPr>
              <w:t>Chlorophyll &amp; Nitrogen status</w:t>
            </w:r>
          </w:p>
        </w:tc>
        <w:tc>
          <w:tcPr>
            <w:tcW w:type="dxa" w:w="2160"/>
            <w:shd w:fill="F9FBFD"/>
            <w:tcMar>
              <w:top w:w="80" w:type="dxa"/>
              <w:bottom w:w="80" w:type="dxa"/>
              <w:left w:w="150" w:type="dxa"/>
              <w:right w:w="150" w:type="dxa"/>
            </w:tcMar>
          </w:tcPr>
          <w:p>
            <w:pPr>
              <w:spacing w:before="0" w:after="0" w:line="276" w:lineRule="auto"/>
              <w:jc w:val="left"/>
            </w:pPr>
            <w:r>
              <w:rPr>
                <w:rFonts w:ascii="Calibri" w:hAnsi="Calibri"/>
                <w:color w:val="333333"/>
                <w:sz w:val="19"/>
              </w:rPr>
              <w:t>B08 (NIR, 10m), B05 (RedEdge, 20m)</w:t>
            </w:r>
          </w:p>
        </w:tc>
        <w:tc>
          <w:tcPr>
            <w:tcW w:type="dxa" w:w="2016"/>
            <w:shd w:fill="F9FBFD"/>
            <w:tcMar>
              <w:top w:w="80" w:type="dxa"/>
              <w:bottom w:w="80" w:type="dxa"/>
              <w:left w:w="150" w:type="dxa"/>
              <w:right w:w="150" w:type="dxa"/>
            </w:tcMar>
          </w:tcPr>
          <w:p>
            <w:pPr>
              <w:spacing w:before="0" w:after="0" w:line="276" w:lineRule="auto"/>
              <w:jc w:val="left"/>
            </w:pPr>
            <w:r>
              <w:rPr>
                <w:rFonts w:ascii="Calibri" w:hAnsi="Calibri"/>
                <w:color w:val="333333"/>
                <w:sz w:val="19"/>
              </w:rPr>
              <w:t>(B08 - B05) / (B08 + B05)</w:t>
            </w:r>
          </w:p>
        </w:tc>
        <w:tc>
          <w:tcPr>
            <w:tcW w:type="dxa" w:w="1152"/>
            <w:shd w:fill="F9FBFD"/>
            <w:tcMar>
              <w:top w:w="80" w:type="dxa"/>
              <w:bottom w:w="80" w:type="dxa"/>
              <w:left w:w="150" w:type="dxa"/>
              <w:right w:w="150" w:type="dxa"/>
            </w:tcMar>
          </w:tcPr>
          <w:p>
            <w:pPr>
              <w:spacing w:before="0" w:after="0" w:line="276" w:lineRule="auto"/>
              <w:jc w:val="left"/>
            </w:pPr>
            <w:r>
              <w:rPr>
                <w:rFonts w:ascii="Calibri" w:hAnsi="Calibri"/>
                <w:color w:val="333333"/>
                <w:sz w:val="19"/>
              </w:rPr>
              <w:t>20 m</w:t>
            </w:r>
          </w:p>
        </w:tc>
      </w:tr>
      <w:tr>
        <w:tc>
          <w:tcPr>
            <w:tcW w:type="dxa" w:w="1440"/>
            <w:shd w:fill="FFFFFF"/>
            <w:tcMar>
              <w:top w:w="80" w:type="dxa"/>
              <w:bottom w:w="80" w:type="dxa"/>
              <w:left w:w="150" w:type="dxa"/>
              <w:right w:w="150" w:type="dxa"/>
            </w:tcMar>
          </w:tcPr>
          <w:p>
            <w:pPr>
              <w:spacing w:before="0" w:after="0" w:line="276" w:lineRule="auto"/>
              <w:jc w:val="left"/>
            </w:pPr>
            <w:r>
              <w:rPr>
                <w:rFonts w:ascii="Calibri" w:hAnsi="Calibri"/>
                <w:color w:val="333333"/>
                <w:sz w:val="19"/>
              </w:rPr>
              <w:t>NDMI</w:t>
            </w:r>
          </w:p>
        </w:tc>
        <w:tc>
          <w:tcPr>
            <w:tcW w:type="dxa" w:w="2304"/>
            <w:shd w:fill="FFFFFF"/>
            <w:tcMar>
              <w:top w:w="80" w:type="dxa"/>
              <w:bottom w:w="80" w:type="dxa"/>
              <w:left w:w="150" w:type="dxa"/>
              <w:right w:w="150" w:type="dxa"/>
            </w:tcMar>
          </w:tcPr>
          <w:p>
            <w:pPr>
              <w:spacing w:before="0" w:after="0" w:line="276" w:lineRule="auto"/>
              <w:jc w:val="left"/>
            </w:pPr>
            <w:r>
              <w:rPr>
                <w:rFonts w:ascii="Calibri" w:hAnsi="Calibri"/>
                <w:color w:val="333333"/>
                <w:sz w:val="19"/>
              </w:rPr>
              <w:t>Canopy Moisture &amp; Water stress</w:t>
            </w:r>
          </w:p>
        </w:tc>
        <w:tc>
          <w:tcPr>
            <w:tcW w:type="dxa" w:w="2160"/>
            <w:shd w:fill="FFFFFF"/>
            <w:tcMar>
              <w:top w:w="80" w:type="dxa"/>
              <w:bottom w:w="80" w:type="dxa"/>
              <w:left w:w="150" w:type="dxa"/>
              <w:right w:w="150" w:type="dxa"/>
            </w:tcMar>
          </w:tcPr>
          <w:p>
            <w:pPr>
              <w:spacing w:before="0" w:after="0" w:line="276" w:lineRule="auto"/>
              <w:jc w:val="left"/>
            </w:pPr>
            <w:r>
              <w:rPr>
                <w:rFonts w:ascii="Calibri" w:hAnsi="Calibri"/>
                <w:color w:val="333333"/>
                <w:sz w:val="19"/>
              </w:rPr>
              <w:t>B08 (NIR, 10m), B11 (SWIR, 20m)</w:t>
            </w:r>
          </w:p>
        </w:tc>
        <w:tc>
          <w:tcPr>
            <w:tcW w:type="dxa" w:w="2016"/>
            <w:shd w:fill="FFFFFF"/>
            <w:tcMar>
              <w:top w:w="80" w:type="dxa"/>
              <w:bottom w:w="80" w:type="dxa"/>
              <w:left w:w="150" w:type="dxa"/>
              <w:right w:w="150" w:type="dxa"/>
            </w:tcMar>
          </w:tcPr>
          <w:p>
            <w:pPr>
              <w:spacing w:before="0" w:after="0" w:line="276" w:lineRule="auto"/>
              <w:jc w:val="left"/>
            </w:pPr>
            <w:r>
              <w:rPr>
                <w:rFonts w:ascii="Calibri" w:hAnsi="Calibri"/>
                <w:color w:val="333333"/>
                <w:sz w:val="19"/>
              </w:rPr>
              <w:t>(B08 - B11) / (B08 + B11)</w:t>
            </w:r>
          </w:p>
        </w:tc>
        <w:tc>
          <w:tcPr>
            <w:tcW w:type="dxa" w:w="1152"/>
            <w:shd w:fill="FFFFFF"/>
            <w:tcMar>
              <w:top w:w="80" w:type="dxa"/>
              <w:bottom w:w="80" w:type="dxa"/>
              <w:left w:w="150" w:type="dxa"/>
              <w:right w:w="150" w:type="dxa"/>
            </w:tcMar>
          </w:tcPr>
          <w:p>
            <w:pPr>
              <w:spacing w:before="0" w:after="0" w:line="276" w:lineRule="auto"/>
              <w:jc w:val="left"/>
            </w:pPr>
            <w:r>
              <w:rPr>
                <w:rFonts w:ascii="Calibri" w:hAnsi="Calibri"/>
                <w:color w:val="333333"/>
                <w:sz w:val="19"/>
              </w:rPr>
              <w:t>20 m</w:t>
            </w:r>
          </w:p>
        </w:tc>
      </w:tr>
    </w:tbl>
    <w:p>
      <w:pPr>
        <w:spacing w:before="0" w:after="120" w:line="276" w:lineRule="auto"/>
      </w:pPr>
    </w:p>
    <w:p>
      <w:pPr>
        <w:keepNext/>
        <w:spacing w:before="240" w:after="80" w:line="276" w:lineRule="auto"/>
      </w:pPr>
      <w:r>
        <w:rPr>
          <w:rFonts w:ascii="Segoe UI" w:hAnsi="Segoe UI"/>
          <w:b/>
          <w:color w:val="008080"/>
          <w:sz w:val="28"/>
        </w:rPr>
        <w:t>Cloud Masking Details</w:t>
      </w:r>
    </w:p>
    <w:p>
      <w:pPr>
        <w:spacing w:before="0" w:after="120" w:line="276" w:lineRule="auto"/>
      </w:pPr>
      <w:r>
        <w:rPr>
          <w:rFonts w:ascii="Calibri" w:hAnsi="Calibri"/>
          <w:b w:val="0"/>
          <w:i w:val="0"/>
          <w:color w:val="333333"/>
          <w:sz w:val="22"/>
        </w:rPr>
        <w:t>Instead of relying on scene-wide cloud cover percentages, cloud is assessed per-field via the Scene Classification Layer (SCL):</w:t>
      </w:r>
    </w:p>
    <w:p>
      <w:pPr>
        <w:pStyle w:val="ListBullet"/>
        <w:spacing w:before="0" w:after="60" w:line="276" w:lineRule="auto"/>
        <w:ind w:left="360"/>
      </w:pPr>
      <w:r>
        <w:rPr>
          <w:rFonts w:ascii="Calibri" w:hAnsi="Calibri"/>
          <w:color w:val="333333"/>
          <w:sz w:val="22"/>
        </w:rPr>
        <w:t xml:space="preserve"> Clear Classes: Vegetation (4), Not Vegetated/Soil (5), Water (6), Unclassified (7). These classes are retained as valid surface observations.</w:t>
      </w:r>
    </w:p>
    <w:p>
      <w:pPr>
        <w:pStyle w:val="ListBullet"/>
        <w:spacing w:before="0" w:after="60" w:line="276" w:lineRule="auto"/>
        <w:ind w:left="360"/>
      </w:pPr>
      <w:r>
        <w:rPr>
          <w:rFonts w:ascii="Calibri" w:hAnsi="Calibri"/>
          <w:color w:val="333333"/>
          <w:sz w:val="22"/>
        </w:rPr>
        <w:t xml:space="preserve"> Masked Classes: No Data (0), Saturated/Defective (1), Dark Area/Terrain Shadow (2), Cloud Shadows (3), Cloud Medium Probability (8), Cloud High Probability (9), Thin Cirrus (10), Snow (11). These are masked and replaced with NaN.</w:t>
      </w:r>
    </w:p>
    <w:p>
      <w:pPr>
        <w:pStyle w:val="ListBullet"/>
        <w:spacing w:before="0" w:after="60" w:line="276" w:lineRule="auto"/>
        <w:ind w:left="360"/>
      </w:pPr>
      <w:r>
        <w:rPr>
          <w:rFonts w:ascii="Calibri" w:hAnsi="Calibri"/>
          <w:color w:val="333333"/>
          <w:sz w:val="22"/>
        </w:rPr>
        <w:t xml:space="preserve"> The clear-pixel fraction is the percentage of field pixels classified as a clear class. At or above 0.8, the observation is solid; between 0.5 and 0.8 it is partial; below 0.5 it is considered low-confidence and flagged for the agronomist.</w:t>
      </w:r>
    </w:p>
    <w:p>
      <w:r>
        <w:br w:type="page"/>
      </w:r>
    </w:p>
    <w:p>
      <w:pPr>
        <w:keepNext/>
        <w:spacing w:before="360" w:after="120" w:line="276" w:lineRule="auto"/>
      </w:pPr>
      <w:r>
        <w:rPr>
          <w:rFonts w:ascii="Segoe UI" w:hAnsi="Segoe UI"/>
          <w:b/>
          <w:color w:val="1B365D"/>
          <w:sz w:val="36"/>
        </w:rPr>
        <w:t>8. Weather Grounding &amp; Agronomic Interpretation</w:t>
      </w:r>
    </w:p>
    <w:p>
      <w:pPr>
        <w:spacing w:before="0" w:after="120" w:line="276" w:lineRule="auto"/>
      </w:pPr>
      <w:r>
        <w:rPr>
          <w:rFonts w:ascii="Calibri" w:hAnsi="Calibri"/>
          <w:b w:val="0"/>
          <w:i w:val="0"/>
          <w:color w:val="333333"/>
          <w:sz w:val="22"/>
        </w:rPr>
        <w:t>remote-sense correlates vegetation indices with weather and activity data to context-ground LLM-generated field interpretations, preventing index-only hallucinations.</w:t>
      </w:r>
    </w:p>
    <w:p>
      <w:pPr>
        <w:keepNext/>
        <w:spacing w:before="240" w:after="80" w:line="276" w:lineRule="auto"/>
      </w:pPr>
      <w:r>
        <w:rPr>
          <w:rFonts w:ascii="Segoe UI" w:hAnsi="Segoe UI"/>
          <w:b/>
          <w:color w:val="008080"/>
          <w:sz w:val="28"/>
        </w:rPr>
        <w:t>Agronomic Weather Math</w:t>
      </w:r>
    </w:p>
    <w:p>
      <w:pPr>
        <w:spacing w:before="0" w:after="120" w:line="276" w:lineRule="auto"/>
      </w:pPr>
      <w:r>
        <w:rPr>
          <w:rFonts w:ascii="Calibri" w:hAnsi="Calibri"/>
          <w:b w:val="0"/>
          <w:i w:val="0"/>
          <w:color w:val="333333"/>
          <w:sz w:val="22"/>
        </w:rPr>
        <w:t>Weather details are queried from Open-Meteo using centroid lat/lon coordinates:</w:t>
      </w:r>
    </w:p>
    <w:p>
      <w:pPr>
        <w:pStyle w:val="ListBullet"/>
        <w:spacing w:before="0" w:after="60" w:line="276" w:lineRule="auto"/>
        <w:ind w:left="360"/>
      </w:pPr>
      <w:r>
        <w:rPr>
          <w:rFonts w:ascii="Calibri" w:hAnsi="Calibri"/>
          <w:b/>
          <w:color w:val="333333"/>
          <w:sz w:val="22"/>
        </w:rPr>
        <w:t>Growing Degree Days (GDD):</w:t>
      </w:r>
      <w:r>
        <w:rPr>
          <w:rFonts w:ascii="Calibri" w:hAnsi="Calibri"/>
          <w:color w:val="333333"/>
          <w:sz w:val="22"/>
        </w:rPr>
        <w:t xml:space="preserve"> Cumulative GDD tracks crop heat accumulation. Tmin and Tmax are clamped to Tupper to prevent heat stress from faking growth progress.</w:t>
      </w:r>
    </w:p>
    <w:p>
      <w:pPr>
        <w:spacing w:before="0" w:after="120" w:line="276" w:lineRule="auto"/>
      </w:pPr>
      <w:r>
        <w:rPr>
          <w:rFonts w:ascii="Calibri" w:hAnsi="Calibri"/>
          <w:b w:val="0"/>
          <w:i/>
          <w:color w:val="333333"/>
          <w:sz w:val="22"/>
        </w:rPr>
        <w:t>Formula: GDD = max(0, ((min(Tmin, Tupper) + min(Tmax, Tupper)) / 2) - Tbase). (Maize defaults: Tbase=10 C, Tupper=30 C).</w:t>
      </w:r>
    </w:p>
    <w:p>
      <w:pPr>
        <w:pStyle w:val="ListBullet"/>
        <w:spacing w:before="0" w:after="60" w:line="276" w:lineRule="auto"/>
        <w:ind w:left="360"/>
      </w:pPr>
      <w:r>
        <w:rPr>
          <w:rFonts w:ascii="Calibri" w:hAnsi="Calibri"/>
          <w:b/>
          <w:color w:val="333333"/>
          <w:sz w:val="22"/>
        </w:rPr>
        <w:t>Hargreaves ET0 (FAO-56):</w:t>
      </w:r>
      <w:r>
        <w:rPr>
          <w:rFonts w:ascii="Calibri" w:hAnsi="Calibri"/>
          <w:color w:val="333333"/>
          <w:sz w:val="22"/>
        </w:rPr>
        <w:t xml:space="preserve"> Reference evapotranspiration (water loss) computed via the Hargreaves equation, which requires only Tmin and Tmax, plus day of year and latitude for extraterrestrial solar radiation (Ra).</w:t>
      </w:r>
    </w:p>
    <w:p>
      <w:pPr>
        <w:spacing w:before="0" w:after="120" w:line="276" w:lineRule="auto"/>
      </w:pPr>
      <w:r>
        <w:rPr>
          <w:rFonts w:ascii="Calibri" w:hAnsi="Calibri"/>
          <w:b w:val="0"/>
          <w:i/>
          <w:color w:val="333333"/>
          <w:sz w:val="22"/>
        </w:rPr>
        <w:t>Formula: ET0 = 0.0023 * (Tmean + 17.8) * sqrt(Tmax - Tmin) * Ra * 0.408 (converting MJ to mm).</w:t>
      </w:r>
    </w:p>
    <w:p>
      <w:pPr>
        <w:pStyle w:val="ListBullet"/>
        <w:spacing w:before="0" w:after="60" w:line="276" w:lineRule="auto"/>
        <w:ind w:left="360"/>
      </w:pPr>
      <w:r>
        <w:rPr>
          <w:rFonts w:ascii="Calibri" w:hAnsi="Calibri"/>
          <w:b/>
          <w:color w:val="333333"/>
          <w:sz w:val="22"/>
        </w:rPr>
        <w:t>Rainfall Accumulation:</w:t>
      </w:r>
      <w:r>
        <w:rPr>
          <w:rFonts w:ascii="Calibri" w:hAnsi="Calibri"/>
          <w:color w:val="333333"/>
          <w:sz w:val="22"/>
        </w:rPr>
        <w:t xml:space="preserve"> Rain accumulation over a 14-day window is computed to assess moisture deficit.</w:t>
      </w:r>
    </w:p>
    <w:p>
      <w:pPr>
        <w:keepNext/>
        <w:spacing w:before="240" w:after="80" w:line="276" w:lineRule="auto"/>
      </w:pPr>
      <w:r>
        <w:rPr>
          <w:rFonts w:ascii="Segoe UI" w:hAnsi="Segoe UI"/>
          <w:b/>
          <w:color w:val="008080"/>
          <w:sz w:val="28"/>
        </w:rPr>
        <w:t>Grounded Interpretation Process</w:t>
      </w:r>
    </w:p>
    <w:p>
      <w:pPr>
        <w:spacing w:before="0" w:after="120" w:line="276" w:lineRule="auto"/>
      </w:pPr>
      <w:r>
        <w:rPr>
          <w:rFonts w:ascii="Calibri" w:hAnsi="Calibri"/>
          <w:b w:val="0"/>
          <w:i w:val="0"/>
          <w:color w:val="333333"/>
          <w:sz w:val="22"/>
        </w:rPr>
        <w:t>To create a draft interpretation:</w:t>
      </w:r>
    </w:p>
    <w:p>
      <w:pPr>
        <w:pStyle w:val="ListBullet"/>
        <w:spacing w:before="0" w:after="60" w:line="276" w:lineRule="auto"/>
        <w:ind w:left="360"/>
      </w:pPr>
      <w:r>
        <w:rPr>
          <w:rFonts w:ascii="Calibri" w:hAnsi="Calibri"/>
          <w:color w:val="333333"/>
          <w:sz w:val="22"/>
        </w:rPr>
        <w:t xml:space="preserve"> Query the WeatherPort for the 14 days preceding the satellite pass date (extracting GDD and precipitation).</w:t>
      </w:r>
    </w:p>
    <w:p>
      <w:pPr>
        <w:pStyle w:val="ListBullet"/>
        <w:spacing w:before="0" w:after="60" w:line="276" w:lineRule="auto"/>
        <w:ind w:left="360"/>
      </w:pPr>
      <w:r>
        <w:rPr>
          <w:rFonts w:ascii="Calibri" w:hAnsi="Calibri"/>
          <w:color w:val="333333"/>
          <w:sz w:val="22"/>
        </w:rPr>
        <w:t xml:space="preserve"> Query the ActivityLogPort for the 30 days preceding the pass date (identifying irrigation, fertilization, planting, etc.).</w:t>
      </w:r>
    </w:p>
    <w:p>
      <w:pPr>
        <w:pStyle w:val="ListBullet"/>
        <w:spacing w:before="0" w:after="60" w:line="276" w:lineRule="auto"/>
        <w:ind w:left="360"/>
      </w:pPr>
      <w:r>
        <w:rPr>
          <w:rFonts w:ascii="Calibri" w:hAnsi="Calibri"/>
          <w:color w:val="333333"/>
          <w:sz w:val="22"/>
        </w:rPr>
        <w:t xml:space="preserve"> Compile this data alongside zonal stats into an Evidence model.</w:t>
      </w:r>
    </w:p>
    <w:p>
      <w:pPr>
        <w:pStyle w:val="ListBullet"/>
        <w:spacing w:before="0" w:after="60" w:line="276" w:lineRule="auto"/>
        <w:ind w:left="360"/>
      </w:pPr>
      <w:r>
        <w:rPr>
          <w:rFonts w:ascii="Calibri" w:hAnsi="Calibri"/>
          <w:color w:val="333333"/>
          <w:sz w:val="22"/>
        </w:rPr>
        <w:t xml:space="preserve"> Inject the Evidence into the Claude System Prompt (version interp/v2), which details crop-specific expectations for Maize, Cotton, Tobacco, and Sorghum in Zimbabwe.</w:t>
      </w:r>
    </w:p>
    <w:p>
      <w:pPr>
        <w:pStyle w:val="ListBullet"/>
        <w:spacing w:before="0" w:after="60" w:line="276" w:lineRule="auto"/>
        <w:ind w:left="360"/>
      </w:pPr>
      <w:r>
        <w:rPr>
          <w:rFonts w:ascii="Calibri" w:hAnsi="Calibri"/>
          <w:color w:val="333333"/>
          <w:sz w:val="22"/>
        </w:rPr>
        <w:t xml:space="preserve"> Persist the resulting narrative draft, GDD, rainfall, and activities in the Interpretation table for auditability and verification.</w:t>
      </w:r>
    </w:p>
    <w:p>
      <w:r>
        <w:br w:type="page"/>
      </w:r>
    </w:p>
    <w:p>
      <w:pPr>
        <w:keepNext/>
        <w:spacing w:before="360" w:after="120" w:line="276" w:lineRule="auto"/>
      </w:pPr>
      <w:r>
        <w:rPr>
          <w:rFonts w:ascii="Segoe UI" w:hAnsi="Segoe UI"/>
          <w:b/>
          <w:color w:val="1B365D"/>
          <w:sz w:val="36"/>
        </w:rPr>
        <w:t>9. Workspace BFF &amp; Map Tile Server</w:t>
      </w:r>
    </w:p>
    <w:p>
      <w:pPr>
        <w:spacing w:before="0" w:after="120" w:line="276" w:lineRule="auto"/>
      </w:pPr>
      <w:r>
        <w:rPr>
          <w:rFonts w:ascii="Calibri" w:hAnsi="Calibri"/>
          <w:b w:val="0"/>
          <w:i w:val="0"/>
          <w:color w:val="333333"/>
          <w:sz w:val="22"/>
        </w:rPr>
        <w:t>The Backend-For-Frontend (BFF) is implemented in services/api/workspace.py, exposing secure endpoints for the React workspace, while Nginx routing manages static tiles.</w:t>
      </w:r>
    </w:p>
    <w:p>
      <w:pPr>
        <w:keepNext/>
        <w:spacing w:before="240" w:after="80" w:line="276" w:lineRule="auto"/>
      </w:pPr>
      <w:r>
        <w:rPr>
          <w:rFonts w:ascii="Segoe UI" w:hAnsi="Segoe UI"/>
          <w:b/>
          <w:color w:val="008080"/>
          <w:sz w:val="28"/>
        </w:rPr>
        <w:t>BFF Endpoints &amp; RBAC Security</w:t>
      </w:r>
    </w:p>
    <w:p>
      <w:pPr>
        <w:spacing w:before="0" w:after="120" w:line="276" w:lineRule="auto"/>
      </w:pPr>
      <w:r>
        <w:rPr>
          <w:rFonts w:ascii="Calibri" w:hAnsi="Calibri"/>
          <w:b w:val="0"/>
          <w:i w:val="0"/>
          <w:color w:val="333333"/>
          <w:sz w:val="22"/>
        </w:rPr>
        <w:t>The BFF enforces JWT verification using a shared secret (RS_JWT_SECRET). User actions are authorized via four security roles:</w:t>
      </w:r>
    </w:p>
    <w:p>
      <w:pPr>
        <w:pStyle w:val="ListBullet"/>
        <w:spacing w:before="0" w:after="60" w:line="276" w:lineRule="auto"/>
        <w:ind w:left="360"/>
      </w:pPr>
      <w:r>
        <w:rPr>
          <w:rFonts w:ascii="Calibri" w:hAnsi="Calibri"/>
          <w:b/>
          <w:color w:val="333333"/>
          <w:sz w:val="22"/>
        </w:rPr>
        <w:t>viewer:</w:t>
      </w:r>
      <w:r>
        <w:rPr>
          <w:rFonts w:ascii="Calibri" w:hAnsi="Calibri"/>
          <w:color w:val="333333"/>
          <w:sz w:val="22"/>
        </w:rPr>
        <w:t xml:space="preserve"> View all farms, fields, indices, and interpretations.</w:t>
      </w:r>
    </w:p>
    <w:p>
      <w:pPr>
        <w:pStyle w:val="ListBullet"/>
        <w:spacing w:before="0" w:after="60" w:line="276" w:lineRule="auto"/>
        <w:ind w:left="360"/>
      </w:pPr>
      <w:r>
        <w:rPr>
          <w:rFonts w:ascii="Calibri" w:hAnsi="Calibri"/>
          <w:b/>
          <w:color w:val="333333"/>
          <w:sz w:val="22"/>
        </w:rPr>
        <w:t>analyst:</w:t>
      </w:r>
      <w:r>
        <w:rPr>
          <w:rFonts w:ascii="Calibri" w:hAnsi="Calibri"/>
          <w:color w:val="333333"/>
          <w:sz w:val="22"/>
        </w:rPr>
        <w:t xml:space="preserve"> Viewer permissions, plus the ability to write field notes (annotations).</w:t>
      </w:r>
    </w:p>
    <w:p>
      <w:pPr>
        <w:pStyle w:val="ListBullet"/>
        <w:spacing w:before="0" w:after="60" w:line="276" w:lineRule="auto"/>
        <w:ind w:left="360"/>
      </w:pPr>
      <w:r>
        <w:rPr>
          <w:rFonts w:ascii="Calibri" w:hAnsi="Calibri"/>
          <w:b/>
          <w:color w:val="333333"/>
          <w:sz w:val="22"/>
        </w:rPr>
        <w:t>publisher:</w:t>
      </w:r>
      <w:r>
        <w:rPr>
          <w:rFonts w:ascii="Calibri" w:hAnsi="Calibri"/>
          <w:color w:val="333333"/>
          <w:sz w:val="22"/>
        </w:rPr>
        <w:t xml:space="preserve"> Analyst permissions, plus the ability to edit and approve (publish) draft interpretations.</w:t>
      </w:r>
    </w:p>
    <w:p>
      <w:pPr>
        <w:pStyle w:val="ListBullet"/>
        <w:spacing w:before="0" w:after="60" w:line="276" w:lineRule="auto"/>
        <w:ind w:left="360"/>
      </w:pPr>
      <w:r>
        <w:rPr>
          <w:rFonts w:ascii="Calibri" w:hAnsi="Calibri"/>
          <w:b/>
          <w:color w:val="333333"/>
          <w:sz w:val="22"/>
        </w:rPr>
        <w:t>admin:</w:t>
      </w:r>
      <w:r>
        <w:rPr>
          <w:rFonts w:ascii="Calibri" w:hAnsi="Calibri"/>
          <w:color w:val="333333"/>
          <w:sz w:val="22"/>
        </w:rPr>
        <w:t xml:space="preserve"> Full access, including triggering manual collections and managing partitions.</w:t>
      </w:r>
    </w:p>
    <w:p>
      <w:pPr>
        <w:keepNext/>
        <w:spacing w:before="240" w:after="80" w:line="276" w:lineRule="auto"/>
      </w:pPr>
      <w:r>
        <w:rPr>
          <w:rFonts w:ascii="Segoe UI" w:hAnsi="Segoe UI"/>
          <w:b/>
          <w:color w:val="008080"/>
          <w:sz w:val="28"/>
        </w:rPr>
        <w:t>Map Tile Server (rio-tiler)</w:t>
      </w:r>
    </w:p>
    <w:p>
      <w:pPr>
        <w:spacing w:before="0" w:after="120" w:line="276" w:lineRule="auto"/>
      </w:pPr>
      <w:r>
        <w:rPr>
          <w:rFonts w:ascii="Calibri" w:hAnsi="Calibri"/>
          <w:b w:val="0"/>
          <w:i w:val="0"/>
          <w:color w:val="333333"/>
          <w:sz w:val="22"/>
        </w:rPr>
        <w:t>Instead of on-the-fly raster calculations, the map workspace uses a pre-computed tile pipeline:</w:t>
      </w:r>
    </w:p>
    <w:p>
      <w:pPr>
        <w:pStyle w:val="ListBullet"/>
        <w:spacing w:before="0" w:after="60" w:line="276" w:lineRule="auto"/>
        <w:ind w:left="360"/>
      </w:pPr>
      <w:r>
        <w:rPr>
          <w:rFonts w:ascii="Calibri" w:hAnsi="Calibri"/>
          <w:color w:val="333333"/>
          <w:sz w:val="22"/>
        </w:rPr>
        <w:t xml:space="preserve"> The worker saves computed index rasters to MinIO as Cloud-Optimized GeoTIFFs (COGs).</w:t>
      </w:r>
    </w:p>
    <w:p>
      <w:pPr>
        <w:pStyle w:val="ListBullet"/>
        <w:spacing w:before="0" w:after="60" w:line="276" w:lineRule="auto"/>
        <w:ind w:left="360"/>
      </w:pPr>
      <w:r>
        <w:rPr>
          <w:rFonts w:ascii="Calibri" w:hAnsi="Calibri"/>
          <w:color w:val="333333"/>
          <w:sz w:val="22"/>
        </w:rPr>
        <w:t xml:space="preserve"> The services/tiler service (FastAPI + rio-tiler) reads these COGs and renders colorized PNG tiles on demand: GET /tiles/{index}/{geometry_version}/{field_id}/{scene_id}/{z}/{x}/{y}.png.</w:t>
      </w:r>
    </w:p>
    <w:p>
      <w:pPr>
        <w:pStyle w:val="ListBullet"/>
        <w:spacing w:before="0" w:after="60" w:line="276" w:lineRule="auto"/>
        <w:ind w:left="360"/>
      </w:pPr>
      <w:r>
        <w:rPr>
          <w:rFonts w:ascii="Calibri" w:hAnsi="Calibri"/>
          <w:color w:val="333333"/>
          <w:sz w:val="22"/>
        </w:rPr>
        <w:t xml:space="preserve"> Nginx routes tile requests directly to the tiler service, while caching static resources to minimize server load.</w:t>
      </w:r>
    </w:p>
    <w:p>
      <w:r>
        <w:br w:type="page"/>
      </w:r>
    </w:p>
    <w:p>
      <w:pPr>
        <w:keepNext/>
        <w:spacing w:before="360" w:after="120" w:line="276" w:lineRule="auto"/>
      </w:pPr>
      <w:r>
        <w:rPr>
          <w:rFonts w:ascii="Segoe UI" w:hAnsi="Segoe UI"/>
          <w:b/>
          <w:color w:val="1B365D"/>
          <w:sz w:val="36"/>
        </w:rPr>
        <w:t>10. Outbound Sync &amp; Gateway Integration</w:t>
      </w:r>
    </w:p>
    <w:p>
      <w:pPr>
        <w:spacing w:before="0" w:after="120" w:line="276" w:lineRule="auto"/>
      </w:pPr>
      <w:r>
        <w:rPr>
          <w:rFonts w:ascii="Calibri" w:hAnsi="Calibri"/>
          <w:b w:val="0"/>
          <w:i w:val="0"/>
          <w:color w:val="333333"/>
          <w:sz w:val="22"/>
        </w:rPr>
        <w:t>remote-sense communicates results back to the AgriTrack gateway asynchronously, prioritizing robustness and data integrity.</w:t>
      </w:r>
    </w:p>
    <w:p>
      <w:pPr>
        <w:keepNext/>
        <w:spacing w:before="240" w:after="80" w:line="276" w:lineRule="auto"/>
      </w:pPr>
      <w:r>
        <w:rPr>
          <w:rFonts w:ascii="Segoe UI" w:hAnsi="Segoe UI"/>
          <w:b/>
          <w:color w:val="008080"/>
          <w:sz w:val="28"/>
        </w:rPr>
        <w:t>The Gateway Push/Pull Contract</w:t>
      </w:r>
    </w:p>
    <w:p>
      <w:pPr>
        <w:spacing w:before="0" w:after="120" w:line="276" w:lineRule="auto"/>
      </w:pPr>
      <w:r>
        <w:rPr>
          <w:rFonts w:ascii="Calibri" w:hAnsi="Calibri"/>
          <w:b w:val="0"/>
          <w:i w:val="0"/>
          <w:color w:val="333333"/>
          <w:sz w:val="22"/>
        </w:rPr>
        <w:t>Data exchange is strictly geometry-free and additive, using unique idempotency keys:</w:t>
      </w:r>
    </w:p>
    <w:p>
      <w:pPr>
        <w:pStyle w:val="ListBullet"/>
        <w:spacing w:before="0" w:after="60" w:line="276" w:lineRule="auto"/>
        <w:ind w:left="360"/>
      </w:pPr>
      <w:r>
        <w:rPr>
          <w:rFonts w:ascii="Calibri" w:hAnsi="Calibri"/>
          <w:b/>
          <w:color w:val="333333"/>
          <w:sz w:val="22"/>
        </w:rPr>
        <w:t>Push Flow:</w:t>
      </w:r>
      <w:r>
        <w:rPr>
          <w:rFonts w:ascii="Calibri" w:hAnsi="Calibri"/>
          <w:color w:val="333333"/>
          <w:sz w:val="22"/>
        </w:rPr>
        <w:t xml:space="preserve"> remote-sense sends HTTP POST requests with a payload consisting of SatelliteResults and PublishedNarratives, authenticated via a shared API key (X-Api-Key).</w:t>
      </w:r>
    </w:p>
    <w:p>
      <w:pPr>
        <w:pStyle w:val="ListBullet"/>
        <w:spacing w:before="0" w:after="60" w:line="276" w:lineRule="auto"/>
        <w:ind w:left="360"/>
      </w:pPr>
      <w:r>
        <w:rPr>
          <w:rFonts w:ascii="Calibri" w:hAnsi="Calibri"/>
          <w:b/>
          <w:color w:val="333333"/>
          <w:sz w:val="22"/>
        </w:rPr>
        <w:t>Pull Flow:</w:t>
      </w:r>
      <w:r>
        <w:rPr>
          <w:rFonts w:ascii="Calibri" w:hAnsi="Calibri"/>
          <w:color w:val="333333"/>
          <w:sz w:val="22"/>
        </w:rPr>
        <w:t xml:space="preserve"> AgriTrack pulls from GET /api/v1/mobile/data to reconcile any missing pushes, consuming the same payload model to prevent mismatches.</w:t>
      </w:r>
    </w:p>
    <w:p>
      <w:pPr>
        <w:pStyle w:val="ListBullet"/>
        <w:spacing w:before="0" w:after="60" w:line="276" w:lineRule="auto"/>
        <w:ind w:left="360"/>
      </w:pPr>
      <w:r>
        <w:rPr>
          <w:rFonts w:ascii="Calibri" w:hAnsi="Calibri"/>
          <w:b/>
          <w:color w:val="333333"/>
          <w:sz w:val="22"/>
        </w:rPr>
        <w:t>Identity Join:</w:t>
      </w:r>
      <w:r>
        <w:rPr>
          <w:rFonts w:ascii="Calibri" w:hAnsi="Calibri"/>
          <w:color w:val="333333"/>
          <w:sz w:val="22"/>
        </w:rPr>
        <w:t xml:space="preserve"> Fields and sub-plots are treated as independent fields. Plots are mapped to canonical_field_ids using decimal notation (e.g., plot '1' under field '4' is mapped to canonical ID '4.1').</w:t>
      </w:r>
    </w:p>
    <w:p>
      <w:pPr>
        <w:pStyle w:val="ListBullet"/>
        <w:spacing w:before="0" w:after="60" w:line="276" w:lineRule="auto"/>
        <w:ind w:left="360"/>
      </w:pPr>
      <w:r>
        <w:rPr>
          <w:rFonts w:ascii="Calibri" w:hAnsi="Calibri"/>
          <w:b/>
          <w:color w:val="333333"/>
          <w:sz w:val="22"/>
        </w:rPr>
        <w:t>Metric Mapping:</w:t>
      </w:r>
      <w:r>
        <w:rPr>
          <w:rFonts w:ascii="Calibri" w:hAnsi="Calibri"/>
          <w:color w:val="333333"/>
          <w:sz w:val="22"/>
        </w:rPr>
        <w:t xml:space="preserve"> Calculations are mapped as: ndvi_* from NDVI, ndwi_mean from NDMI (moisture index), and cloud_cover_pct from (1 - clear_fraction) * 100.</w:t>
      </w:r>
    </w:p>
    <w:p>
      <w:pPr>
        <w:keepNext/>
        <w:spacing w:before="240" w:after="80" w:line="276" w:lineRule="auto"/>
      </w:pPr>
      <w:r>
        <w:rPr>
          <w:rFonts w:ascii="Segoe UI" w:hAnsi="Segoe UI"/>
          <w:b/>
          <w:color w:val="008080"/>
          <w:sz w:val="28"/>
        </w:rPr>
        <w:t>Resilience &amp; Dead-Letter Handling</w:t>
      </w:r>
    </w:p>
    <w:p>
      <w:pPr>
        <w:spacing w:before="0" w:after="120" w:line="276" w:lineRule="auto"/>
      </w:pPr>
      <w:r>
        <w:rPr>
          <w:rFonts w:ascii="Calibri" w:hAnsi="Calibri"/>
          <w:b w:val="0"/>
          <w:i w:val="0"/>
          <w:color w:val="333333"/>
          <w:sz w:val="22"/>
        </w:rPr>
        <w:t>To prevent failures in the push queue from blocking tasks, the outbound adapter (rs_sync) implements resilience patterns:</w:t>
      </w:r>
    </w:p>
    <w:p>
      <w:pPr>
        <w:pStyle w:val="ListBullet"/>
        <w:spacing w:before="0" w:after="60" w:line="276" w:lineRule="auto"/>
        <w:ind w:left="360"/>
      </w:pPr>
      <w:r>
        <w:rPr>
          <w:rFonts w:ascii="Calibri" w:hAnsi="Calibri"/>
          <w:color w:val="333333"/>
          <w:sz w:val="22"/>
        </w:rPr>
        <w:t xml:space="preserve"> Retries transient network issues and HTTP 429/5xx status codes using exponential backoff with jitter.</w:t>
      </w:r>
    </w:p>
    <w:p>
      <w:pPr>
        <w:pStyle w:val="ListBullet"/>
        <w:spacing w:before="0" w:after="60" w:line="276" w:lineRule="auto"/>
        <w:ind w:left="360"/>
      </w:pPr>
      <w:r>
        <w:rPr>
          <w:rFonts w:ascii="Calibri" w:hAnsi="Calibri"/>
          <w:color w:val="333333"/>
          <w:sz w:val="22"/>
        </w:rPr>
        <w:t xml:space="preserve"> Permanent errors (e.g., HTTP 401, 404, or invalid JSON payload) fail fast to avoid unnecessary retries.</w:t>
      </w:r>
    </w:p>
    <w:p>
      <w:pPr>
        <w:pStyle w:val="ListBullet"/>
        <w:spacing w:before="0" w:after="60" w:line="276" w:lineRule="auto"/>
        <w:ind w:left="360"/>
      </w:pPr>
      <w:r>
        <w:rPr>
          <w:rFonts w:ascii="Calibri" w:hAnsi="Calibri"/>
          <w:color w:val="333333"/>
          <w:sz w:val="22"/>
        </w:rPr>
        <w:t xml:space="preserve"> Unpushed or failed items are written to the SyncOutbox database ledger as dead_letter. The record stores the HTTP error code and a snippet of the response body for troubleshooting.</w:t>
      </w:r>
    </w:p>
    <w:p>
      <w:r>
        <w:br w:type="page"/>
      </w:r>
    </w:p>
    <w:p>
      <w:pPr>
        <w:keepNext/>
        <w:spacing w:before="360" w:after="120" w:line="276" w:lineRule="auto"/>
      </w:pPr>
      <w:r>
        <w:rPr>
          <w:rFonts w:ascii="Segoe UI" w:hAnsi="Segoe UI"/>
          <w:b/>
          <w:color w:val="1B365D"/>
          <w:sz w:val="36"/>
        </w:rPr>
        <w:t>11. Quickstart, Build &amp; Deployment</w:t>
      </w:r>
    </w:p>
    <w:p>
      <w:pPr>
        <w:spacing w:before="0" w:after="120" w:line="276" w:lineRule="auto"/>
      </w:pPr>
      <w:r>
        <w:rPr>
          <w:rFonts w:ascii="Calibri" w:hAnsi="Calibri"/>
          <w:b w:val="0"/>
          <w:i w:val="0"/>
          <w:color w:val="333333"/>
          <w:sz w:val="22"/>
        </w:rPr>
        <w:t>The monorepo builds each service selectively via Docker Compose, utilizing Docker build arguments to keep production image sizes minimal.</w:t>
      </w:r>
    </w:p>
    <w:p>
      <w:pPr>
        <w:keepNext/>
        <w:spacing w:before="240" w:after="80" w:line="276" w:lineRule="auto"/>
      </w:pPr>
      <w:r>
        <w:rPr>
          <w:rFonts w:ascii="Segoe UI" w:hAnsi="Segoe UI"/>
          <w:b/>
          <w:color w:val="008080"/>
          <w:sz w:val="28"/>
        </w:rPr>
        <w:t>Container Build Optimization</w:t>
      </w:r>
    </w:p>
    <w:p>
      <w:pPr>
        <w:spacing w:before="0" w:after="120" w:line="276" w:lineRule="auto"/>
      </w:pPr>
      <w:r>
        <w:rPr>
          <w:rFonts w:ascii="Calibri" w:hAnsi="Calibri"/>
          <w:b w:val="0"/>
          <w:i w:val="0"/>
          <w:color w:val="333333"/>
          <w:sz w:val="22"/>
        </w:rPr>
        <w:t>Because raster libraries (rasterio, rio-tiler) depend on C++ GDAL bindings, they require larger images and compilers. remote-sense packages these dependencies into modular installation 'extras' within pyproject.toml:</w:t>
      </w:r>
    </w:p>
    <w:p>
      <w:pPr>
        <w:pStyle w:val="ListBullet"/>
        <w:spacing w:before="0" w:after="60" w:line="276" w:lineRule="auto"/>
        <w:ind w:left="360"/>
      </w:pPr>
      <w:r>
        <w:rPr>
          <w:rFonts w:ascii="Calibri" w:hAnsi="Calibri"/>
          <w:b/>
          <w:color w:val="333333"/>
          <w:sz w:val="22"/>
        </w:rPr>
        <w:t>services/worker &amp; services/tiler:</w:t>
      </w:r>
      <w:r>
        <w:rPr>
          <w:rFonts w:ascii="Calibri" w:hAnsi="Calibri"/>
          <w:color w:val="333333"/>
          <w:sz w:val="22"/>
        </w:rPr>
        <w:t xml:space="preserve"> Built with the [geo] and [storage] extras, installing GDAL, rasterio, rio-tiler, and boto3. It executes the geospatial processing and exports index COGs.</w:t>
      </w:r>
    </w:p>
    <w:p>
      <w:pPr>
        <w:pStyle w:val="ListBullet"/>
        <w:spacing w:before="0" w:after="60" w:line="276" w:lineRule="auto"/>
        <w:ind w:left="360"/>
      </w:pPr>
      <w:r>
        <w:rPr>
          <w:rFonts w:ascii="Calibri" w:hAnsi="Calibri"/>
          <w:b/>
          <w:color w:val="333333"/>
          <w:sz w:val="22"/>
        </w:rPr>
        <w:t>services/api:</w:t>
      </w:r>
      <w:r>
        <w:rPr>
          <w:rFonts w:ascii="Calibri" w:hAnsi="Calibri"/>
          <w:color w:val="333333"/>
          <w:sz w:val="22"/>
        </w:rPr>
        <w:t xml:space="preserve"> Built without geospatial extras, keeping the container image lightweight and fast to deploy.</w:t>
      </w:r>
    </w:p>
    <w:p>
      <w:pPr>
        <w:keepNext/>
        <w:spacing w:before="240" w:after="80" w:line="276" w:lineRule="auto"/>
      </w:pPr>
      <w:r>
        <w:rPr>
          <w:rFonts w:ascii="Segoe UI" w:hAnsi="Segoe UI"/>
          <w:b/>
          <w:color w:val="008080"/>
          <w:sz w:val="28"/>
        </w:rPr>
        <w:t>Local Orchestration (start.py)</w:t>
      </w:r>
    </w:p>
    <w:p>
      <w:pPr>
        <w:spacing w:before="0" w:after="120" w:line="276" w:lineRule="auto"/>
      </w:pPr>
      <w:r>
        <w:rPr>
          <w:rFonts w:ascii="Calibri" w:hAnsi="Calibri"/>
          <w:b w:val="0"/>
          <w:i w:val="0"/>
          <w:color w:val="333333"/>
          <w:sz w:val="22"/>
        </w:rPr>
        <w:t>A local start.py script automates the development setup:</w:t>
      </w:r>
    </w:p>
    <w:p>
      <w:pPr>
        <w:pStyle w:val="ListBullet"/>
        <w:spacing w:before="0" w:after="60" w:line="276" w:lineRule="auto"/>
        <w:ind w:left="360"/>
      </w:pPr>
      <w:r>
        <w:rPr>
          <w:rFonts w:ascii="Calibri" w:hAnsi="Calibri"/>
          <w:color w:val="333333"/>
          <w:sz w:val="22"/>
        </w:rPr>
        <w:t xml:space="preserve"> Detects the Docker CLI and Node.js executables.</w:t>
      </w:r>
    </w:p>
    <w:p>
      <w:pPr>
        <w:pStyle w:val="ListBullet"/>
        <w:spacing w:before="0" w:after="60" w:line="276" w:lineRule="auto"/>
        <w:ind w:left="360"/>
      </w:pPr>
      <w:r>
        <w:rPr>
          <w:rFonts w:ascii="Calibri" w:hAnsi="Calibri"/>
          <w:color w:val="333333"/>
          <w:sz w:val="22"/>
        </w:rPr>
        <w:t xml:space="preserve"> Generates a local development JWT secret and a .env file from .env.example.</w:t>
      </w:r>
    </w:p>
    <w:p>
      <w:pPr>
        <w:pStyle w:val="ListBullet"/>
        <w:spacing w:before="0" w:after="60" w:line="276" w:lineRule="auto"/>
        <w:ind w:left="360"/>
      </w:pPr>
      <w:r>
        <w:rPr>
          <w:rFonts w:ascii="Calibri" w:hAnsi="Calibri"/>
          <w:color w:val="333333"/>
          <w:sz w:val="22"/>
        </w:rPr>
        <w:t xml:space="preserve"> Releases the local PostgreSQL port (5432) if a stray Docker container is holding it.</w:t>
      </w:r>
    </w:p>
    <w:p>
      <w:pPr>
        <w:pStyle w:val="ListBullet"/>
        <w:spacing w:before="0" w:after="60" w:line="276" w:lineRule="auto"/>
        <w:ind w:left="360"/>
      </w:pPr>
      <w:r>
        <w:rPr>
          <w:rFonts w:ascii="Calibri" w:hAnsi="Calibri"/>
          <w:color w:val="333333"/>
          <w:sz w:val="22"/>
        </w:rPr>
        <w:t xml:space="preserve"> Starts the Docker Compose stack (postgres, redis, minio, api, worker, beat, tiler, nginx) and launches the React frontend.</w:t>
      </w:r>
    </w:p>
    <w:p>
      <w:pPr>
        <w:keepNext/>
        <w:spacing w:before="240" w:after="80" w:line="276" w:lineRule="auto"/>
      </w:pPr>
      <w:r>
        <w:rPr>
          <w:rFonts w:ascii="Segoe UI" w:hAnsi="Segoe UI"/>
          <w:b/>
          <w:color w:val="008080"/>
          <w:sz w:val="28"/>
        </w:rPr>
        <w:t>Testing &amp; Index Validation Matrix</w:t>
      </w:r>
    </w:p>
    <w:p>
      <w:pPr>
        <w:spacing w:before="0" w:after="120" w:line="276" w:lineRule="auto"/>
      </w:pPr>
      <w:r>
        <w:rPr>
          <w:rFonts w:ascii="Calibri" w:hAnsi="Calibri"/>
          <w:b w:val="0"/>
          <w:i w:val="0"/>
          <w:color w:val="333333"/>
          <w:sz w:val="22"/>
        </w:rPr>
        <w:t>Quality is enforced through Ruff linting, MyPy static typing, and automated testing:</w:t>
      </w:r>
    </w:p>
    <w:p>
      <w:pPr>
        <w:pStyle w:val="ListBullet"/>
        <w:spacing w:before="0" w:after="60" w:line="276" w:lineRule="auto"/>
        <w:ind w:left="360"/>
      </w:pPr>
      <w:r>
        <w:rPr>
          <w:rFonts w:ascii="Calibri" w:hAnsi="Calibri"/>
          <w:b/>
          <w:color w:val="333333"/>
          <w:sz w:val="22"/>
        </w:rPr>
        <w:t>Offline Unit Tests:</w:t>
      </w:r>
      <w:r>
        <w:rPr>
          <w:rFonts w:ascii="Calibri" w:hAnsi="Calibri"/>
          <w:color w:val="333333"/>
          <w:sz w:val="22"/>
        </w:rPr>
        <w:t xml:space="preserve"> The mathematical core (rs_analysis) and adapters are tested without active database or network connections using synthetic mock arrays.</w:t>
      </w:r>
    </w:p>
    <w:p>
      <w:pPr>
        <w:pStyle w:val="ListBullet"/>
        <w:spacing w:before="0" w:after="60" w:line="276" w:lineRule="auto"/>
        <w:ind w:left="360"/>
      </w:pPr>
      <w:r>
        <w:rPr>
          <w:rFonts w:ascii="Calibri" w:hAnsi="Calibri"/>
          <w:b/>
          <w:color w:val="333333"/>
          <w:sz w:val="22"/>
        </w:rPr>
        <w:t>Sacred Validation Matrix:</w:t>
      </w:r>
      <w:r>
        <w:rPr>
          <w:rFonts w:ascii="Calibri" w:hAnsi="Calibri"/>
          <w:color w:val="333333"/>
          <w:sz w:val="22"/>
        </w:rPr>
        <w:t xml:space="preserve"> The Index Validation Matrix is a critical testing suite. It runs real scenes through the system and compares calculated indices against the Copernicus Browser, ensuring that the processed reflectance values are accurate to within 0.01.</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76" w:lineRule="auto"/>
      <w:jc w:val="right"/>
    </w:pPr>
    <w:r>
      <w:rPr>
        <w:rFonts w:ascii="Segoe UI" w:hAnsi="Segoe UI"/>
        <w:color w:val="999999"/>
        <w:sz w:val="17"/>
      </w:rPr>
      <w:t xml:space="preserve">remote-sense System Specification | Page </w:t>
    </w:r>
    <w:fldChar w:fldCharType="begin"/>
    <w:instrText xml:space="preserve">PAGE</w:instrText>
    <w:fldChar w:fldCharType="separate"/>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76" w:lineRule="auto"/>
      <w:jc w:val="left"/>
    </w:pPr>
    <w:r>
      <w:rPr>
        <w:rFonts w:ascii="Segoe UI" w:hAnsi="Segoe UI"/>
        <w:color w:val="999999"/>
        <w:sz w:val="17"/>
      </w:rPr>
      <w:t>INTERNAL TECHNICAL DOCUMENTATION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