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A3C" w14:textId="77777777" w:rsidR="00394E75" w:rsidRPr="00394E75" w:rsidRDefault="00430FEA" w:rsidP="00394E75">
      <w:pPr>
        <w:pStyle w:val="DFARS"/>
        <w:rPr>
          <w:rFonts w:ascii="Arial" w:hAnsi="Arial" w:cs="Arial"/>
          <w:szCs w:val="24"/>
        </w:rPr>
      </w:pPr>
      <w:bookmarkStart w:id="0" w:name="OLE_LINK9"/>
      <w:bookmarkStart w:id="1" w:name="OLE_LINK10"/>
      <w:r w:rsidRPr="00430FEA">
        <w:rPr>
          <w:rFonts w:ascii="Arial" w:hAnsi="Arial" w:cs="Arial"/>
          <w:bCs/>
          <w:szCs w:val="24"/>
        </w:rPr>
        <w:tab/>
      </w:r>
      <w:bookmarkEnd w:id="0"/>
      <w:bookmarkEnd w:id="1"/>
    </w:p>
    <w:p w14:paraId="14A8E7A8" w14:textId="6925583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bookmarkStart w:id="2" w:name="219.702"/>
      <w:bookmarkStart w:id="3" w:name="BM219_7"/>
      <w:r w:rsidRPr="00394E75">
        <w:rPr>
          <w:rFonts w:ascii="Arial" w:hAnsi="Arial" w:cs="Arial"/>
          <w:spacing w:val="-5"/>
          <w:kern w:val="20"/>
          <w:szCs w:val="24"/>
        </w:rPr>
        <w:t>P</w:t>
      </w:r>
      <w:r w:rsidR="00303D31">
        <w:rPr>
          <w:rFonts w:ascii="Arial" w:hAnsi="Arial" w:cs="Arial"/>
          <w:spacing w:val="-5"/>
          <w:kern w:val="20"/>
          <w:szCs w:val="24"/>
        </w:rPr>
        <w:t>GI</w:t>
      </w:r>
      <w:r w:rsidRPr="00394E75">
        <w:rPr>
          <w:rFonts w:ascii="Arial" w:hAnsi="Arial" w:cs="Arial"/>
          <w:spacing w:val="-5"/>
          <w:kern w:val="20"/>
          <w:szCs w:val="24"/>
        </w:rPr>
        <w:t xml:space="preserve"> 234—MAJOR SYSTEM ACQUISITION</w:t>
      </w:r>
    </w:p>
    <w:bookmarkEnd w:id="2"/>
    <w:bookmarkEnd w:id="3"/>
    <w:p w14:paraId="11CEC937" w14:textId="77777777" w:rsidR="00394E75" w:rsidRPr="00394E75" w:rsidRDefault="00394E75" w:rsidP="00394E75">
      <w:pPr>
        <w:tabs>
          <w:tab w:val="clear" w:pos="1000"/>
          <w:tab w:val="left" w:pos="360"/>
          <w:tab w:val="left" w:pos="806"/>
          <w:tab w:val="left" w:pos="1210"/>
          <w:tab w:val="left" w:pos="1656"/>
          <w:tab w:val="left" w:pos="2131"/>
          <w:tab w:val="left" w:pos="2520"/>
        </w:tabs>
        <w:ind w:left="0" w:firstLine="0"/>
        <w:rPr>
          <w:rFonts w:ascii="Arial" w:hAnsi="Arial" w:cs="Arial"/>
          <w:spacing w:val="-5"/>
          <w:kern w:val="20"/>
          <w:szCs w:val="24"/>
        </w:rPr>
      </w:pPr>
    </w:p>
    <w:p w14:paraId="450A0B5C"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ind w:left="0" w:firstLine="0"/>
        <w:rPr>
          <w:rFonts w:ascii="Arial" w:hAnsi="Arial" w:cs="Arial"/>
          <w:spacing w:val="-5"/>
          <w:kern w:val="20"/>
          <w:szCs w:val="24"/>
        </w:rPr>
      </w:pPr>
      <w:r w:rsidRPr="00394E75">
        <w:rPr>
          <w:rFonts w:ascii="Arial" w:hAnsi="Arial" w:cs="Arial"/>
          <w:spacing w:val="-5"/>
          <w:kern w:val="20"/>
          <w:szCs w:val="24"/>
        </w:rPr>
        <w:t>PGI 234.2—EARNED VALUE MANAGEMENT SYSTEM</w:t>
      </w:r>
    </w:p>
    <w:p w14:paraId="2D62B418"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ind w:left="0" w:firstLine="0"/>
        <w:rPr>
          <w:rFonts w:ascii="Arial" w:hAnsi="Arial" w:cs="Arial"/>
          <w:spacing w:val="-5"/>
          <w:kern w:val="20"/>
          <w:szCs w:val="24"/>
        </w:rPr>
      </w:pPr>
    </w:p>
    <w:p w14:paraId="3EA3D73C"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PGI 234.201  Policy.</w:t>
      </w:r>
    </w:p>
    <w:p w14:paraId="2E84DC75"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p>
    <w:p w14:paraId="3A0A4F2B"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t>(1)(iii)  When the program manager decides to implement earned value management on contracts and subcontracts valued at less than $20,000,000, a cost-benefit analysis must be conducted and the results documented in the contract file.  Considerations for determining the effectiveness of applying earned value management in these situations and guidance for tailoring reporting are available in—</w:t>
      </w:r>
    </w:p>
    <w:p w14:paraId="388BF638"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C7194C3"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i/>
          <w:spacing w:val="-5"/>
          <w:kern w:val="20"/>
        </w:rPr>
        <w:t>(1)</w:t>
      </w:r>
      <w:r w:rsidRPr="00394E75">
        <w:rPr>
          <w:rFonts w:ascii="Arial" w:hAnsi="Arial" w:cs="Arial"/>
          <w:b w:val="0"/>
          <w:spacing w:val="-5"/>
          <w:kern w:val="20"/>
        </w:rPr>
        <w:t xml:space="preserve">  The </w:t>
      </w:r>
      <w:hyperlink r:id="rId7" w:history="1">
        <w:r w:rsidRPr="00394E75">
          <w:rPr>
            <w:rFonts w:ascii="Arial" w:hAnsi="Arial" w:cs="Arial"/>
            <w:b w:val="0"/>
            <w:color w:val="0000FF"/>
            <w:spacing w:val="-5"/>
            <w:kern w:val="20"/>
            <w:u w:val="single"/>
          </w:rPr>
          <w:t>Integrated Program Management Data Analysis Report (IPMDAR) Implementation &amp; Tailoring Guide</w:t>
        </w:r>
      </w:hyperlink>
      <w:r w:rsidRPr="00394E75">
        <w:rPr>
          <w:rFonts w:ascii="Arial" w:hAnsi="Arial" w:cs="Arial"/>
          <w:b w:val="0"/>
          <w:spacing w:val="-5"/>
          <w:kern w:val="20"/>
        </w:rPr>
        <w:t>; and</w:t>
      </w:r>
    </w:p>
    <w:p w14:paraId="5C64F58C"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282CEDA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rPr>
        <w:tab/>
      </w:r>
      <w:r w:rsidRPr="00394E75">
        <w:rPr>
          <w:rFonts w:ascii="Arial" w:hAnsi="Arial" w:cs="Arial"/>
          <w:b w:val="0"/>
          <w:spacing w:val="-5"/>
          <w:kern w:val="20"/>
        </w:rPr>
        <w:tab/>
      </w:r>
      <w:r w:rsidRPr="00394E75">
        <w:rPr>
          <w:rFonts w:ascii="Arial" w:hAnsi="Arial" w:cs="Arial"/>
          <w:b w:val="0"/>
          <w:spacing w:val="-5"/>
          <w:kern w:val="20"/>
        </w:rPr>
        <w:tab/>
      </w:r>
      <w:r w:rsidRPr="00394E75">
        <w:rPr>
          <w:rFonts w:ascii="Arial" w:hAnsi="Arial" w:cs="Arial"/>
          <w:b w:val="0"/>
          <w:i/>
          <w:spacing w:val="-5"/>
          <w:kern w:val="20"/>
        </w:rPr>
        <w:t>(2)</w:t>
      </w:r>
      <w:r w:rsidRPr="00394E75">
        <w:rPr>
          <w:rFonts w:ascii="Arial" w:hAnsi="Arial" w:cs="Arial"/>
          <w:b w:val="0"/>
          <w:spacing w:val="-5"/>
          <w:kern w:val="20"/>
        </w:rPr>
        <w:t xml:space="preserve">  </w:t>
      </w:r>
      <w:hyperlink r:id="rId8" w:history="1">
        <w:r w:rsidRPr="00394E75">
          <w:rPr>
            <w:rFonts w:ascii="Arial" w:hAnsi="Arial" w:cs="Arial"/>
            <w:b w:val="0"/>
            <w:color w:val="0000FF"/>
            <w:spacing w:val="-5"/>
            <w:kern w:val="20"/>
            <w:u w:val="single"/>
          </w:rPr>
          <w:t>The DoD Earned Value Management Implementation Guide</w:t>
        </w:r>
      </w:hyperlink>
      <w:r w:rsidRPr="00394E75">
        <w:rPr>
          <w:rFonts w:ascii="Arial" w:hAnsi="Arial" w:cs="Arial"/>
          <w:b w:val="0"/>
          <w:spacing w:val="-5"/>
          <w:kern w:val="20"/>
        </w:rPr>
        <w:t>.</w:t>
      </w:r>
    </w:p>
    <w:p w14:paraId="5EA6DC50"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25EDA6E" w14:textId="77777777" w:rsidR="00394E75" w:rsidRPr="00873FB0" w:rsidRDefault="00394E75" w:rsidP="00394E75">
      <w:pPr>
        <w:tabs>
          <w:tab w:val="clear" w:pos="1000"/>
          <w:tab w:val="left" w:pos="0"/>
          <w:tab w:val="left" w:pos="360"/>
          <w:tab w:val="left" w:pos="806"/>
          <w:tab w:val="left" w:pos="1210"/>
          <w:tab w:val="left" w:pos="1656"/>
          <w:tab w:val="left" w:pos="2131"/>
          <w:tab w:val="left" w:pos="2520"/>
        </w:tabs>
        <w:spacing w:after="200" w:line="240" w:lineRule="exact"/>
        <w:ind w:left="0" w:firstLine="0"/>
        <w:rPr>
          <w:rFonts w:ascii="Arial" w:eastAsia="Calibri" w:hAnsi="Arial" w:cs="Arial"/>
          <w:b w:val="0"/>
          <w:szCs w:val="24"/>
        </w:rPr>
      </w:pPr>
      <w:r w:rsidRPr="00394E75">
        <w:rPr>
          <w:rFonts w:ascii="Arial" w:eastAsia="Calibri" w:hAnsi="Arial" w:cs="Arial"/>
          <w:b w:val="0"/>
          <w:szCs w:val="24"/>
        </w:rPr>
        <w:tab/>
      </w:r>
      <w:r w:rsidRPr="00394E75">
        <w:rPr>
          <w:rFonts w:ascii="Arial" w:eastAsia="Calibri" w:hAnsi="Arial" w:cs="Arial"/>
          <w:b w:val="0"/>
          <w:szCs w:val="24"/>
        </w:rPr>
        <w:tab/>
        <w:t xml:space="preserve">(iv)  In extraordinary cases where cost/schedule visibility is required and cannot be obtained using other means, the program manager </w:t>
      </w:r>
      <w:r w:rsidRPr="00394E75">
        <w:rPr>
          <w:rFonts w:ascii="Arial" w:eastAsia="Calibri" w:hAnsi="Arial" w:cs="Arial"/>
          <w:b w:val="0"/>
          <w:sz w:val="22"/>
          <w:szCs w:val="24"/>
        </w:rPr>
        <w:t xml:space="preserve">must </w:t>
      </w:r>
      <w:r w:rsidRPr="00394E75">
        <w:rPr>
          <w:rFonts w:ascii="Arial" w:eastAsia="Calibri" w:hAnsi="Arial" w:cs="Arial"/>
          <w:b w:val="0"/>
          <w:szCs w:val="24"/>
        </w:rPr>
        <w:t xml:space="preserve">request a waiver for individual contracts from the Milestone Decision Authority.  In these cases, the program manager will conduct a business case analysis that includes rationale as to why a cost or fixed-price incentive contract was not an appropriate contracting vehicle.  Considerations for determining the effectiveness of applying earned value management </w:t>
      </w:r>
      <w:r w:rsidRPr="00873FB0">
        <w:rPr>
          <w:rFonts w:ascii="Arial" w:eastAsia="Calibri" w:hAnsi="Arial" w:cs="Arial"/>
          <w:b w:val="0"/>
          <w:szCs w:val="24"/>
        </w:rPr>
        <w:t>in these situations and guidance for tailoring reporting can be found in—</w:t>
      </w:r>
    </w:p>
    <w:p w14:paraId="17D700EA" w14:textId="77777777" w:rsidR="00394E75" w:rsidRPr="00873FB0" w:rsidRDefault="00394E75" w:rsidP="00394E75">
      <w:pPr>
        <w:tabs>
          <w:tab w:val="clear" w:pos="1000"/>
          <w:tab w:val="left" w:pos="360"/>
          <w:tab w:val="left" w:pos="806"/>
          <w:tab w:val="left" w:pos="1210"/>
          <w:tab w:val="left" w:pos="1656"/>
          <w:tab w:val="left" w:pos="2131"/>
          <w:tab w:val="left" w:pos="2520"/>
        </w:tabs>
        <w:spacing w:after="200" w:line="240" w:lineRule="exact"/>
        <w:ind w:left="0" w:firstLine="0"/>
        <w:rPr>
          <w:rFonts w:ascii="Arial" w:eastAsia="Calibri" w:hAnsi="Arial" w:cs="Arial"/>
          <w:b w:val="0"/>
          <w:szCs w:val="24"/>
        </w:rPr>
      </w:pPr>
      <w:r w:rsidRPr="00873FB0">
        <w:rPr>
          <w:rFonts w:ascii="Arial" w:eastAsia="Calibri" w:hAnsi="Arial" w:cs="Arial"/>
          <w:b w:val="0"/>
          <w:szCs w:val="24"/>
        </w:rPr>
        <w:tab/>
      </w:r>
      <w:r w:rsidRPr="00873FB0">
        <w:rPr>
          <w:rFonts w:ascii="Arial" w:eastAsia="Calibri" w:hAnsi="Arial" w:cs="Arial"/>
          <w:b w:val="0"/>
          <w:szCs w:val="24"/>
        </w:rPr>
        <w:tab/>
      </w:r>
      <w:r w:rsidRPr="00873FB0">
        <w:rPr>
          <w:rFonts w:ascii="Arial" w:eastAsia="Calibri" w:hAnsi="Arial" w:cs="Arial"/>
          <w:b w:val="0"/>
          <w:szCs w:val="24"/>
        </w:rPr>
        <w:tab/>
      </w:r>
      <w:r w:rsidRPr="00873FB0">
        <w:rPr>
          <w:rFonts w:ascii="Arial" w:eastAsia="Calibri" w:hAnsi="Arial" w:cs="Arial"/>
          <w:b w:val="0"/>
          <w:i/>
          <w:szCs w:val="24"/>
        </w:rPr>
        <w:t>(1)</w:t>
      </w:r>
      <w:r w:rsidRPr="00873FB0">
        <w:rPr>
          <w:rFonts w:ascii="Arial" w:eastAsia="Calibri" w:hAnsi="Arial" w:cs="Arial"/>
          <w:b w:val="0"/>
          <w:szCs w:val="24"/>
        </w:rPr>
        <w:t xml:space="preserve">  </w:t>
      </w:r>
      <w:hyperlink r:id="rId9" w:history="1">
        <w:r w:rsidRPr="00873FB0">
          <w:rPr>
            <w:rFonts w:ascii="Arial" w:eastAsia="Calibri" w:hAnsi="Arial" w:cs="Arial"/>
            <w:b w:val="0"/>
            <w:color w:val="0000FF"/>
            <w:szCs w:val="24"/>
            <w:u w:val="single"/>
          </w:rPr>
          <w:t>DoD Instruction 5000.85, paragraph 3C.3.c.(3)</w:t>
        </w:r>
      </w:hyperlink>
      <w:r w:rsidRPr="00873FB0">
        <w:rPr>
          <w:rFonts w:ascii="Arial" w:eastAsia="Calibri" w:hAnsi="Arial" w:cs="Arial"/>
          <w:b w:val="0"/>
          <w:szCs w:val="24"/>
        </w:rPr>
        <w:t>; and</w:t>
      </w:r>
    </w:p>
    <w:p w14:paraId="2E4AE1C8" w14:textId="77777777" w:rsidR="00394E75" w:rsidRPr="00873FB0"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873FB0">
        <w:rPr>
          <w:rFonts w:ascii="Arial" w:hAnsi="Arial" w:cs="Arial"/>
          <w:b w:val="0"/>
          <w:spacing w:val="-5"/>
          <w:kern w:val="20"/>
          <w:szCs w:val="24"/>
        </w:rPr>
        <w:tab/>
      </w:r>
      <w:r w:rsidRPr="00873FB0">
        <w:rPr>
          <w:rFonts w:ascii="Arial" w:hAnsi="Arial" w:cs="Arial"/>
          <w:b w:val="0"/>
          <w:spacing w:val="-5"/>
          <w:kern w:val="20"/>
          <w:szCs w:val="24"/>
        </w:rPr>
        <w:tab/>
      </w:r>
      <w:r w:rsidRPr="00873FB0">
        <w:rPr>
          <w:rFonts w:ascii="Arial" w:hAnsi="Arial" w:cs="Arial"/>
          <w:b w:val="0"/>
          <w:spacing w:val="-5"/>
          <w:kern w:val="20"/>
          <w:szCs w:val="24"/>
        </w:rPr>
        <w:tab/>
      </w:r>
      <w:r w:rsidRPr="00873FB0">
        <w:rPr>
          <w:rFonts w:ascii="Arial" w:hAnsi="Arial" w:cs="Arial"/>
          <w:b w:val="0"/>
          <w:i/>
          <w:spacing w:val="-5"/>
          <w:kern w:val="20"/>
          <w:szCs w:val="24"/>
        </w:rPr>
        <w:t>(2)</w:t>
      </w:r>
      <w:r w:rsidRPr="00873FB0">
        <w:rPr>
          <w:rFonts w:ascii="Arial" w:hAnsi="Arial" w:cs="Arial"/>
          <w:b w:val="0"/>
          <w:spacing w:val="-5"/>
          <w:kern w:val="20"/>
          <w:szCs w:val="24"/>
        </w:rPr>
        <w:t xml:space="preserve">  </w:t>
      </w:r>
      <w:hyperlink r:id="rId10" w:history="1">
        <w:r w:rsidRPr="00873FB0">
          <w:rPr>
            <w:rFonts w:ascii="Arial" w:hAnsi="Arial" w:cs="Arial"/>
            <w:b w:val="0"/>
            <w:color w:val="0000FF"/>
            <w:spacing w:val="-5"/>
            <w:kern w:val="20"/>
            <w:szCs w:val="24"/>
            <w:u w:val="single"/>
          </w:rPr>
          <w:t>The DoD Earned Value Management Implementation Guide</w:t>
        </w:r>
      </w:hyperlink>
      <w:r w:rsidRPr="00873FB0">
        <w:rPr>
          <w:rFonts w:ascii="Arial" w:hAnsi="Arial" w:cs="Arial"/>
          <w:b w:val="0"/>
          <w:spacing w:val="-5"/>
          <w:kern w:val="20"/>
          <w:szCs w:val="24"/>
        </w:rPr>
        <w:t>.</w:t>
      </w:r>
    </w:p>
    <w:p w14:paraId="09C48828" w14:textId="77777777" w:rsidR="00394E75" w:rsidRPr="00873FB0" w:rsidRDefault="00394E75" w:rsidP="00394E75">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2E6714D" w14:textId="12F3CE4D" w:rsidR="00394E75" w:rsidRPr="00873FB0" w:rsidRDefault="00394E75" w:rsidP="00394E75">
      <w:pPr>
        <w:tabs>
          <w:tab w:val="clear" w:pos="1000"/>
          <w:tab w:val="left" w:pos="0"/>
          <w:tab w:val="left" w:pos="360"/>
          <w:tab w:val="left" w:pos="806"/>
          <w:tab w:val="left" w:pos="1210"/>
          <w:tab w:val="left" w:pos="1656"/>
          <w:tab w:val="left" w:pos="2131"/>
          <w:tab w:val="left" w:pos="2520"/>
        </w:tabs>
        <w:spacing w:after="200" w:line="240" w:lineRule="exact"/>
        <w:ind w:left="0" w:firstLine="0"/>
        <w:rPr>
          <w:rFonts w:ascii="Arial" w:eastAsia="Calibri" w:hAnsi="Arial" w:cs="Arial"/>
          <w:b w:val="0"/>
          <w:szCs w:val="24"/>
          <w:u w:val="double"/>
        </w:rPr>
      </w:pPr>
      <w:r w:rsidRPr="00873FB0">
        <w:rPr>
          <w:rFonts w:ascii="Arial" w:eastAsia="Calibri" w:hAnsi="Arial" w:cs="Arial"/>
          <w:b w:val="0"/>
          <w:spacing w:val="-5"/>
          <w:kern w:val="20"/>
          <w:szCs w:val="24"/>
        </w:rPr>
        <w:tab/>
        <w:t xml:space="preserve">(2)  The procuring contracting officer </w:t>
      </w:r>
      <w:r w:rsidRPr="00873FB0">
        <w:rPr>
          <w:rFonts w:ascii="Arial" w:eastAsia="Calibri" w:hAnsi="Arial" w:cs="Arial"/>
          <w:b w:val="0"/>
          <w:szCs w:val="24"/>
        </w:rPr>
        <w:t xml:space="preserve">must </w:t>
      </w:r>
      <w:r w:rsidRPr="00873FB0">
        <w:rPr>
          <w:rFonts w:ascii="Arial" w:eastAsia="Calibri" w:hAnsi="Arial" w:cs="Arial"/>
          <w:b w:val="0"/>
          <w:spacing w:val="-5"/>
          <w:kern w:val="20"/>
          <w:szCs w:val="24"/>
        </w:rPr>
        <w:t>obtain the assistance of the administrative contracting officer in determining the adequacy of an earned value management system</w:t>
      </w:r>
      <w:r w:rsidRPr="00394E75">
        <w:rPr>
          <w:rFonts w:ascii="Arial" w:eastAsia="Calibri" w:hAnsi="Arial" w:cs="Arial"/>
          <w:b w:val="0"/>
          <w:spacing w:val="-5"/>
          <w:kern w:val="20"/>
          <w:szCs w:val="24"/>
        </w:rPr>
        <w:t xml:space="preserve"> (EVMS) plan that an offeror proposes for compliance with ANSI/EIA-748, under the provision at DFARS 252.234-7001, Notice of Earned Value Management System.  </w:t>
      </w:r>
      <w:r w:rsidRPr="00394E75">
        <w:rPr>
          <w:rFonts w:ascii="Arial" w:eastAsia="Calibri" w:hAnsi="Arial" w:cs="Arial"/>
          <w:b w:val="0"/>
          <w:szCs w:val="24"/>
        </w:rPr>
        <w:t xml:space="preserve">The Government will review and approve the offeror’s EVMS plan before contract award.  </w:t>
      </w:r>
      <w:r w:rsidRPr="00394E75">
        <w:rPr>
          <w:rFonts w:ascii="Arial" w:eastAsia="Calibri" w:hAnsi="Arial" w:cs="Arial"/>
          <w:b w:val="0"/>
          <w:sz w:val="22"/>
          <w:szCs w:val="22"/>
        </w:rPr>
        <w:t xml:space="preserve">Instructions for performing EVMS plan reviews can be found at </w:t>
      </w:r>
      <w:hyperlink r:id="rId11" w:history="1">
        <w:r w:rsidRPr="00873FB0">
          <w:rPr>
            <w:rFonts w:ascii="Arial" w:eastAsia="Calibri" w:hAnsi="Arial" w:cs="Arial"/>
            <w:b w:val="0"/>
            <w:i/>
            <w:iCs/>
            <w:color w:val="0000FF"/>
            <w:szCs w:val="24"/>
            <w:u w:val="single"/>
          </w:rPr>
          <w:t>https://www.dcma.mil/HQ/EVMS</w:t>
        </w:r>
      </w:hyperlink>
      <w:r w:rsidRPr="00873FB0">
        <w:rPr>
          <w:rFonts w:ascii="Arial" w:eastAsia="Calibri" w:hAnsi="Arial" w:cs="Arial"/>
          <w:b w:val="0"/>
          <w:color w:val="0000FF"/>
          <w:szCs w:val="24"/>
        </w:rPr>
        <w:t>.</w:t>
      </w:r>
    </w:p>
    <w:p w14:paraId="3D571C5F" w14:textId="77777777" w:rsidR="00394E75" w:rsidRPr="00394E75" w:rsidRDefault="00394E75" w:rsidP="00394E75">
      <w:pPr>
        <w:tabs>
          <w:tab w:val="clear" w:pos="1000"/>
          <w:tab w:val="left" w:pos="360"/>
          <w:tab w:val="left" w:pos="806"/>
          <w:tab w:val="left" w:pos="1210"/>
          <w:tab w:val="left" w:pos="1656"/>
          <w:tab w:val="left" w:pos="2131"/>
          <w:tab w:val="left" w:pos="2520"/>
        </w:tabs>
        <w:spacing w:after="200" w:line="240" w:lineRule="exact"/>
        <w:ind w:left="0" w:firstLine="0"/>
        <w:rPr>
          <w:rFonts w:ascii="Arial" w:eastAsia="Calibri" w:hAnsi="Arial" w:cs="Arial"/>
          <w:b w:val="0"/>
          <w:spacing w:val="-5"/>
          <w:kern w:val="20"/>
          <w:szCs w:val="24"/>
        </w:rPr>
      </w:pPr>
      <w:r w:rsidRPr="00394E75">
        <w:rPr>
          <w:rFonts w:ascii="Arial" w:eastAsia="Calibri" w:hAnsi="Arial" w:cs="Arial"/>
          <w:b w:val="0"/>
          <w:spacing w:val="-5"/>
          <w:kern w:val="20"/>
          <w:szCs w:val="24"/>
        </w:rPr>
        <w:tab/>
        <w:t>(4)  Additional guidance on earned value management can be found in—</w:t>
      </w:r>
    </w:p>
    <w:p w14:paraId="5432804B"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rPr>
        <w:t>(A)  The G</w:t>
      </w:r>
      <w:r w:rsidRPr="00394E75">
        <w:rPr>
          <w:rFonts w:ascii="Arial" w:hAnsi="Arial" w:cs="Arial"/>
          <w:b w:val="0"/>
          <w:spacing w:val="-5"/>
          <w:kern w:val="20"/>
          <w:szCs w:val="24"/>
        </w:rPr>
        <w:t xml:space="preserve">uidebook for Earned Value Management System </w:t>
      </w:r>
      <w:r w:rsidRPr="00394E75">
        <w:rPr>
          <w:rFonts w:ascii="Arial" w:hAnsi="Arial" w:cs="Arial"/>
          <w:b w:val="0"/>
          <w:spacing w:val="-5"/>
          <w:kern w:val="20"/>
        </w:rPr>
        <w:t xml:space="preserve">(EVMS) System-Level </w:t>
      </w:r>
    </w:p>
    <w:p w14:paraId="307091C4"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rPr>
        <w:t xml:space="preserve">Surveillance at </w:t>
      </w:r>
      <w:hyperlink r:id="rId12" w:history="1">
        <w:r w:rsidRPr="00394E75">
          <w:rPr>
            <w:rFonts w:ascii="Arial" w:hAnsi="Arial" w:cs="Arial"/>
            <w:b w:val="0"/>
            <w:i/>
            <w:iCs/>
            <w:color w:val="0000FF"/>
            <w:spacing w:val="-5"/>
            <w:kern w:val="20"/>
            <w:u w:val="single"/>
          </w:rPr>
          <w:t>https://www.dcma.mil/HQ/EVMS/</w:t>
        </w:r>
      </w:hyperlink>
      <w:r w:rsidRPr="00394E75">
        <w:rPr>
          <w:rFonts w:ascii="Arial" w:hAnsi="Arial" w:cs="Arial"/>
          <w:b w:val="0"/>
          <w:spacing w:val="-5"/>
          <w:kern w:val="20"/>
        </w:rPr>
        <w:t>;</w:t>
      </w:r>
    </w:p>
    <w:p w14:paraId="6994E1D8"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0FA90CEA"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rPr>
        <w:tab/>
      </w:r>
      <w:r w:rsidRPr="00394E75">
        <w:rPr>
          <w:rFonts w:ascii="Arial" w:hAnsi="Arial" w:cs="Arial"/>
          <w:b w:val="0"/>
          <w:spacing w:val="-5"/>
          <w:kern w:val="20"/>
        </w:rPr>
        <w:tab/>
        <w:t xml:space="preserve">(B)  </w:t>
      </w:r>
      <w:hyperlink r:id="rId13" w:history="1">
        <w:r w:rsidRPr="00394E75">
          <w:rPr>
            <w:rFonts w:ascii="Arial" w:hAnsi="Arial" w:cs="Arial"/>
            <w:b w:val="0"/>
            <w:color w:val="0000FF"/>
            <w:spacing w:val="-5"/>
            <w:kern w:val="20"/>
            <w:u w:val="single"/>
          </w:rPr>
          <w:t>The Guidebook for Earned Value Management System - Program Analysis</w:t>
        </w:r>
      </w:hyperlink>
      <w:r w:rsidRPr="00394E75">
        <w:rPr>
          <w:rFonts w:ascii="Arial" w:hAnsi="Arial" w:cs="Arial"/>
          <w:b w:val="0"/>
          <w:spacing w:val="-5"/>
          <w:kern w:val="20"/>
        </w:rPr>
        <w:t>; and</w:t>
      </w:r>
    </w:p>
    <w:p w14:paraId="636120A2"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rPr>
      </w:pPr>
    </w:p>
    <w:p w14:paraId="202DC676"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rPr>
        <w:tab/>
      </w:r>
      <w:r w:rsidRPr="00394E75">
        <w:rPr>
          <w:rFonts w:ascii="Arial" w:hAnsi="Arial" w:cs="Arial"/>
          <w:b w:val="0"/>
          <w:spacing w:val="-5"/>
          <w:kern w:val="20"/>
        </w:rPr>
        <w:tab/>
        <w:t xml:space="preserve">(C)  </w:t>
      </w:r>
      <w:hyperlink r:id="rId14" w:history="1">
        <w:r w:rsidRPr="00394E75">
          <w:rPr>
            <w:rFonts w:ascii="Arial" w:hAnsi="Arial" w:cs="Arial"/>
            <w:b w:val="0"/>
            <w:color w:val="0000FF"/>
            <w:spacing w:val="-5"/>
            <w:kern w:val="20"/>
            <w:u w:val="single"/>
          </w:rPr>
          <w:t>The Program Managers’ Guide to the Integrated Baseline Review Process (the IBR Guide)</w:t>
        </w:r>
      </w:hyperlink>
      <w:r w:rsidRPr="00394E75">
        <w:rPr>
          <w:rFonts w:ascii="Arial" w:hAnsi="Arial" w:cs="Arial"/>
          <w:b w:val="0"/>
          <w:spacing w:val="-5"/>
          <w:kern w:val="20"/>
        </w:rPr>
        <w:t>.</w:t>
      </w:r>
    </w:p>
    <w:p w14:paraId="17236E04" w14:textId="77777777" w:rsidR="00394E75" w:rsidRPr="00394E75" w:rsidRDefault="00394E75" w:rsidP="00394E75">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5405E6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t xml:space="preserve">(7)  </w:t>
      </w:r>
      <w:r w:rsidRPr="00394E75">
        <w:rPr>
          <w:rFonts w:ascii="Arial" w:hAnsi="Arial" w:cs="Arial"/>
          <w:b w:val="0"/>
          <w:i/>
          <w:spacing w:val="-5"/>
          <w:kern w:val="20"/>
          <w:szCs w:val="24"/>
        </w:rPr>
        <w:t>Disposition of findings</w:t>
      </w:r>
      <w:r w:rsidRPr="00394E75">
        <w:rPr>
          <w:rFonts w:ascii="Arial" w:hAnsi="Arial" w:cs="Arial"/>
          <w:b w:val="0"/>
          <w:spacing w:val="-5"/>
          <w:kern w:val="20"/>
          <w:szCs w:val="24"/>
        </w:rPr>
        <w:t>.</w:t>
      </w:r>
    </w:p>
    <w:p w14:paraId="517366AB"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3369D9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t xml:space="preserve">(ii)  </w:t>
      </w:r>
      <w:r w:rsidRPr="00394E75">
        <w:rPr>
          <w:rFonts w:ascii="Arial" w:hAnsi="Arial" w:cs="Arial"/>
          <w:b w:val="0"/>
          <w:i/>
          <w:spacing w:val="-5"/>
          <w:kern w:val="20"/>
          <w:szCs w:val="24"/>
        </w:rPr>
        <w:t>Initial determination</w:t>
      </w:r>
      <w:r w:rsidRPr="00394E75">
        <w:rPr>
          <w:rFonts w:ascii="Arial" w:hAnsi="Arial" w:cs="Arial"/>
          <w:b w:val="0"/>
          <w:spacing w:val="-5"/>
          <w:kern w:val="20"/>
          <w:szCs w:val="24"/>
        </w:rPr>
        <w:t>.</w:t>
      </w:r>
    </w:p>
    <w:p w14:paraId="714974A9"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A0D756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(B)(</w:t>
      </w:r>
      <w:r w:rsidRPr="00394E75">
        <w:rPr>
          <w:rFonts w:ascii="Arial" w:hAnsi="Arial" w:cs="Arial"/>
          <w:b w:val="0"/>
          <w:i/>
          <w:spacing w:val="-5"/>
          <w:kern w:val="20"/>
          <w:szCs w:val="24"/>
        </w:rPr>
        <w:t>1</w:t>
      </w:r>
      <w:r w:rsidRPr="00394E75">
        <w:rPr>
          <w:rFonts w:ascii="Arial" w:hAnsi="Arial" w:cs="Arial"/>
          <w:b w:val="0"/>
          <w:spacing w:val="-5"/>
          <w:kern w:val="20"/>
          <w:szCs w:val="24"/>
        </w:rPr>
        <w:t xml:space="preserve">)  Within 30 days of receiving the report, if the contracting officer makes a </w:t>
      </w:r>
    </w:p>
    <w:p w14:paraId="615E9E27"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 xml:space="preserve">determination that there is a material weakness, the contracting officer should provide an initial determination of material weaknesses and a copy of the report to the contractor and </w:t>
      </w:r>
    </w:p>
    <w:p w14:paraId="05E629EB"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require the contractor to submit a written response.</w:t>
      </w:r>
    </w:p>
    <w:p w14:paraId="69E2D77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E71BC50"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w:t>
      </w:r>
      <w:r w:rsidRPr="00394E75">
        <w:rPr>
          <w:rFonts w:ascii="Arial" w:hAnsi="Arial" w:cs="Arial"/>
          <w:b w:val="0"/>
          <w:i/>
          <w:spacing w:val="-5"/>
          <w:kern w:val="20"/>
          <w:szCs w:val="24"/>
        </w:rPr>
        <w:t>3</w:t>
      </w:r>
      <w:r w:rsidRPr="00394E75">
        <w:rPr>
          <w:rFonts w:ascii="Arial" w:hAnsi="Arial" w:cs="Arial"/>
          <w:b w:val="0"/>
          <w:spacing w:val="-5"/>
          <w:kern w:val="20"/>
          <w:szCs w:val="24"/>
        </w:rPr>
        <w:t xml:space="preserve">)  </w:t>
      </w:r>
      <w:r w:rsidRPr="00394E75">
        <w:rPr>
          <w:rFonts w:ascii="Arial" w:hAnsi="Arial" w:cs="Arial"/>
          <w:b w:val="0"/>
          <w:i/>
          <w:spacing w:val="-5"/>
          <w:kern w:val="20"/>
          <w:szCs w:val="24"/>
        </w:rPr>
        <w:t>Evaluation of contractor's response</w:t>
      </w:r>
      <w:r w:rsidRPr="00394E75">
        <w:rPr>
          <w:rFonts w:ascii="Arial" w:hAnsi="Arial" w:cs="Arial"/>
          <w:b w:val="0"/>
          <w:spacing w:val="-5"/>
          <w:kern w:val="20"/>
          <w:szCs w:val="24"/>
        </w:rPr>
        <w:t>.  Within 30 days of receiving the contractor’s response, the contracting officer, in consultation with the auditor or cognizant functional specialist, should evaluate the contractor’s response and make a final determination.</w:t>
      </w:r>
    </w:p>
    <w:p w14:paraId="2C52241A"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63FC785"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t xml:space="preserve">(iii)  </w:t>
      </w:r>
      <w:r w:rsidRPr="00394E75">
        <w:rPr>
          <w:rFonts w:ascii="Arial" w:hAnsi="Arial" w:cs="Arial"/>
          <w:b w:val="0"/>
          <w:i/>
          <w:spacing w:val="-5"/>
          <w:kern w:val="20"/>
          <w:szCs w:val="24"/>
        </w:rPr>
        <w:t>Final determination</w:t>
      </w:r>
      <w:r w:rsidRPr="00394E75">
        <w:rPr>
          <w:rFonts w:ascii="Arial" w:hAnsi="Arial" w:cs="Arial"/>
          <w:b w:val="0"/>
          <w:spacing w:val="-5"/>
          <w:kern w:val="20"/>
          <w:szCs w:val="24"/>
        </w:rPr>
        <w:t>.</w:t>
      </w:r>
    </w:p>
    <w:p w14:paraId="37D61D7F"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C36655C"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(B)(</w:t>
      </w:r>
      <w:r w:rsidRPr="00394E75">
        <w:rPr>
          <w:rFonts w:ascii="Arial" w:hAnsi="Arial" w:cs="Arial"/>
          <w:b w:val="0"/>
          <w:i/>
          <w:spacing w:val="-5"/>
          <w:kern w:val="20"/>
          <w:szCs w:val="24"/>
        </w:rPr>
        <w:t>1</w:t>
      </w:r>
      <w:r w:rsidRPr="00394E75">
        <w:rPr>
          <w:rFonts w:ascii="Arial" w:hAnsi="Arial" w:cs="Arial"/>
          <w:b w:val="0"/>
          <w:spacing w:val="-5"/>
          <w:kern w:val="20"/>
          <w:szCs w:val="24"/>
        </w:rPr>
        <w:t xml:space="preserve">)  </w:t>
      </w:r>
      <w:r w:rsidRPr="00394E75">
        <w:rPr>
          <w:rFonts w:ascii="Arial" w:hAnsi="Arial" w:cs="Arial"/>
          <w:b w:val="0"/>
          <w:i/>
          <w:spacing w:val="-5"/>
          <w:kern w:val="20"/>
          <w:szCs w:val="24"/>
        </w:rPr>
        <w:t>Monitoring contractor's corrective action</w:t>
      </w:r>
      <w:r w:rsidRPr="00394E75">
        <w:rPr>
          <w:rFonts w:ascii="Arial" w:hAnsi="Arial" w:cs="Arial"/>
          <w:b w:val="0"/>
          <w:spacing w:val="-5"/>
          <w:kern w:val="20"/>
          <w:szCs w:val="24"/>
        </w:rPr>
        <w:t xml:space="preserve">.  The contracting officer and cognizant functional specialist or auditor must monitor the contractor's progress in correcting material weaknesses and deficiencies.  If the contractor fails to make adequate progress, the contracting officer must take whatever action is necessary to ensure that the contractor corrects the weaknesses and deficiencies.  Actions the contracting officer may take include:  withdraw or withhold approval of the system; bringing the issue to the attention of higher level management, as applicable; recommending non-award of potential contracts; and for material weaknesses, implementing or increasing the withholding in accordance with </w:t>
      </w:r>
      <w:hyperlink r:id="rId15" w:anchor="252.242-7005" w:history="1">
        <w:r w:rsidRPr="00394E75">
          <w:rPr>
            <w:rFonts w:ascii="Arial" w:hAnsi="Arial" w:cs="Arial"/>
            <w:b w:val="0"/>
            <w:color w:val="0000FF"/>
            <w:spacing w:val="-5"/>
            <w:kern w:val="20"/>
            <w:szCs w:val="24"/>
            <w:u w:val="single"/>
          </w:rPr>
          <w:t>252.242-7005</w:t>
        </w:r>
      </w:hyperlink>
      <w:r w:rsidRPr="00394E75">
        <w:rPr>
          <w:rFonts w:ascii="Arial" w:hAnsi="Arial" w:cs="Arial"/>
          <w:b w:val="0"/>
          <w:spacing w:val="-5"/>
          <w:kern w:val="20"/>
          <w:szCs w:val="24"/>
        </w:rPr>
        <w:t>, Contractor Business Systems.</w:t>
      </w:r>
    </w:p>
    <w:p w14:paraId="3DDB3431"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D6E175E"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w:t>
      </w:r>
      <w:r w:rsidRPr="00394E75">
        <w:rPr>
          <w:rFonts w:ascii="Arial" w:hAnsi="Arial" w:cs="Arial"/>
          <w:b w:val="0"/>
          <w:i/>
          <w:spacing w:val="-5"/>
          <w:kern w:val="20"/>
          <w:szCs w:val="24"/>
        </w:rPr>
        <w:t>2</w:t>
      </w:r>
      <w:r w:rsidRPr="00394E75">
        <w:rPr>
          <w:rFonts w:ascii="Arial" w:hAnsi="Arial" w:cs="Arial"/>
          <w:b w:val="0"/>
          <w:spacing w:val="-5"/>
          <w:kern w:val="20"/>
          <w:szCs w:val="24"/>
        </w:rPr>
        <w:t xml:space="preserve">)  </w:t>
      </w:r>
      <w:r w:rsidRPr="00394E75">
        <w:rPr>
          <w:rFonts w:ascii="Arial" w:hAnsi="Arial" w:cs="Arial"/>
          <w:b w:val="0"/>
          <w:i/>
          <w:spacing w:val="-5"/>
          <w:kern w:val="20"/>
          <w:szCs w:val="24"/>
        </w:rPr>
        <w:t>Correction of material weaknesses</w:t>
      </w:r>
      <w:r w:rsidRPr="00394E75">
        <w:rPr>
          <w:rFonts w:ascii="Arial" w:hAnsi="Arial" w:cs="Arial"/>
          <w:b w:val="0"/>
          <w:spacing w:val="-5"/>
          <w:kern w:val="20"/>
          <w:szCs w:val="24"/>
        </w:rPr>
        <w:t>.</w:t>
      </w:r>
    </w:p>
    <w:p w14:paraId="23832347"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8ED221F"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w:t>
      </w:r>
      <w:r w:rsidRPr="00394E75">
        <w:rPr>
          <w:rFonts w:ascii="Arial" w:hAnsi="Arial" w:cs="Arial"/>
          <w:b w:val="0"/>
          <w:i/>
          <w:spacing w:val="-5"/>
          <w:kern w:val="20"/>
          <w:szCs w:val="24"/>
        </w:rPr>
        <w:t>i</w:t>
      </w:r>
      <w:r w:rsidRPr="00394E75">
        <w:rPr>
          <w:rFonts w:ascii="Arial" w:hAnsi="Arial" w:cs="Arial"/>
          <w:b w:val="0"/>
          <w:spacing w:val="-5"/>
          <w:kern w:val="20"/>
          <w:szCs w:val="24"/>
        </w:rPr>
        <w:t xml:space="preserve">)  When the contractor notifies the contracting officer that the </w:t>
      </w:r>
    </w:p>
    <w:p w14:paraId="3C42FC78"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contractor has corrected the material weaknesses, the contracting officer must request the cognizant functional specialist or auditor to review the correction to determine whether the weaknesses and deficiencies have been resolved.</w:t>
      </w:r>
    </w:p>
    <w:p w14:paraId="70DC4F26"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ED5508D"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w:t>
      </w:r>
      <w:r w:rsidRPr="00394E75">
        <w:rPr>
          <w:rFonts w:ascii="Arial" w:hAnsi="Arial" w:cs="Arial"/>
          <w:b w:val="0"/>
          <w:i/>
          <w:spacing w:val="-5"/>
          <w:kern w:val="20"/>
          <w:szCs w:val="24"/>
        </w:rPr>
        <w:t>ii</w:t>
      </w:r>
      <w:r w:rsidRPr="00394E75">
        <w:rPr>
          <w:rFonts w:ascii="Arial" w:hAnsi="Arial" w:cs="Arial"/>
          <w:b w:val="0"/>
          <w:spacing w:val="-5"/>
          <w:kern w:val="20"/>
          <w:szCs w:val="24"/>
        </w:rPr>
        <w:t>)  The contracting officer must determine whether the contractor has corrected the weaknesses and deficiencies.</w:t>
      </w:r>
    </w:p>
    <w:p w14:paraId="688012DA"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460290A"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r>
      <w:r w:rsidRPr="00394E75">
        <w:rPr>
          <w:rFonts w:ascii="Arial" w:hAnsi="Arial" w:cs="Arial"/>
          <w:b w:val="0"/>
          <w:spacing w:val="-5"/>
          <w:kern w:val="20"/>
          <w:szCs w:val="24"/>
        </w:rPr>
        <w:tab/>
        <w:t>(</w:t>
      </w:r>
      <w:r w:rsidRPr="00394E75">
        <w:rPr>
          <w:rFonts w:ascii="Arial" w:hAnsi="Arial" w:cs="Arial"/>
          <w:b w:val="0"/>
          <w:i/>
          <w:spacing w:val="-5"/>
          <w:kern w:val="20"/>
          <w:szCs w:val="24"/>
        </w:rPr>
        <w:t>iii</w:t>
      </w:r>
      <w:r w:rsidRPr="00394E75">
        <w:rPr>
          <w:rFonts w:ascii="Arial" w:hAnsi="Arial" w:cs="Arial"/>
          <w:b w:val="0"/>
          <w:spacing w:val="-5"/>
          <w:kern w:val="20"/>
          <w:szCs w:val="24"/>
        </w:rPr>
        <w:t xml:space="preserve">)  If the contracting officer determines the contractor has corrected </w:t>
      </w:r>
    </w:p>
    <w:p w14:paraId="48131111"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 xml:space="preserve">the weaknesses and deficiencies, send the contracting officer’s notification to the cognizant </w:t>
      </w:r>
    </w:p>
    <w:p w14:paraId="1E828801"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394E75">
        <w:rPr>
          <w:rFonts w:ascii="Arial" w:hAnsi="Arial" w:cs="Arial"/>
          <w:b w:val="0"/>
          <w:spacing w:val="-5"/>
          <w:kern w:val="20"/>
          <w:szCs w:val="24"/>
        </w:rPr>
        <w:t>functional specialist; auditor; payment office; appropriate action officers responsible for reporting past performance at the requiring activities; and each contracting and contract administration office having substantial business with the contractor as applicable.</w:t>
      </w:r>
    </w:p>
    <w:p w14:paraId="10A84524" w14:textId="77777777" w:rsidR="00394E75" w:rsidRPr="00394E75" w:rsidRDefault="00394E75" w:rsidP="00394E7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E349476" w14:textId="77777777" w:rsidR="00394E75" w:rsidRPr="00394E75" w:rsidRDefault="00394E75" w:rsidP="00D22389">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PGI 234.70—ACQUISITION OF MAJOR WEAPON SYSTEMS AS COMMERCIAL PRODUCTS</w:t>
      </w:r>
    </w:p>
    <w:p w14:paraId="22304CEF" w14:textId="77777777" w:rsidR="00394E75" w:rsidRPr="00394E75" w:rsidRDefault="00394E75" w:rsidP="00D22389">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32042D0A" w14:textId="77777777" w:rsidR="00394E75" w:rsidRPr="00394E75" w:rsidRDefault="00394E75" w:rsidP="00D22389">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PGI 234.7002  Policy.</w:t>
      </w:r>
    </w:p>
    <w:p w14:paraId="6540A5A8" w14:textId="77777777" w:rsidR="00394E75" w:rsidRPr="00394E75" w:rsidRDefault="00394E75" w:rsidP="00D22389">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ab/>
      </w:r>
    </w:p>
    <w:p w14:paraId="7C2013BE" w14:textId="77777777" w:rsidR="00394E75" w:rsidRPr="00394E75" w:rsidRDefault="00394E75" w:rsidP="00D22389">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ab/>
        <w:t xml:space="preserve">(d) </w:t>
      </w:r>
      <w:r w:rsidRPr="00394E75">
        <w:rPr>
          <w:rFonts w:ascii="Arial" w:hAnsi="Arial" w:cs="Arial"/>
          <w:b w:val="0"/>
          <w:bCs/>
          <w:i/>
          <w:iCs/>
          <w:spacing w:val="-5"/>
          <w:kern w:val="20"/>
          <w:szCs w:val="24"/>
        </w:rPr>
        <w:t>Commerciality determination</w:t>
      </w:r>
      <w:r w:rsidRPr="00394E75">
        <w:rPr>
          <w:rFonts w:ascii="Arial" w:hAnsi="Arial" w:cs="Arial"/>
          <w:b w:val="0"/>
          <w:bCs/>
          <w:spacing w:val="-5"/>
          <w:kern w:val="20"/>
          <w:szCs w:val="24"/>
        </w:rPr>
        <w:t>. To the extent necessary to make a commercial product determination in accordance with 212.102(a)(iii) that relies on paragraph (1), (2), (3), (4), or (5) of the “commercial product” definition at FAR 2.101 for a subsystem, component, or spare part as described in paragraphs (b) and (c) of 234.7002, the provision at 252.215-7010, Requirements for Certified Cost or Pricing Data and Data Other Than Certified Cost or Pricing Data, requires submissions from the offeror.</w:t>
      </w:r>
    </w:p>
    <w:p w14:paraId="75A24792"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DA0AD70" w14:textId="416A1566"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lastRenderedPageBreak/>
        <w:tab/>
        <w:t xml:space="preserve">(e)  </w:t>
      </w:r>
      <w:r w:rsidRPr="00394E75">
        <w:rPr>
          <w:rFonts w:ascii="Arial" w:hAnsi="Arial" w:cs="Arial"/>
          <w:b w:val="0"/>
          <w:bCs/>
          <w:i/>
          <w:iCs/>
          <w:spacing w:val="-5"/>
          <w:kern w:val="20"/>
          <w:szCs w:val="24"/>
        </w:rPr>
        <w:t>Relevant information to determine price reasonableness</w:t>
      </w:r>
      <w:r w:rsidRPr="00394E75">
        <w:rPr>
          <w:rFonts w:ascii="Arial" w:hAnsi="Arial" w:cs="Arial"/>
          <w:b w:val="0"/>
          <w:bCs/>
          <w:spacing w:val="-5"/>
          <w:kern w:val="20"/>
          <w:szCs w:val="24"/>
        </w:rPr>
        <w:t>. For products relying on paragraph (3)(ii) of the “commercial product” definition at FAR 2.101, see FAR 15.403-</w:t>
      </w:r>
      <w:r w:rsidR="00DA4BCB">
        <w:rPr>
          <w:rFonts w:ascii="Arial" w:hAnsi="Arial" w:cs="Arial"/>
          <w:b w:val="0"/>
          <w:bCs/>
          <w:spacing w:val="-5"/>
          <w:kern w:val="20"/>
          <w:szCs w:val="24"/>
        </w:rPr>
        <w:t>2</w:t>
      </w:r>
      <w:r w:rsidRPr="00394E75">
        <w:rPr>
          <w:rFonts w:ascii="Arial" w:hAnsi="Arial" w:cs="Arial"/>
          <w:b w:val="0"/>
          <w:bCs/>
          <w:spacing w:val="-5"/>
          <w:kern w:val="20"/>
          <w:szCs w:val="24"/>
        </w:rPr>
        <w:t>(c)(3)(iii)(C). See 212.209(a) for requirements of 10 U.S.C. 3453 with regard to market research.</w:t>
      </w:r>
    </w:p>
    <w:p w14:paraId="482A9633"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24D10DC0"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ab/>
      </w:r>
      <w:r w:rsidRPr="00394E75">
        <w:rPr>
          <w:rFonts w:ascii="Arial" w:hAnsi="Arial" w:cs="Arial"/>
          <w:b w:val="0"/>
          <w:bCs/>
          <w:spacing w:val="-5"/>
          <w:kern w:val="20"/>
          <w:szCs w:val="24"/>
        </w:rPr>
        <w:tab/>
      </w:r>
      <w:r w:rsidRPr="00394E75">
        <w:rPr>
          <w:rFonts w:ascii="Arial" w:hAnsi="Arial" w:cs="Arial"/>
          <w:b w:val="0"/>
          <w:bCs/>
          <w:spacing w:val="-5"/>
          <w:kern w:val="20"/>
          <w:szCs w:val="24"/>
        </w:rPr>
        <w:tab/>
        <w:t xml:space="preserve">(5)  The Department of Defense Guidebook for Acquiring Commercial Items, Part B, provides additional guidance on the use of value analysis.  See “Value Analysis” within the section on “Price Analysis Techniques” at </w:t>
      </w:r>
      <w:hyperlink r:id="rId16" w:history="1">
        <w:r w:rsidRPr="00394E75">
          <w:rPr>
            <w:rFonts w:ascii="Arial" w:hAnsi="Arial" w:cs="Arial"/>
            <w:b w:val="0"/>
            <w:bCs/>
            <w:i/>
            <w:iCs/>
            <w:color w:val="0000FF"/>
            <w:spacing w:val="-5"/>
            <w:kern w:val="20"/>
            <w:szCs w:val="24"/>
            <w:u w:val="single"/>
            <w:lang w:val="en"/>
          </w:rPr>
          <w:t>https://www.acq.osd.mil/asda/dpc/cp/policy/docs/guidebook/Guidebook_Part_B_Commercial_Item_Pricing_20180126.pdf</w:t>
        </w:r>
      </w:hyperlink>
      <w:r w:rsidRPr="00394E75">
        <w:rPr>
          <w:rFonts w:ascii="Arial" w:hAnsi="Arial" w:cs="Arial"/>
          <w:b w:val="0"/>
          <w:bCs/>
          <w:spacing w:val="-5"/>
          <w:kern w:val="20"/>
          <w:szCs w:val="24"/>
        </w:rPr>
        <w:t>.</w:t>
      </w:r>
    </w:p>
    <w:p w14:paraId="030955D2"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722DBA9E"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 xml:space="preserve">PGI 234.71—COST AND SOFTWARE DATA REPORTING  </w:t>
      </w:r>
    </w:p>
    <w:p w14:paraId="5F5D2DB1"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14AEC787"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PGI 234.7100  Policy.</w:t>
      </w:r>
    </w:p>
    <w:p w14:paraId="102952EC"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1C5EE926"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The Cost Assessment and Program Evaluation (CAPE) office, may be contacted at—</w:t>
      </w:r>
    </w:p>
    <w:p w14:paraId="0023203D"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E9877EF" w14:textId="77777777" w:rsidR="00394E75" w:rsidRPr="00394E75" w:rsidRDefault="00394E75" w:rsidP="00394E75">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r w:rsidRPr="00394E75">
        <w:rPr>
          <w:rFonts w:ascii="Arial" w:hAnsi="Arial" w:cs="Arial"/>
          <w:b w:val="0"/>
          <w:bCs/>
          <w:spacing w:val="-5"/>
          <w:kern w:val="20"/>
          <w:szCs w:val="24"/>
        </w:rPr>
        <w:t>Cost Assessment and Program Evaluation</w:t>
      </w:r>
    </w:p>
    <w:p w14:paraId="1A3DF960" w14:textId="77777777" w:rsidR="00394E75" w:rsidRPr="00394E75" w:rsidRDefault="00394E75" w:rsidP="00394E75">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r w:rsidRPr="00394E75">
        <w:rPr>
          <w:rFonts w:ascii="Arial" w:hAnsi="Arial" w:cs="Arial"/>
          <w:b w:val="0"/>
          <w:bCs/>
          <w:spacing w:val="-5"/>
          <w:kern w:val="20"/>
          <w:szCs w:val="24"/>
        </w:rPr>
        <w:t>Attn:  Deputy Director, Cost Assessment</w:t>
      </w:r>
    </w:p>
    <w:p w14:paraId="569488CD"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1800 Defense Pentagon</w:t>
      </w:r>
    </w:p>
    <w:p w14:paraId="1B5111C4"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Washington, DC 20301-1800</w:t>
      </w:r>
    </w:p>
    <w:p w14:paraId="10235842" w14:textId="77777777" w:rsidR="00394E75" w:rsidRPr="00394E75" w:rsidRDefault="00394E75" w:rsidP="00394E75">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r w:rsidRPr="00394E75">
        <w:rPr>
          <w:rFonts w:ascii="Arial" w:hAnsi="Arial" w:cs="Arial"/>
          <w:b w:val="0"/>
          <w:bCs/>
          <w:i/>
          <w:iCs/>
          <w:spacing w:val="-5"/>
          <w:kern w:val="20"/>
          <w:szCs w:val="24"/>
        </w:rPr>
        <w:t>osd.mc-alex.cape.mbx.cade-helpdesk@mail.mil</w:t>
      </w:r>
    </w:p>
    <w:p w14:paraId="36FD9D77"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i/>
          <w:iCs/>
          <w:spacing w:val="-5"/>
          <w:kern w:val="20"/>
          <w:szCs w:val="24"/>
        </w:rPr>
        <w:t>https://cade.osd.mil/</w:t>
      </w:r>
    </w:p>
    <w:p w14:paraId="6A0B6A67"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2FDD2E6"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394E75">
        <w:rPr>
          <w:rFonts w:ascii="Arial" w:hAnsi="Arial" w:cs="Arial"/>
          <w:spacing w:val="-5"/>
          <w:kern w:val="20"/>
          <w:szCs w:val="24"/>
        </w:rPr>
        <w:t>PGI 234.72—ACQUISITION STRATEGY FOR MAJOR SYSTEMS</w:t>
      </w:r>
    </w:p>
    <w:p w14:paraId="6E90A774"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3E750E8B" w14:textId="1020E82A" w:rsidR="00394E75" w:rsidRPr="00990BA6"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990BA6">
        <w:rPr>
          <w:rFonts w:ascii="Arial" w:hAnsi="Arial" w:cs="Arial"/>
          <w:spacing w:val="-5"/>
          <w:kern w:val="20"/>
          <w:szCs w:val="24"/>
        </w:rPr>
        <w:t xml:space="preserve">PGI 234.7202  </w:t>
      </w:r>
      <w:r w:rsidR="00990BA6" w:rsidRPr="00990BA6">
        <w:rPr>
          <w:rFonts w:ascii="Arial" w:hAnsi="Arial" w:cs="Arial"/>
          <w:spacing w:val="-5"/>
          <w:kern w:val="20"/>
          <w:szCs w:val="24"/>
        </w:rPr>
        <w:t>Procedures.</w:t>
      </w:r>
    </w:p>
    <w:p w14:paraId="2BBBB8A6"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BA77D16" w14:textId="71356FBE"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ab/>
      </w:r>
      <w:r w:rsidRPr="00394E75">
        <w:rPr>
          <w:rFonts w:ascii="Arial" w:hAnsi="Arial" w:cs="Arial"/>
          <w:b w:val="0"/>
          <w:bCs/>
          <w:spacing w:val="-5"/>
          <w:kern w:val="20"/>
          <w:szCs w:val="24"/>
        </w:rPr>
        <w:tab/>
      </w:r>
      <w:r w:rsidR="00990BA6">
        <w:rPr>
          <w:rFonts w:ascii="Arial" w:hAnsi="Arial" w:cs="Arial"/>
          <w:b w:val="0"/>
          <w:bCs/>
          <w:spacing w:val="-5"/>
          <w:kern w:val="20"/>
          <w:szCs w:val="24"/>
        </w:rPr>
        <w:t>(b)</w:t>
      </w:r>
      <w:r w:rsidR="00990BA6" w:rsidRPr="00990BA6">
        <w:rPr>
          <w:rFonts w:ascii="Arial" w:hAnsi="Arial" w:cs="Arial"/>
          <w:b w:val="0"/>
          <w:bCs/>
          <w:spacing w:val="-5"/>
          <w:kern w:val="20"/>
          <w:szCs w:val="24"/>
        </w:rPr>
        <w:t xml:space="preserve"> </w:t>
      </w:r>
      <w:r w:rsidR="00990BA6" w:rsidRPr="00990BA6">
        <w:rPr>
          <w:rFonts w:ascii="Arial" w:hAnsi="Arial" w:cs="Arial"/>
          <w:b w:val="0"/>
          <w:bCs/>
          <w:i/>
          <w:iCs/>
          <w:spacing w:val="-5"/>
          <w:kern w:val="20"/>
          <w:szCs w:val="24"/>
        </w:rPr>
        <w:t>Use of cost-reimbursement line items for production of major defense acquisition programs.</w:t>
      </w:r>
      <w:r w:rsidR="00990BA6" w:rsidRPr="00394E75">
        <w:rPr>
          <w:rFonts w:ascii="Arial" w:hAnsi="Arial" w:cs="Arial"/>
          <w:b w:val="0"/>
          <w:bCs/>
          <w:spacing w:val="-5"/>
          <w:kern w:val="20"/>
          <w:szCs w:val="24"/>
        </w:rPr>
        <w:t xml:space="preserve"> </w:t>
      </w:r>
      <w:r w:rsidRPr="00394E75">
        <w:rPr>
          <w:rFonts w:ascii="Arial" w:hAnsi="Arial" w:cs="Arial"/>
          <w:b w:val="0"/>
          <w:bCs/>
          <w:spacing w:val="-5"/>
          <w:kern w:val="20"/>
          <w:szCs w:val="24"/>
        </w:rPr>
        <w:t>(1)  For additional contract type approval requirements for cost-reimbursement contracts, see 216.301-3.  For fixed-price incentive (firm target) contracts, see PGI 216.403-1(1)(ii)(B) and (C).</w:t>
      </w:r>
    </w:p>
    <w:p w14:paraId="1C5AF559" w14:textId="4251B1F1"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 xml:space="preserve"> </w:t>
      </w:r>
    </w:p>
    <w:p w14:paraId="7A47FACC" w14:textId="77777777" w:rsidR="00990BA6"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394E75">
        <w:rPr>
          <w:rFonts w:ascii="Arial" w:hAnsi="Arial" w:cs="Arial"/>
          <w:b w:val="0"/>
          <w:bCs/>
          <w:spacing w:val="-5"/>
          <w:kern w:val="20"/>
          <w:szCs w:val="24"/>
        </w:rPr>
        <w:tab/>
      </w:r>
      <w:r w:rsidRPr="00394E75">
        <w:rPr>
          <w:rFonts w:ascii="Arial" w:hAnsi="Arial" w:cs="Arial"/>
          <w:b w:val="0"/>
          <w:bCs/>
          <w:spacing w:val="-5"/>
          <w:kern w:val="20"/>
          <w:szCs w:val="24"/>
        </w:rPr>
        <w:tab/>
      </w:r>
      <w:r w:rsidR="00990BA6">
        <w:rPr>
          <w:rFonts w:ascii="Arial" w:hAnsi="Arial" w:cs="Arial"/>
          <w:b w:val="0"/>
          <w:bCs/>
          <w:spacing w:val="-5"/>
          <w:kern w:val="20"/>
          <w:szCs w:val="24"/>
        </w:rPr>
        <w:t>(e)</w:t>
      </w:r>
      <w:r w:rsidR="00990BA6" w:rsidRPr="00990BA6">
        <w:t xml:space="preserve"> </w:t>
      </w:r>
      <w:r w:rsidR="00990BA6" w:rsidRPr="00990BA6">
        <w:rPr>
          <w:rFonts w:ascii="Arial" w:hAnsi="Arial" w:cs="Arial"/>
          <w:b w:val="0"/>
          <w:bCs/>
          <w:i/>
          <w:iCs/>
          <w:spacing w:val="-5"/>
          <w:kern w:val="20"/>
          <w:szCs w:val="24"/>
        </w:rPr>
        <w:t xml:space="preserve">Development and demonstration of initial or additional prototype units. </w:t>
      </w:r>
    </w:p>
    <w:p w14:paraId="1F399EC1" w14:textId="77777777" w:rsidR="00990BA6" w:rsidRDefault="00990BA6"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68831B37" w14:textId="628AEA78" w:rsidR="00394E75" w:rsidRPr="00394E75" w:rsidRDefault="00990BA6"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Pr>
          <w:rFonts w:ascii="Arial" w:hAnsi="Arial" w:cs="Arial"/>
          <w:b w:val="0"/>
          <w:bCs/>
          <w:spacing w:val="-5"/>
          <w:kern w:val="20"/>
          <w:szCs w:val="24"/>
        </w:rPr>
        <w:tab/>
      </w:r>
      <w:r>
        <w:rPr>
          <w:rFonts w:ascii="Arial" w:hAnsi="Arial" w:cs="Arial"/>
          <w:b w:val="0"/>
          <w:bCs/>
          <w:spacing w:val="-5"/>
          <w:kern w:val="20"/>
          <w:szCs w:val="24"/>
        </w:rPr>
        <w:tab/>
      </w:r>
      <w:r>
        <w:rPr>
          <w:rFonts w:ascii="Arial" w:hAnsi="Arial" w:cs="Arial"/>
          <w:b w:val="0"/>
          <w:bCs/>
          <w:spacing w:val="-5"/>
          <w:kern w:val="20"/>
          <w:szCs w:val="24"/>
        </w:rPr>
        <w:tab/>
      </w:r>
      <w:r w:rsidR="00394E75" w:rsidRPr="00394E75">
        <w:rPr>
          <w:rFonts w:ascii="Arial" w:hAnsi="Arial" w:cs="Arial"/>
          <w:b w:val="0"/>
          <w:bCs/>
          <w:spacing w:val="-5"/>
          <w:kern w:val="20"/>
          <w:szCs w:val="24"/>
        </w:rPr>
        <w:t xml:space="preserve">(3)  Upon request by Defense Pricing, Contracting, and Acquisition Policy (Contract Policy), contracting activities must provide the benefits derived from the use of contract line items or contract options for the development and demonstration or initial production of technology developed under the contract, or the delivery of initial or additional items in accordance with DFARS </w:t>
      </w:r>
      <w:hyperlink r:id="rId17" w:anchor="235.016" w:history="1">
        <w:r w:rsidR="00394E75" w:rsidRPr="00394E75">
          <w:rPr>
            <w:rFonts w:ascii="Arial" w:hAnsi="Arial" w:cs="Arial"/>
            <w:b w:val="0"/>
            <w:bCs/>
            <w:color w:val="0000FF"/>
            <w:spacing w:val="-5"/>
            <w:kern w:val="20"/>
            <w:szCs w:val="24"/>
            <w:u w:val="single"/>
          </w:rPr>
          <w:t>235.016</w:t>
        </w:r>
      </w:hyperlink>
      <w:r w:rsidR="00394E75" w:rsidRPr="00394E75">
        <w:rPr>
          <w:rFonts w:ascii="Arial" w:hAnsi="Arial" w:cs="Arial"/>
          <w:b w:val="0"/>
          <w:bCs/>
          <w:spacing w:val="-5"/>
          <w:kern w:val="20"/>
          <w:szCs w:val="24"/>
        </w:rPr>
        <w:t xml:space="preserve"> and </w:t>
      </w:r>
      <w:hyperlink r:id="rId18" w:anchor="234.005-1" w:history="1">
        <w:r w:rsidR="00394E75" w:rsidRPr="00394E75">
          <w:rPr>
            <w:rFonts w:ascii="Arial" w:hAnsi="Arial" w:cs="Arial"/>
            <w:b w:val="0"/>
            <w:bCs/>
            <w:color w:val="0000FF"/>
            <w:spacing w:val="-5"/>
            <w:kern w:val="20"/>
            <w:szCs w:val="24"/>
            <w:u w:val="single"/>
          </w:rPr>
          <w:t>234.005-1</w:t>
        </w:r>
      </w:hyperlink>
      <w:r w:rsidR="00394E75" w:rsidRPr="00394E75">
        <w:rPr>
          <w:rFonts w:ascii="Arial" w:hAnsi="Arial" w:cs="Arial"/>
          <w:b w:val="0"/>
          <w:bCs/>
          <w:spacing w:val="-5"/>
          <w:kern w:val="20"/>
          <w:szCs w:val="24"/>
        </w:rPr>
        <w:t>.</w:t>
      </w:r>
    </w:p>
    <w:p w14:paraId="08B7FC8D" w14:textId="77777777" w:rsidR="00394E75" w:rsidRPr="00394E75" w:rsidRDefault="00394E75" w:rsidP="00394E7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sectPr w:rsidR="00394E75" w:rsidRPr="00394E75" w:rsidSect="000E055F">
      <w:headerReference w:type="default" r:id="rId19"/>
      <w:footerReference w:type="default" r:id="rId20"/>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580" w14:textId="77777777" w:rsidR="00ED0BEC" w:rsidRDefault="00ED0BEC">
      <w:r>
        <w:separator/>
      </w:r>
    </w:p>
  </w:endnote>
  <w:endnote w:type="continuationSeparator" w:id="0">
    <w:p w14:paraId="0E00968B" w14:textId="77777777" w:rsidR="00ED0BEC" w:rsidRDefault="00ED0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18"/>
        <w:szCs w:val="18"/>
      </w:rPr>
      <w:id w:val="711696559"/>
      <w:docPartObj>
        <w:docPartGallery w:val="Page Numbers (Bottom of Page)"/>
        <w:docPartUnique/>
      </w:docPartObj>
    </w:sdtPr>
    <w:sdtEndPr>
      <w:rPr>
        <w:bCs w:val="0"/>
        <w:sz w:val="20"/>
        <w:szCs w:val="20"/>
      </w:rPr>
    </w:sdtEndPr>
    <w:sdtContent>
      <w:sdt>
        <w:sdtPr>
          <w:rPr>
            <w:rFonts w:ascii="Arial" w:hAnsi="Arial" w:cs="Arial"/>
            <w:b w:val="0"/>
            <w:bCs/>
            <w:sz w:val="18"/>
            <w:szCs w:val="18"/>
          </w:rPr>
          <w:id w:val="-1705238520"/>
          <w:docPartObj>
            <w:docPartGallery w:val="Page Numbers (Top of Page)"/>
            <w:docPartUnique/>
          </w:docPartObj>
        </w:sdtPr>
        <w:sdtEndPr>
          <w:rPr>
            <w:bCs w:val="0"/>
            <w:sz w:val="20"/>
            <w:szCs w:val="20"/>
          </w:rPr>
        </w:sdtEndPr>
        <w:sdtContent>
          <w:p w14:paraId="63886629" w14:textId="1CF2D46C" w:rsidR="00EC68A6" w:rsidRPr="00F77ED2" w:rsidRDefault="00EC68A6" w:rsidP="00EC68A6">
            <w:pPr>
              <w:pStyle w:val="Footer"/>
              <w:tabs>
                <w:tab w:val="clear" w:pos="1000"/>
              </w:tabs>
              <w:ind w:left="0" w:firstLine="0"/>
              <w:rPr>
                <w:b w:val="0"/>
                <w:bCs/>
                <w:sz w:val="18"/>
                <w:szCs w:val="18"/>
              </w:rPr>
            </w:pPr>
          </w:p>
          <w:p w14:paraId="02A28447" w14:textId="02C41AE6" w:rsidR="006218C5" w:rsidRPr="006D1138" w:rsidRDefault="006218C5" w:rsidP="00F257D3">
            <w:pPr>
              <w:pStyle w:val="Footer"/>
              <w:tabs>
                <w:tab w:val="clear" w:pos="1000"/>
                <w:tab w:val="clear" w:pos="4320"/>
                <w:tab w:val="clear" w:pos="8640"/>
                <w:tab w:val="left" w:pos="0"/>
                <w:tab w:val="left" w:pos="3228"/>
              </w:tabs>
              <w:ind w:left="0" w:firstLine="0"/>
              <w:jc w:val="center"/>
              <w:rPr>
                <w:rFonts w:ascii="Arial" w:hAnsi="Arial" w:cs="Arial"/>
                <w:b w:val="0"/>
                <w:sz w:val="20"/>
              </w:rPr>
            </w:pPr>
            <w:r w:rsidRPr="006D1138">
              <w:rPr>
                <w:rFonts w:ascii="Arial" w:hAnsi="Arial" w:cs="Arial"/>
                <w:b w:val="0"/>
                <w:sz w:val="20"/>
              </w:rPr>
              <w:t xml:space="preserve">Page </w:t>
            </w:r>
            <w:r w:rsidRPr="006D1138">
              <w:rPr>
                <w:rFonts w:ascii="Arial" w:hAnsi="Arial" w:cs="Arial"/>
                <w:b w:val="0"/>
                <w:sz w:val="20"/>
              </w:rPr>
              <w:fldChar w:fldCharType="begin"/>
            </w:r>
            <w:r w:rsidRPr="006D1138">
              <w:rPr>
                <w:rFonts w:ascii="Arial" w:hAnsi="Arial" w:cs="Arial"/>
                <w:b w:val="0"/>
                <w:sz w:val="20"/>
              </w:rPr>
              <w:instrText xml:space="preserve"> PAGE </w:instrText>
            </w:r>
            <w:r w:rsidRPr="006D1138">
              <w:rPr>
                <w:rFonts w:ascii="Arial" w:hAnsi="Arial" w:cs="Arial"/>
                <w:b w:val="0"/>
                <w:sz w:val="20"/>
              </w:rPr>
              <w:fldChar w:fldCharType="separate"/>
            </w:r>
            <w:r w:rsidRPr="006D1138">
              <w:rPr>
                <w:rFonts w:ascii="Arial" w:hAnsi="Arial" w:cs="Arial"/>
                <w:sz w:val="20"/>
              </w:rPr>
              <w:t>1</w:t>
            </w:r>
            <w:r w:rsidRPr="006D1138">
              <w:rPr>
                <w:rFonts w:ascii="Arial" w:hAnsi="Arial" w:cs="Arial"/>
                <w:b w:val="0"/>
                <w:sz w:val="20"/>
              </w:rPr>
              <w:fldChar w:fldCharType="end"/>
            </w:r>
            <w:r w:rsidRPr="006D1138">
              <w:rPr>
                <w:rFonts w:ascii="Arial" w:hAnsi="Arial" w:cs="Arial"/>
                <w:b w:val="0"/>
                <w:sz w:val="20"/>
              </w:rPr>
              <w:t xml:space="preserve"> of </w:t>
            </w:r>
            <w:r w:rsidRPr="006D1138">
              <w:rPr>
                <w:rFonts w:ascii="Arial" w:hAnsi="Arial" w:cs="Arial"/>
                <w:b w:val="0"/>
                <w:sz w:val="20"/>
              </w:rPr>
              <w:fldChar w:fldCharType="begin"/>
            </w:r>
            <w:r w:rsidRPr="006D1138">
              <w:rPr>
                <w:rFonts w:ascii="Arial" w:hAnsi="Arial" w:cs="Arial"/>
                <w:b w:val="0"/>
                <w:sz w:val="20"/>
              </w:rPr>
              <w:instrText xml:space="preserve"> NUMPAGES  </w:instrText>
            </w:r>
            <w:r w:rsidRPr="006D1138">
              <w:rPr>
                <w:rFonts w:ascii="Arial" w:hAnsi="Arial" w:cs="Arial"/>
                <w:b w:val="0"/>
                <w:sz w:val="20"/>
              </w:rPr>
              <w:fldChar w:fldCharType="separate"/>
            </w:r>
            <w:r w:rsidRPr="006D1138">
              <w:rPr>
                <w:rFonts w:ascii="Arial" w:hAnsi="Arial" w:cs="Arial"/>
                <w:sz w:val="20"/>
              </w:rPr>
              <w:t>16</w:t>
            </w:r>
            <w:r w:rsidRPr="006D1138">
              <w:rPr>
                <w:rFonts w:ascii="Arial" w:hAnsi="Arial" w:cs="Arial"/>
                <w:b w:val="0"/>
                <w:sz w:val="20"/>
              </w:rPr>
              <w:fldChar w:fldCharType="end"/>
            </w:r>
          </w:p>
        </w:sdtContent>
      </w:sdt>
    </w:sdtContent>
  </w:sdt>
  <w:p w14:paraId="6F6696FA" w14:textId="3B1E3DDA" w:rsidR="004901B9" w:rsidRPr="00BC71C0" w:rsidRDefault="004901B9" w:rsidP="00137624">
    <w:pPr>
      <w:pStyle w:val="Footer"/>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27E5" w14:textId="77777777" w:rsidR="00ED0BEC" w:rsidRDefault="00ED0BEC">
      <w:r>
        <w:separator/>
      </w:r>
    </w:p>
  </w:footnote>
  <w:footnote w:type="continuationSeparator" w:id="0">
    <w:p w14:paraId="01D35C56" w14:textId="77777777" w:rsidR="00ED0BEC" w:rsidRDefault="00ED0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D029" w14:textId="1A9B6A71" w:rsidR="00BB34BF" w:rsidRPr="00BB34BF" w:rsidRDefault="00BB34BF" w:rsidP="00BB34BF">
    <w:pPr>
      <w:pStyle w:val="Header"/>
      <w:jc w:val="right"/>
      <w:rPr>
        <w:rFonts w:ascii="Arial" w:hAnsi="Arial" w:cs="Arial"/>
        <w:b w:val="0"/>
        <w:bCs/>
        <w:szCs w:val="24"/>
      </w:rPr>
    </w:pPr>
    <w:r w:rsidRPr="00BB34BF">
      <w:rPr>
        <w:rFonts w:ascii="Arial" w:hAnsi="Arial" w:cs="Arial"/>
        <w:b w:val="0"/>
        <w:bCs/>
        <w:szCs w:val="24"/>
      </w:rPr>
      <w:t xml:space="preserve">Attachment </w:t>
    </w:r>
    <w:r w:rsidR="00DD478E">
      <w:rPr>
        <w:rFonts w:ascii="Arial" w:hAnsi="Arial" w:cs="Arial"/>
        <w:b w:val="0"/>
        <w:bCs/>
        <w:szCs w:val="24"/>
      </w:rPr>
      <w:t>A</w:t>
    </w:r>
    <w:r w:rsidRPr="00BB34BF">
      <w:rPr>
        <w:rFonts w:ascii="Arial" w:hAnsi="Arial" w:cs="Arial"/>
        <w:b w:val="0"/>
        <w:bCs/>
        <w:szCs w:val="24"/>
      </w:rPr>
      <w:t>2</w:t>
    </w:r>
  </w:p>
  <w:p w14:paraId="69F964EC" w14:textId="59EE999C" w:rsidR="00BB34BF" w:rsidRPr="00BB34BF" w:rsidRDefault="00BB34BF" w:rsidP="00BB34BF">
    <w:pPr>
      <w:pStyle w:val="Header"/>
      <w:tabs>
        <w:tab w:val="center" w:pos="4680"/>
        <w:tab w:val="right" w:pos="9360"/>
      </w:tabs>
      <w:jc w:val="right"/>
      <w:rPr>
        <w:rFonts w:ascii="Arial" w:hAnsi="Arial" w:cs="Arial"/>
        <w:b w:val="0"/>
        <w:bCs/>
        <w:szCs w:val="24"/>
      </w:rPr>
    </w:pPr>
    <w:r w:rsidRPr="00BB34BF">
      <w:rPr>
        <w:rFonts w:ascii="Arial" w:hAnsi="Arial" w:cs="Arial"/>
        <w:b w:val="0"/>
        <w:bCs/>
        <w:szCs w:val="24"/>
      </w:rPr>
      <w:t>DARS Tracking Number</w:t>
    </w:r>
    <w:r w:rsidRPr="00EC68A6">
      <w:rPr>
        <w:rFonts w:ascii="Arial" w:hAnsi="Arial" w:cs="Arial"/>
        <w:b w:val="0"/>
        <w:bCs/>
        <w:szCs w:val="24"/>
      </w:rPr>
      <w:t>: 202</w:t>
    </w:r>
    <w:r w:rsidR="00EE5A60" w:rsidRPr="00EC68A6">
      <w:rPr>
        <w:rFonts w:ascii="Arial" w:hAnsi="Arial" w:cs="Arial"/>
        <w:b w:val="0"/>
        <w:bCs/>
        <w:szCs w:val="24"/>
      </w:rPr>
      <w:t>6</w:t>
    </w:r>
    <w:r w:rsidRPr="00EC68A6">
      <w:rPr>
        <w:rFonts w:ascii="Arial" w:hAnsi="Arial" w:cs="Arial"/>
        <w:b w:val="0"/>
        <w:bCs/>
        <w:szCs w:val="24"/>
      </w:rPr>
      <w:t>-O</w:t>
    </w:r>
    <w:r w:rsidR="000E055F">
      <w:rPr>
        <w:rFonts w:ascii="Arial" w:hAnsi="Arial" w:cs="Arial"/>
        <w:b w:val="0"/>
        <w:bCs/>
        <w:szCs w:val="24"/>
      </w:rPr>
      <w:t>0011</w:t>
    </w:r>
  </w:p>
  <w:p w14:paraId="1FA19C23" w14:textId="5D1F7DC4" w:rsidR="00BB34BF" w:rsidRDefault="00BB34BF" w:rsidP="00BB34BF">
    <w:pPr>
      <w:pStyle w:val="Header"/>
      <w:jc w:val="right"/>
      <w:rPr>
        <w:rFonts w:ascii="Arial" w:hAnsi="Arial" w:cs="Arial"/>
        <w:b w:val="0"/>
        <w:bCs/>
        <w:szCs w:val="24"/>
      </w:rPr>
    </w:pPr>
    <w:r w:rsidRPr="00BB34BF">
      <w:rPr>
        <w:rFonts w:ascii="Arial" w:hAnsi="Arial" w:cs="Arial"/>
        <w:b w:val="0"/>
        <w:bCs/>
        <w:szCs w:val="24"/>
      </w:rPr>
      <w:t xml:space="preserve">Revolutionary Federal Acquisition Regulation (FAR) Overhaul Part </w:t>
    </w:r>
    <w:r w:rsidR="00A62D7A">
      <w:rPr>
        <w:rFonts w:ascii="Arial" w:hAnsi="Arial" w:cs="Arial"/>
        <w:b w:val="0"/>
        <w:bCs/>
        <w:szCs w:val="24"/>
      </w:rPr>
      <w:t>34</w:t>
    </w:r>
  </w:p>
  <w:p w14:paraId="163872AD" w14:textId="03944F51" w:rsidR="00DD478E" w:rsidRPr="00BB34BF" w:rsidRDefault="00DD478E" w:rsidP="00BB34BF">
    <w:pPr>
      <w:pStyle w:val="Header"/>
      <w:jc w:val="right"/>
      <w:rPr>
        <w:rFonts w:ascii="Arial" w:hAnsi="Arial" w:cs="Arial"/>
        <w:b w:val="0"/>
        <w:bCs/>
        <w:szCs w:val="24"/>
      </w:rPr>
    </w:pPr>
    <w:r>
      <w:rPr>
        <w:rFonts w:ascii="Arial" w:hAnsi="Arial" w:cs="Arial"/>
        <w:b w:val="0"/>
        <w:bCs/>
        <w:szCs w:val="24"/>
      </w:rPr>
      <w:t>Defense FAR Supplement (DFARS) Part 2</w:t>
    </w:r>
    <w:r w:rsidR="00A62D7A">
      <w:rPr>
        <w:rFonts w:ascii="Arial" w:hAnsi="Arial" w:cs="Arial"/>
        <w:b w:val="0"/>
        <w:bCs/>
        <w:szCs w:val="24"/>
      </w:rPr>
      <w:t>34</w:t>
    </w:r>
  </w:p>
  <w:p w14:paraId="4851754A" w14:textId="7C234DC2" w:rsidR="00BB34BF" w:rsidRDefault="00BB34BF" w:rsidP="00BB34BF">
    <w:pPr>
      <w:pStyle w:val="Header"/>
      <w:jc w:val="right"/>
    </w:pPr>
  </w:p>
  <w:p w14:paraId="2BD55F56" w14:textId="77777777" w:rsidR="004901B9" w:rsidRDefault="004901B9" w:rsidP="00F257D3">
    <w:pPr>
      <w:pStyle w:val="Header"/>
      <w:ind w:left="0" w:firstLine="0"/>
      <w:jc w:val="center"/>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ABD"/>
    <w:multiLevelType w:val="hybridMultilevel"/>
    <w:tmpl w:val="835AB2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F9778F"/>
    <w:multiLevelType w:val="hybridMultilevel"/>
    <w:tmpl w:val="25A6B844"/>
    <w:lvl w:ilvl="0" w:tplc="1FB6DA02">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 w15:restartNumberingAfterBreak="0">
    <w:nsid w:val="05FF4A5C"/>
    <w:multiLevelType w:val="hybridMultilevel"/>
    <w:tmpl w:val="B37C0C16"/>
    <w:lvl w:ilvl="0" w:tplc="F0A44DB0">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 w15:restartNumberingAfterBreak="0">
    <w:nsid w:val="1CDE251A"/>
    <w:multiLevelType w:val="hybridMultilevel"/>
    <w:tmpl w:val="0E6A67A4"/>
    <w:lvl w:ilvl="0" w:tplc="4C8640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E1749"/>
    <w:multiLevelType w:val="hybridMultilevel"/>
    <w:tmpl w:val="6BC616B2"/>
    <w:lvl w:ilvl="0" w:tplc="84E8313E">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 w15:restartNumberingAfterBreak="0">
    <w:nsid w:val="378061A0"/>
    <w:multiLevelType w:val="hybridMultilevel"/>
    <w:tmpl w:val="FB86F21E"/>
    <w:lvl w:ilvl="0" w:tplc="0409000F">
      <w:start w:val="1"/>
      <w:numFmt w:val="decimal"/>
      <w:lvlText w:val="%1."/>
      <w:lvlJc w:val="left"/>
      <w:pPr>
        <w:tabs>
          <w:tab w:val="num" w:pos="0"/>
        </w:tabs>
        <w:ind w:left="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15:restartNumberingAfterBreak="0">
    <w:nsid w:val="39204C7A"/>
    <w:multiLevelType w:val="hybridMultilevel"/>
    <w:tmpl w:val="CFD264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5451829"/>
    <w:multiLevelType w:val="hybridMultilevel"/>
    <w:tmpl w:val="5874E32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5A4856"/>
    <w:multiLevelType w:val="hybridMultilevel"/>
    <w:tmpl w:val="75EC4450"/>
    <w:lvl w:ilvl="0" w:tplc="0409000F">
      <w:start w:val="1"/>
      <w:numFmt w:val="decimal"/>
      <w:lvlText w:val="%1."/>
      <w:lvlJc w:val="left"/>
      <w:pPr>
        <w:tabs>
          <w:tab w:val="num" w:pos="0"/>
        </w:tabs>
        <w:ind w:left="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9" w15:restartNumberingAfterBreak="0">
    <w:nsid w:val="4FE7120B"/>
    <w:multiLevelType w:val="hybridMultilevel"/>
    <w:tmpl w:val="172C5E5C"/>
    <w:lvl w:ilvl="0" w:tplc="05DAD5DC">
      <w:start w:val="1"/>
      <w:numFmt w:val="decimal"/>
      <w:lvlText w:val="(%1)"/>
      <w:lvlJc w:val="left"/>
      <w:pPr>
        <w:ind w:left="1215" w:hanging="40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629824457">
    <w:abstractNumId w:val="6"/>
  </w:num>
  <w:num w:numId="2" w16cid:durableId="1572764136">
    <w:abstractNumId w:val="7"/>
  </w:num>
  <w:num w:numId="3" w16cid:durableId="1965034250">
    <w:abstractNumId w:val="8"/>
  </w:num>
  <w:num w:numId="4" w16cid:durableId="521356027">
    <w:abstractNumId w:val="0"/>
  </w:num>
  <w:num w:numId="5" w16cid:durableId="1778209131">
    <w:abstractNumId w:val="5"/>
  </w:num>
  <w:num w:numId="6" w16cid:durableId="1060206367">
    <w:abstractNumId w:val="9"/>
  </w:num>
  <w:num w:numId="7" w16cid:durableId="1323004762">
    <w:abstractNumId w:val="3"/>
  </w:num>
  <w:num w:numId="8" w16cid:durableId="1703936469">
    <w:abstractNumId w:val="2"/>
  </w:num>
  <w:num w:numId="9" w16cid:durableId="692223713">
    <w:abstractNumId w:val="4"/>
  </w:num>
  <w:num w:numId="10" w16cid:durableId="422072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81"/>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037D1"/>
    <w:rsid w:val="00004D3B"/>
    <w:rsid w:val="00011D86"/>
    <w:rsid w:val="00017CAB"/>
    <w:rsid w:val="00024F5B"/>
    <w:rsid w:val="00043BB1"/>
    <w:rsid w:val="000573F2"/>
    <w:rsid w:val="000626DD"/>
    <w:rsid w:val="00071F0F"/>
    <w:rsid w:val="00077860"/>
    <w:rsid w:val="00084880"/>
    <w:rsid w:val="00091F0A"/>
    <w:rsid w:val="00095FA9"/>
    <w:rsid w:val="000A3FFC"/>
    <w:rsid w:val="000B15E0"/>
    <w:rsid w:val="000B3E06"/>
    <w:rsid w:val="000B4365"/>
    <w:rsid w:val="000B7024"/>
    <w:rsid w:val="000C3CCD"/>
    <w:rsid w:val="000E055F"/>
    <w:rsid w:val="000E0C98"/>
    <w:rsid w:val="000E3D48"/>
    <w:rsid w:val="000F1CD9"/>
    <w:rsid w:val="00111E86"/>
    <w:rsid w:val="00113171"/>
    <w:rsid w:val="001241FC"/>
    <w:rsid w:val="00132889"/>
    <w:rsid w:val="0013695A"/>
    <w:rsid w:val="00137624"/>
    <w:rsid w:val="00145E49"/>
    <w:rsid w:val="001462DA"/>
    <w:rsid w:val="001472D6"/>
    <w:rsid w:val="00165559"/>
    <w:rsid w:val="00165CE1"/>
    <w:rsid w:val="00182F0D"/>
    <w:rsid w:val="00186334"/>
    <w:rsid w:val="001906B5"/>
    <w:rsid w:val="00197FFC"/>
    <w:rsid w:val="001A3C19"/>
    <w:rsid w:val="001A4801"/>
    <w:rsid w:val="001C0599"/>
    <w:rsid w:val="001C4F2C"/>
    <w:rsid w:val="001C7DFA"/>
    <w:rsid w:val="001D198A"/>
    <w:rsid w:val="001D2FAC"/>
    <w:rsid w:val="001E5A4C"/>
    <w:rsid w:val="001E75BB"/>
    <w:rsid w:val="001F7E39"/>
    <w:rsid w:val="00222144"/>
    <w:rsid w:val="002248D9"/>
    <w:rsid w:val="00224CBB"/>
    <w:rsid w:val="00227A2A"/>
    <w:rsid w:val="002365A7"/>
    <w:rsid w:val="002441D0"/>
    <w:rsid w:val="002455FD"/>
    <w:rsid w:val="00245F37"/>
    <w:rsid w:val="0025459C"/>
    <w:rsid w:val="00260C12"/>
    <w:rsid w:val="002700A8"/>
    <w:rsid w:val="00270A87"/>
    <w:rsid w:val="00273639"/>
    <w:rsid w:val="00283D87"/>
    <w:rsid w:val="002930A1"/>
    <w:rsid w:val="002A4184"/>
    <w:rsid w:val="002B1BC7"/>
    <w:rsid w:val="002B4997"/>
    <w:rsid w:val="002B7451"/>
    <w:rsid w:val="002C0594"/>
    <w:rsid w:val="002C173F"/>
    <w:rsid w:val="002C5C0B"/>
    <w:rsid w:val="002C620F"/>
    <w:rsid w:val="002D2954"/>
    <w:rsid w:val="002D30B1"/>
    <w:rsid w:val="002D3348"/>
    <w:rsid w:val="002D3D47"/>
    <w:rsid w:val="002E0A78"/>
    <w:rsid w:val="002E0D45"/>
    <w:rsid w:val="002E2331"/>
    <w:rsid w:val="002E5C88"/>
    <w:rsid w:val="002E6822"/>
    <w:rsid w:val="002F30F4"/>
    <w:rsid w:val="002F6F03"/>
    <w:rsid w:val="00303D31"/>
    <w:rsid w:val="003053ED"/>
    <w:rsid w:val="003078D3"/>
    <w:rsid w:val="00312E85"/>
    <w:rsid w:val="003131A7"/>
    <w:rsid w:val="003135F8"/>
    <w:rsid w:val="0032072B"/>
    <w:rsid w:val="00323335"/>
    <w:rsid w:val="003240E9"/>
    <w:rsid w:val="00325827"/>
    <w:rsid w:val="00334B54"/>
    <w:rsid w:val="00336272"/>
    <w:rsid w:val="00341DE6"/>
    <w:rsid w:val="00360611"/>
    <w:rsid w:val="00372C72"/>
    <w:rsid w:val="00373069"/>
    <w:rsid w:val="00373BDB"/>
    <w:rsid w:val="0037599B"/>
    <w:rsid w:val="003812E9"/>
    <w:rsid w:val="00387174"/>
    <w:rsid w:val="00391CCC"/>
    <w:rsid w:val="00392A5E"/>
    <w:rsid w:val="00394E75"/>
    <w:rsid w:val="003959A0"/>
    <w:rsid w:val="003A0C12"/>
    <w:rsid w:val="003A1547"/>
    <w:rsid w:val="003A5649"/>
    <w:rsid w:val="003B7529"/>
    <w:rsid w:val="003C32F2"/>
    <w:rsid w:val="003D39F0"/>
    <w:rsid w:val="003E09FC"/>
    <w:rsid w:val="003E33D7"/>
    <w:rsid w:val="003E34D5"/>
    <w:rsid w:val="003E6AA4"/>
    <w:rsid w:val="003F0CB9"/>
    <w:rsid w:val="00406DFA"/>
    <w:rsid w:val="0041156A"/>
    <w:rsid w:val="0041587D"/>
    <w:rsid w:val="004203DF"/>
    <w:rsid w:val="00427C46"/>
    <w:rsid w:val="00430FEA"/>
    <w:rsid w:val="004405B3"/>
    <w:rsid w:val="0046048B"/>
    <w:rsid w:val="00463AA7"/>
    <w:rsid w:val="00471046"/>
    <w:rsid w:val="00474826"/>
    <w:rsid w:val="004778BC"/>
    <w:rsid w:val="00484F74"/>
    <w:rsid w:val="004901B9"/>
    <w:rsid w:val="00490AA1"/>
    <w:rsid w:val="00492588"/>
    <w:rsid w:val="00492A2E"/>
    <w:rsid w:val="00495F4A"/>
    <w:rsid w:val="004A4F6A"/>
    <w:rsid w:val="004A6210"/>
    <w:rsid w:val="004B54CE"/>
    <w:rsid w:val="004D59E4"/>
    <w:rsid w:val="004D76E7"/>
    <w:rsid w:val="004D77E0"/>
    <w:rsid w:val="004E3D69"/>
    <w:rsid w:val="004F4439"/>
    <w:rsid w:val="004F59E0"/>
    <w:rsid w:val="00501070"/>
    <w:rsid w:val="0050154E"/>
    <w:rsid w:val="00505010"/>
    <w:rsid w:val="00506202"/>
    <w:rsid w:val="00506889"/>
    <w:rsid w:val="00517CA8"/>
    <w:rsid w:val="00524999"/>
    <w:rsid w:val="005329D9"/>
    <w:rsid w:val="00533EEE"/>
    <w:rsid w:val="0054116A"/>
    <w:rsid w:val="005433EC"/>
    <w:rsid w:val="00552953"/>
    <w:rsid w:val="00556E91"/>
    <w:rsid w:val="00560E3B"/>
    <w:rsid w:val="00562A6A"/>
    <w:rsid w:val="00564CFC"/>
    <w:rsid w:val="00565134"/>
    <w:rsid w:val="00566B36"/>
    <w:rsid w:val="00566F69"/>
    <w:rsid w:val="00573E71"/>
    <w:rsid w:val="00576A3D"/>
    <w:rsid w:val="00581A06"/>
    <w:rsid w:val="00582247"/>
    <w:rsid w:val="005829DA"/>
    <w:rsid w:val="00591904"/>
    <w:rsid w:val="005929B1"/>
    <w:rsid w:val="00596C63"/>
    <w:rsid w:val="005A438D"/>
    <w:rsid w:val="005A7440"/>
    <w:rsid w:val="005B57C1"/>
    <w:rsid w:val="005B6C40"/>
    <w:rsid w:val="005C0DA3"/>
    <w:rsid w:val="005D296D"/>
    <w:rsid w:val="005D323C"/>
    <w:rsid w:val="005D7479"/>
    <w:rsid w:val="005E2A2D"/>
    <w:rsid w:val="005E6EA2"/>
    <w:rsid w:val="00613899"/>
    <w:rsid w:val="00614001"/>
    <w:rsid w:val="006218C5"/>
    <w:rsid w:val="00627D8F"/>
    <w:rsid w:val="00631F26"/>
    <w:rsid w:val="00635487"/>
    <w:rsid w:val="00640EB6"/>
    <w:rsid w:val="00643736"/>
    <w:rsid w:val="00654140"/>
    <w:rsid w:val="006549B6"/>
    <w:rsid w:val="00663A15"/>
    <w:rsid w:val="00665D43"/>
    <w:rsid w:val="00667B48"/>
    <w:rsid w:val="00677A6A"/>
    <w:rsid w:val="00677DD6"/>
    <w:rsid w:val="00683917"/>
    <w:rsid w:val="0069679F"/>
    <w:rsid w:val="006A1E76"/>
    <w:rsid w:val="006A2EE4"/>
    <w:rsid w:val="006A7AD2"/>
    <w:rsid w:val="006B3A79"/>
    <w:rsid w:val="006B471F"/>
    <w:rsid w:val="006B640D"/>
    <w:rsid w:val="006D0B9E"/>
    <w:rsid w:val="006D0CF6"/>
    <w:rsid w:val="006D1138"/>
    <w:rsid w:val="006D16D7"/>
    <w:rsid w:val="006D516E"/>
    <w:rsid w:val="006E0E0E"/>
    <w:rsid w:val="006E3189"/>
    <w:rsid w:val="006E31B0"/>
    <w:rsid w:val="006E52B3"/>
    <w:rsid w:val="006F4EE0"/>
    <w:rsid w:val="00707F4B"/>
    <w:rsid w:val="0071365A"/>
    <w:rsid w:val="00720BFD"/>
    <w:rsid w:val="007325F2"/>
    <w:rsid w:val="00737373"/>
    <w:rsid w:val="00742F0D"/>
    <w:rsid w:val="0074365D"/>
    <w:rsid w:val="0075572F"/>
    <w:rsid w:val="00765F45"/>
    <w:rsid w:val="00766E45"/>
    <w:rsid w:val="007723E7"/>
    <w:rsid w:val="00775CD9"/>
    <w:rsid w:val="00792D9E"/>
    <w:rsid w:val="007A2315"/>
    <w:rsid w:val="007A3DB7"/>
    <w:rsid w:val="007B24CD"/>
    <w:rsid w:val="007C312F"/>
    <w:rsid w:val="007C3F04"/>
    <w:rsid w:val="007D0EC1"/>
    <w:rsid w:val="007D50B0"/>
    <w:rsid w:val="007D6FA2"/>
    <w:rsid w:val="007F5CD1"/>
    <w:rsid w:val="007F7771"/>
    <w:rsid w:val="00814075"/>
    <w:rsid w:val="008230A8"/>
    <w:rsid w:val="008310E0"/>
    <w:rsid w:val="00831B1C"/>
    <w:rsid w:val="00835A68"/>
    <w:rsid w:val="008376D1"/>
    <w:rsid w:val="00847D10"/>
    <w:rsid w:val="00855433"/>
    <w:rsid w:val="008564C4"/>
    <w:rsid w:val="008566B3"/>
    <w:rsid w:val="00857CAC"/>
    <w:rsid w:val="008629A5"/>
    <w:rsid w:val="00865474"/>
    <w:rsid w:val="00873FB0"/>
    <w:rsid w:val="008742C3"/>
    <w:rsid w:val="00877997"/>
    <w:rsid w:val="00882501"/>
    <w:rsid w:val="008877E7"/>
    <w:rsid w:val="00892A7A"/>
    <w:rsid w:val="008A5396"/>
    <w:rsid w:val="008A70EE"/>
    <w:rsid w:val="008A77A8"/>
    <w:rsid w:val="008C0A1F"/>
    <w:rsid w:val="008D1F57"/>
    <w:rsid w:val="008D4B2A"/>
    <w:rsid w:val="008D5087"/>
    <w:rsid w:val="008D7467"/>
    <w:rsid w:val="008F1917"/>
    <w:rsid w:val="008F2356"/>
    <w:rsid w:val="008F3088"/>
    <w:rsid w:val="008F6611"/>
    <w:rsid w:val="00912D02"/>
    <w:rsid w:val="00920363"/>
    <w:rsid w:val="00920482"/>
    <w:rsid w:val="009311D5"/>
    <w:rsid w:val="00934046"/>
    <w:rsid w:val="00945A98"/>
    <w:rsid w:val="00951EAC"/>
    <w:rsid w:val="00953A8D"/>
    <w:rsid w:val="00961B31"/>
    <w:rsid w:val="00964506"/>
    <w:rsid w:val="0097069B"/>
    <w:rsid w:val="009743DD"/>
    <w:rsid w:val="0097599F"/>
    <w:rsid w:val="00977A9D"/>
    <w:rsid w:val="009856AB"/>
    <w:rsid w:val="00990BA6"/>
    <w:rsid w:val="0099672C"/>
    <w:rsid w:val="009A521C"/>
    <w:rsid w:val="009B0E80"/>
    <w:rsid w:val="009B6481"/>
    <w:rsid w:val="009C075A"/>
    <w:rsid w:val="009C11C7"/>
    <w:rsid w:val="009C2295"/>
    <w:rsid w:val="009D195B"/>
    <w:rsid w:val="009F210F"/>
    <w:rsid w:val="009F2BFC"/>
    <w:rsid w:val="009F3E17"/>
    <w:rsid w:val="009F7A27"/>
    <w:rsid w:val="00A028C2"/>
    <w:rsid w:val="00A06C46"/>
    <w:rsid w:val="00A120F9"/>
    <w:rsid w:val="00A1614F"/>
    <w:rsid w:val="00A16210"/>
    <w:rsid w:val="00A20B21"/>
    <w:rsid w:val="00A3007B"/>
    <w:rsid w:val="00A44EB6"/>
    <w:rsid w:val="00A454B5"/>
    <w:rsid w:val="00A45947"/>
    <w:rsid w:val="00A540B3"/>
    <w:rsid w:val="00A62D7A"/>
    <w:rsid w:val="00A6398F"/>
    <w:rsid w:val="00A710B2"/>
    <w:rsid w:val="00A73117"/>
    <w:rsid w:val="00A85DC3"/>
    <w:rsid w:val="00A9407A"/>
    <w:rsid w:val="00A95418"/>
    <w:rsid w:val="00AA161D"/>
    <w:rsid w:val="00AA5920"/>
    <w:rsid w:val="00AB3320"/>
    <w:rsid w:val="00AB4A76"/>
    <w:rsid w:val="00AB5B01"/>
    <w:rsid w:val="00AC3682"/>
    <w:rsid w:val="00AC66DD"/>
    <w:rsid w:val="00AC6B84"/>
    <w:rsid w:val="00AC7515"/>
    <w:rsid w:val="00AD56FA"/>
    <w:rsid w:val="00AD610B"/>
    <w:rsid w:val="00AD7E41"/>
    <w:rsid w:val="00AF46E1"/>
    <w:rsid w:val="00B00026"/>
    <w:rsid w:val="00B075A5"/>
    <w:rsid w:val="00B115B5"/>
    <w:rsid w:val="00B128EA"/>
    <w:rsid w:val="00B12E61"/>
    <w:rsid w:val="00B241D7"/>
    <w:rsid w:val="00B25140"/>
    <w:rsid w:val="00B32F35"/>
    <w:rsid w:val="00B331CC"/>
    <w:rsid w:val="00B33719"/>
    <w:rsid w:val="00B34428"/>
    <w:rsid w:val="00B34CD5"/>
    <w:rsid w:val="00B3618B"/>
    <w:rsid w:val="00B363B0"/>
    <w:rsid w:val="00B5000F"/>
    <w:rsid w:val="00B6071F"/>
    <w:rsid w:val="00B61AB4"/>
    <w:rsid w:val="00B6408F"/>
    <w:rsid w:val="00B651BB"/>
    <w:rsid w:val="00B70745"/>
    <w:rsid w:val="00B73A2D"/>
    <w:rsid w:val="00B73FF5"/>
    <w:rsid w:val="00B7708E"/>
    <w:rsid w:val="00B86DC8"/>
    <w:rsid w:val="00B94CE4"/>
    <w:rsid w:val="00B96227"/>
    <w:rsid w:val="00BA54F2"/>
    <w:rsid w:val="00BA7519"/>
    <w:rsid w:val="00BB05B6"/>
    <w:rsid w:val="00BB129B"/>
    <w:rsid w:val="00BB319C"/>
    <w:rsid w:val="00BB34BF"/>
    <w:rsid w:val="00BB3963"/>
    <w:rsid w:val="00BC71C0"/>
    <w:rsid w:val="00BC7EF7"/>
    <w:rsid w:val="00BD308A"/>
    <w:rsid w:val="00BD704D"/>
    <w:rsid w:val="00BE49C6"/>
    <w:rsid w:val="00BF4777"/>
    <w:rsid w:val="00C01993"/>
    <w:rsid w:val="00C22DF7"/>
    <w:rsid w:val="00C313EA"/>
    <w:rsid w:val="00C41396"/>
    <w:rsid w:val="00C42E4C"/>
    <w:rsid w:val="00C45ABE"/>
    <w:rsid w:val="00C50C6A"/>
    <w:rsid w:val="00C56304"/>
    <w:rsid w:val="00C57DCA"/>
    <w:rsid w:val="00C61656"/>
    <w:rsid w:val="00C62498"/>
    <w:rsid w:val="00C62F33"/>
    <w:rsid w:val="00C650BC"/>
    <w:rsid w:val="00C70994"/>
    <w:rsid w:val="00C72B7A"/>
    <w:rsid w:val="00C745D2"/>
    <w:rsid w:val="00C8157A"/>
    <w:rsid w:val="00C82C83"/>
    <w:rsid w:val="00C9129A"/>
    <w:rsid w:val="00C929E6"/>
    <w:rsid w:val="00C97975"/>
    <w:rsid w:val="00CA45E4"/>
    <w:rsid w:val="00CA7399"/>
    <w:rsid w:val="00CA73E8"/>
    <w:rsid w:val="00CC57CB"/>
    <w:rsid w:val="00CE2622"/>
    <w:rsid w:val="00CE50A0"/>
    <w:rsid w:val="00CF1E40"/>
    <w:rsid w:val="00CF25DF"/>
    <w:rsid w:val="00D02551"/>
    <w:rsid w:val="00D0563B"/>
    <w:rsid w:val="00D117F3"/>
    <w:rsid w:val="00D11D8D"/>
    <w:rsid w:val="00D179DD"/>
    <w:rsid w:val="00D21FD3"/>
    <w:rsid w:val="00D22389"/>
    <w:rsid w:val="00D22E37"/>
    <w:rsid w:val="00D243E5"/>
    <w:rsid w:val="00D31821"/>
    <w:rsid w:val="00D36EC6"/>
    <w:rsid w:val="00D4261F"/>
    <w:rsid w:val="00D44D80"/>
    <w:rsid w:val="00D567F6"/>
    <w:rsid w:val="00D60758"/>
    <w:rsid w:val="00D610CB"/>
    <w:rsid w:val="00D70A87"/>
    <w:rsid w:val="00D72361"/>
    <w:rsid w:val="00D73407"/>
    <w:rsid w:val="00D752BA"/>
    <w:rsid w:val="00D76092"/>
    <w:rsid w:val="00D76CBA"/>
    <w:rsid w:val="00D8262B"/>
    <w:rsid w:val="00D8331B"/>
    <w:rsid w:val="00D86BA5"/>
    <w:rsid w:val="00D91403"/>
    <w:rsid w:val="00D92D19"/>
    <w:rsid w:val="00D9659E"/>
    <w:rsid w:val="00D969D8"/>
    <w:rsid w:val="00D97D9C"/>
    <w:rsid w:val="00DA055A"/>
    <w:rsid w:val="00DA4BCB"/>
    <w:rsid w:val="00DB2FFD"/>
    <w:rsid w:val="00DB3927"/>
    <w:rsid w:val="00DC341A"/>
    <w:rsid w:val="00DC4AD1"/>
    <w:rsid w:val="00DC6D59"/>
    <w:rsid w:val="00DD478E"/>
    <w:rsid w:val="00DD4A1A"/>
    <w:rsid w:val="00DE278A"/>
    <w:rsid w:val="00DE5474"/>
    <w:rsid w:val="00DE65FE"/>
    <w:rsid w:val="00E001EC"/>
    <w:rsid w:val="00E0361E"/>
    <w:rsid w:val="00E045AE"/>
    <w:rsid w:val="00E10EBD"/>
    <w:rsid w:val="00E137C8"/>
    <w:rsid w:val="00E21028"/>
    <w:rsid w:val="00E21582"/>
    <w:rsid w:val="00E361A9"/>
    <w:rsid w:val="00E54223"/>
    <w:rsid w:val="00E6169B"/>
    <w:rsid w:val="00E61F7A"/>
    <w:rsid w:val="00E67DEC"/>
    <w:rsid w:val="00E7352E"/>
    <w:rsid w:val="00E77D60"/>
    <w:rsid w:val="00E8046A"/>
    <w:rsid w:val="00E83BC2"/>
    <w:rsid w:val="00E84C14"/>
    <w:rsid w:val="00E850F8"/>
    <w:rsid w:val="00E95FF3"/>
    <w:rsid w:val="00EA072B"/>
    <w:rsid w:val="00EA2601"/>
    <w:rsid w:val="00EA469C"/>
    <w:rsid w:val="00EA7040"/>
    <w:rsid w:val="00EB072D"/>
    <w:rsid w:val="00EB0EF2"/>
    <w:rsid w:val="00EC1B75"/>
    <w:rsid w:val="00EC2AAE"/>
    <w:rsid w:val="00EC55C5"/>
    <w:rsid w:val="00EC68A6"/>
    <w:rsid w:val="00EC6EAA"/>
    <w:rsid w:val="00ED0BEC"/>
    <w:rsid w:val="00ED335B"/>
    <w:rsid w:val="00ED3393"/>
    <w:rsid w:val="00EE3418"/>
    <w:rsid w:val="00EE5A60"/>
    <w:rsid w:val="00EF0CCB"/>
    <w:rsid w:val="00EF2EC6"/>
    <w:rsid w:val="00EF603D"/>
    <w:rsid w:val="00F0291E"/>
    <w:rsid w:val="00F02D23"/>
    <w:rsid w:val="00F04BE8"/>
    <w:rsid w:val="00F10530"/>
    <w:rsid w:val="00F17CF4"/>
    <w:rsid w:val="00F24590"/>
    <w:rsid w:val="00F257D3"/>
    <w:rsid w:val="00F26DE4"/>
    <w:rsid w:val="00F30F92"/>
    <w:rsid w:val="00F31811"/>
    <w:rsid w:val="00F562B5"/>
    <w:rsid w:val="00F61121"/>
    <w:rsid w:val="00F61B65"/>
    <w:rsid w:val="00F61C62"/>
    <w:rsid w:val="00F641E5"/>
    <w:rsid w:val="00F6491C"/>
    <w:rsid w:val="00F67900"/>
    <w:rsid w:val="00F740D2"/>
    <w:rsid w:val="00F84304"/>
    <w:rsid w:val="00F86527"/>
    <w:rsid w:val="00F9347F"/>
    <w:rsid w:val="00F93C1F"/>
    <w:rsid w:val="00FA3219"/>
    <w:rsid w:val="00FB66A0"/>
    <w:rsid w:val="00FB7EA5"/>
    <w:rsid w:val="00FC0A75"/>
    <w:rsid w:val="00FC295C"/>
    <w:rsid w:val="00FE2028"/>
    <w:rsid w:val="00FE263F"/>
    <w:rsid w:val="00FE602F"/>
    <w:rsid w:val="00FE782F"/>
    <w:rsid w:val="00FF54EB"/>
    <w:rsid w:val="00FF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275D6C0F"/>
  <w15:chartTrackingRefBased/>
  <w15:docId w15:val="{ECC4E2DC-624E-49D5-B3F8-9371F96C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NormalWeb">
    <w:name w:val="Normal (Web)"/>
    <w:basedOn w:val="Normal"/>
    <w:uiPriority w:val="99"/>
    <w:rsid w:val="00DE65FE"/>
    <w:pPr>
      <w:tabs>
        <w:tab w:val="clear" w:pos="1000"/>
      </w:tabs>
      <w:spacing w:before="100" w:beforeAutospacing="1" w:after="100" w:afterAutospacing="1"/>
      <w:ind w:left="0" w:firstLine="0"/>
    </w:pPr>
    <w:rPr>
      <w:b w:val="0"/>
      <w:szCs w:val="24"/>
    </w:rPr>
  </w:style>
  <w:style w:type="paragraph" w:styleId="BalloonText">
    <w:name w:val="Balloon Text"/>
    <w:basedOn w:val="Normal"/>
    <w:semiHidden/>
    <w:rsid w:val="00132889"/>
    <w:rPr>
      <w:rFonts w:ascii="Tahoma" w:hAnsi="Tahoma" w:cs="Tahoma"/>
      <w:sz w:val="16"/>
      <w:szCs w:val="16"/>
    </w:rPr>
  </w:style>
  <w:style w:type="character" w:styleId="Hyperlink">
    <w:name w:val="Hyperlink"/>
    <w:unhideWhenUsed/>
    <w:rsid w:val="00566F69"/>
    <w:rPr>
      <w:color w:val="0000FF"/>
      <w:u w:val="single"/>
    </w:rPr>
  </w:style>
  <w:style w:type="paragraph" w:customStyle="1" w:styleId="dfars0">
    <w:name w:val="dfars"/>
    <w:basedOn w:val="Normal"/>
    <w:rsid w:val="00B73A2D"/>
    <w:pPr>
      <w:tabs>
        <w:tab w:val="clear" w:pos="1000"/>
        <w:tab w:val="left" w:pos="360"/>
        <w:tab w:val="left" w:pos="810"/>
        <w:tab w:val="left" w:pos="1210"/>
        <w:tab w:val="left" w:pos="1656"/>
        <w:tab w:val="left" w:pos="2131"/>
        <w:tab w:val="left" w:pos="2520"/>
      </w:tabs>
      <w:spacing w:line="240" w:lineRule="atLeast"/>
      <w:ind w:left="0" w:firstLine="0"/>
    </w:pPr>
    <w:rPr>
      <w:rFonts w:ascii="Century Schoolbook" w:hAnsi="Century Schoolbook"/>
      <w:b w:val="0"/>
      <w:spacing w:val="-5"/>
      <w:szCs w:val="24"/>
    </w:rPr>
  </w:style>
  <w:style w:type="character" w:styleId="UnresolvedMention">
    <w:name w:val="Unresolved Mention"/>
    <w:basedOn w:val="DefaultParagraphFont"/>
    <w:uiPriority w:val="99"/>
    <w:semiHidden/>
    <w:unhideWhenUsed/>
    <w:rsid w:val="00BA54F2"/>
    <w:rPr>
      <w:color w:val="605E5C"/>
      <w:shd w:val="clear" w:color="auto" w:fill="E1DFDD"/>
    </w:rPr>
  </w:style>
  <w:style w:type="paragraph" w:styleId="Revision">
    <w:name w:val="Revision"/>
    <w:hidden/>
    <w:uiPriority w:val="99"/>
    <w:semiHidden/>
    <w:rsid w:val="009F7A27"/>
    <w:rPr>
      <w:b/>
      <w:sz w:val="24"/>
    </w:rPr>
  </w:style>
  <w:style w:type="character" w:styleId="CommentReference">
    <w:name w:val="annotation reference"/>
    <w:basedOn w:val="DefaultParagraphFont"/>
    <w:uiPriority w:val="99"/>
    <w:rsid w:val="00CE50A0"/>
    <w:rPr>
      <w:sz w:val="16"/>
      <w:szCs w:val="16"/>
    </w:rPr>
  </w:style>
  <w:style w:type="paragraph" w:styleId="CommentText">
    <w:name w:val="annotation text"/>
    <w:basedOn w:val="Normal"/>
    <w:link w:val="CommentTextChar"/>
    <w:uiPriority w:val="99"/>
    <w:rsid w:val="00CE50A0"/>
    <w:rPr>
      <w:sz w:val="20"/>
    </w:rPr>
  </w:style>
  <w:style w:type="character" w:customStyle="1" w:styleId="CommentTextChar">
    <w:name w:val="Comment Text Char"/>
    <w:basedOn w:val="DefaultParagraphFont"/>
    <w:link w:val="CommentText"/>
    <w:uiPriority w:val="99"/>
    <w:rsid w:val="00CE50A0"/>
    <w:rPr>
      <w:b/>
    </w:rPr>
  </w:style>
  <w:style w:type="paragraph" w:styleId="CommentSubject">
    <w:name w:val="annotation subject"/>
    <w:basedOn w:val="CommentText"/>
    <w:next w:val="CommentText"/>
    <w:link w:val="CommentSubjectChar"/>
    <w:semiHidden/>
    <w:unhideWhenUsed/>
    <w:rsid w:val="00CE50A0"/>
    <w:rPr>
      <w:bCs/>
    </w:rPr>
  </w:style>
  <w:style w:type="character" w:customStyle="1" w:styleId="CommentSubjectChar">
    <w:name w:val="Comment Subject Char"/>
    <w:basedOn w:val="CommentTextChar"/>
    <w:link w:val="CommentSubject"/>
    <w:semiHidden/>
    <w:rsid w:val="00CE50A0"/>
    <w:rPr>
      <w:b/>
      <w:bCs/>
    </w:rPr>
  </w:style>
  <w:style w:type="character" w:customStyle="1" w:styleId="FooterChar">
    <w:name w:val="Footer Char"/>
    <w:basedOn w:val="DefaultParagraphFont"/>
    <w:link w:val="Footer"/>
    <w:uiPriority w:val="99"/>
    <w:rsid w:val="006218C5"/>
    <w:rPr>
      <w:b/>
      <w:sz w:val="24"/>
    </w:rPr>
  </w:style>
  <w:style w:type="character" w:styleId="LineNumber">
    <w:name w:val="line number"/>
    <w:basedOn w:val="DefaultParagraphFont"/>
    <w:rsid w:val="002F6F03"/>
  </w:style>
  <w:style w:type="character" w:styleId="FollowedHyperlink">
    <w:name w:val="FollowedHyperlink"/>
    <w:basedOn w:val="DefaultParagraphFont"/>
    <w:rsid w:val="00283D87"/>
    <w:rPr>
      <w:color w:val="954F72" w:themeColor="followedHyperlink"/>
      <w:u w:val="single"/>
    </w:rPr>
  </w:style>
  <w:style w:type="character" w:customStyle="1" w:styleId="HeaderChar">
    <w:name w:val="Header Char"/>
    <w:basedOn w:val="DefaultParagraphFont"/>
    <w:link w:val="Header"/>
    <w:uiPriority w:val="99"/>
    <w:rsid w:val="00BB34BF"/>
    <w:rPr>
      <w:b/>
      <w:sz w:val="24"/>
    </w:rPr>
  </w:style>
  <w:style w:type="character" w:customStyle="1" w:styleId="DFARSChar">
    <w:name w:val="DFARS Char"/>
    <w:link w:val="DFARS"/>
    <w:rsid w:val="00394E75"/>
    <w:rPr>
      <w:rFonts w:ascii="Century Schoolbook" w:hAnsi="Century Schoolbook"/>
      <w:spacing w:val="-5"/>
      <w:kern w:val="2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1364">
      <w:bodyDiv w:val="1"/>
      <w:marLeft w:val="0"/>
      <w:marRight w:val="0"/>
      <w:marTop w:val="0"/>
      <w:marBottom w:val="0"/>
      <w:divBdr>
        <w:top w:val="none" w:sz="0" w:space="0" w:color="auto"/>
        <w:left w:val="none" w:sz="0" w:space="0" w:color="auto"/>
        <w:bottom w:val="none" w:sz="0" w:space="0" w:color="auto"/>
        <w:right w:val="none" w:sz="0" w:space="0" w:color="auto"/>
      </w:divBdr>
    </w:div>
    <w:div w:id="313531203">
      <w:bodyDiv w:val="1"/>
      <w:marLeft w:val="0"/>
      <w:marRight w:val="0"/>
      <w:marTop w:val="0"/>
      <w:marBottom w:val="0"/>
      <w:divBdr>
        <w:top w:val="none" w:sz="0" w:space="0" w:color="auto"/>
        <w:left w:val="none" w:sz="0" w:space="0" w:color="auto"/>
        <w:bottom w:val="none" w:sz="0" w:space="0" w:color="auto"/>
        <w:right w:val="none" w:sz="0" w:space="0" w:color="auto"/>
      </w:divBdr>
    </w:div>
    <w:div w:id="1214119938">
      <w:bodyDiv w:val="1"/>
      <w:marLeft w:val="0"/>
      <w:marRight w:val="0"/>
      <w:marTop w:val="0"/>
      <w:marBottom w:val="0"/>
      <w:divBdr>
        <w:top w:val="none" w:sz="0" w:space="0" w:color="auto"/>
        <w:left w:val="none" w:sz="0" w:space="0" w:color="auto"/>
        <w:bottom w:val="none" w:sz="0" w:space="0" w:color="auto"/>
        <w:right w:val="none" w:sz="0" w:space="0" w:color="auto"/>
      </w:divBdr>
    </w:div>
    <w:div w:id="1225528376">
      <w:bodyDiv w:val="1"/>
      <w:marLeft w:val="0"/>
      <w:marRight w:val="0"/>
      <w:marTop w:val="0"/>
      <w:marBottom w:val="0"/>
      <w:divBdr>
        <w:top w:val="none" w:sz="0" w:space="0" w:color="auto"/>
        <w:left w:val="none" w:sz="0" w:space="0" w:color="auto"/>
        <w:bottom w:val="none" w:sz="0" w:space="0" w:color="auto"/>
        <w:right w:val="none" w:sz="0" w:space="0" w:color="auto"/>
      </w:divBdr>
    </w:div>
    <w:div w:id="189408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a/dpc/api/ipm/docs%5CDOD%20EVMIG-01-18-2019.pdf" TargetMode="External"/><Relationship Id="rId13" Type="http://schemas.openxmlformats.org/officeDocument/2006/relationships/hyperlink" Target="https://www.dcma.mil/Portals/31/Documents/Policy/DCMA_MAN_3101-01.pdf" TargetMode="External"/><Relationship Id="rId18" Type="http://schemas.openxmlformats.org/officeDocument/2006/relationships/hyperlink" Target="https://www.acq.osd.mil/dpap/dars/dfars/html/current/234_0.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cq.osd.mil/asda/dpc/api/ipm/docs/ipmdar%20implementation%20and%20tailoring%20guide_stamped.pdf" TargetMode="External"/><Relationship Id="rId12" Type="http://schemas.openxmlformats.org/officeDocument/2006/relationships/hyperlink" Target="https://www.dcma.mil/HQ/EVMS/" TargetMode="External"/><Relationship Id="rId17" Type="http://schemas.openxmlformats.org/officeDocument/2006/relationships/hyperlink" Target="https://www.acq.osd.mil/dpap/dars/dfars/html/current/235_0.htm" TargetMode="External"/><Relationship Id="rId2" Type="http://schemas.openxmlformats.org/officeDocument/2006/relationships/styles" Target="styles.xml"/><Relationship Id="rId16" Type="http://schemas.openxmlformats.org/officeDocument/2006/relationships/hyperlink" Target="https://www.acq.osd.mil/asda/dpc/cp/policy/docs/guidebook/Guidebook_Part_B_Commercial_Item_Pricing_20180126.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cma.mil/HQ/EVMS/" TargetMode="External"/><Relationship Id="rId5" Type="http://schemas.openxmlformats.org/officeDocument/2006/relationships/footnotes" Target="footnotes.xml"/><Relationship Id="rId15" Type="http://schemas.openxmlformats.org/officeDocument/2006/relationships/hyperlink" Target="https://www.acq.osd.mil/dpap/dars/dfars/html/current/252242.htm" TargetMode="External"/><Relationship Id="rId10" Type="http://schemas.openxmlformats.org/officeDocument/2006/relationships/hyperlink" Target="https://www.acq.osd.mil/asda/dpc/api/ipm/docs%5CDOD%20EVMIG-01-18-2019.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sd.whs.mil/Portals/54/Documents/DD/issuances/dodi/500085p.pdf?ver=2020-08-06-151441-153" TargetMode="External"/><Relationship Id="rId14" Type="http://schemas.openxmlformats.org/officeDocument/2006/relationships/hyperlink" Target="https://www.acq.osd.mil/asda/dpc/api/ipm/docs/program_managers_guide_to_the_integrated_baseline_review_process.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931</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PGI 201.1—PURPOSE, AUTHORITY, ISSUANCE</vt:lpstr>
    </vt:vector>
  </TitlesOfParts>
  <Company>DoD</Company>
  <LinksUpToDate>false</LinksUpToDate>
  <CharactersWithSpaces>8142</CharactersWithSpaces>
  <SharedDoc>false</SharedDoc>
  <HLinks>
    <vt:vector size="24" baseType="variant">
      <vt:variant>
        <vt:i4>4456504</vt:i4>
      </vt:variant>
      <vt:variant>
        <vt:i4>9</vt:i4>
      </vt:variant>
      <vt:variant>
        <vt:i4>0</vt:i4>
      </vt:variant>
      <vt:variant>
        <vt:i4>5</vt:i4>
      </vt:variant>
      <vt:variant>
        <vt:lpwstr>http://www.acq.osd.mil/dpap/cpic/cp/peer_reviews.html</vt:lpwstr>
      </vt:variant>
      <vt:variant>
        <vt:lpwstr/>
      </vt:variant>
      <vt:variant>
        <vt:i4>1376286</vt:i4>
      </vt:variant>
      <vt:variant>
        <vt:i4>6</vt:i4>
      </vt:variant>
      <vt:variant>
        <vt:i4>0</vt:i4>
      </vt:variant>
      <vt:variant>
        <vt:i4>5</vt:i4>
      </vt:variant>
      <vt:variant>
        <vt:lpwstr>http://www.acq.osd.mil/dpap/dars/pgi/pgi_htm/PGI237_1.htm</vt:lpwstr>
      </vt:variant>
      <vt:variant>
        <vt:lpwstr>237.102-76</vt:lpwstr>
      </vt:variant>
      <vt:variant>
        <vt:i4>1638433</vt:i4>
      </vt:variant>
      <vt:variant>
        <vt:i4>3</vt:i4>
      </vt:variant>
      <vt:variant>
        <vt:i4>0</vt:i4>
      </vt:variant>
      <vt:variant>
        <vt:i4>5</vt:i4>
      </vt:variant>
      <vt:variant>
        <vt:lpwstr>http://www.acq.osd.mil/dpap/dars/pgi/docs/Criteria_for_Acquisition_of_Services_(Pre_and_Postaward).doc</vt:lpwstr>
      </vt:variant>
      <vt:variant>
        <vt:lpwstr/>
      </vt:variant>
      <vt:variant>
        <vt:i4>8192061</vt:i4>
      </vt:variant>
      <vt:variant>
        <vt:i4>0</vt:i4>
      </vt:variant>
      <vt:variant>
        <vt:i4>0</vt:i4>
      </vt:variant>
      <vt:variant>
        <vt:i4>5</vt:i4>
      </vt:variant>
      <vt:variant>
        <vt:lpwstr>http://www.acq.osd.mil/dpap/dars/pgi/docs/2014-D025 (f) matrix JUL 28 2015.xls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201.1—PURPOSE, AUTHORITY, ISSUANCE</dc:title>
  <dc:subject/>
  <dc:creator>OUSD(A&amp;T)</dc:creator>
  <cp:keywords/>
  <cp:lastModifiedBy>Ziegler, Kimberly R CIV OSD OUSD A-S (USA)</cp:lastModifiedBy>
  <cp:revision>3</cp:revision>
  <cp:lastPrinted>2010-10-21T22:07:00Z</cp:lastPrinted>
  <dcterms:created xsi:type="dcterms:W3CDTF">2025-10-27T19:50:00Z</dcterms:created>
  <dcterms:modified xsi:type="dcterms:W3CDTF">2025-10-27T19:51:00Z</dcterms:modified>
</cp:coreProperties>
</file>