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02EF" w14:textId="31E5F451" w:rsidR="0006594B" w:rsidRDefault="0006594B" w:rsidP="0006594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b/>
          <w:caps/>
          <w:szCs w:val="24"/>
        </w:rPr>
      </w:pPr>
      <w:r>
        <w:rPr>
          <w:rFonts w:ascii="Arial" w:hAnsi="Arial" w:cs="Arial"/>
          <w:b/>
          <w:caps/>
          <w:szCs w:val="24"/>
        </w:rPr>
        <w:t>PGI 244—subcontracting policies and procedures</w:t>
      </w:r>
    </w:p>
    <w:p w14:paraId="6F066C9E" w14:textId="77777777" w:rsidR="0006594B" w:rsidRDefault="0006594B" w:rsidP="0006594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b/>
          <w:caps/>
          <w:szCs w:val="24"/>
        </w:rPr>
      </w:pPr>
    </w:p>
    <w:p w14:paraId="2239E63A" w14:textId="7F63B191" w:rsidR="00E45057" w:rsidRPr="00766859" w:rsidRDefault="00E45057" w:rsidP="0006594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b/>
          <w:caps/>
          <w:szCs w:val="24"/>
        </w:rPr>
      </w:pPr>
      <w:r w:rsidRPr="00766859">
        <w:rPr>
          <w:rFonts w:ascii="Arial" w:hAnsi="Arial" w:cs="Arial"/>
          <w:b/>
          <w:caps/>
          <w:szCs w:val="24"/>
        </w:rPr>
        <w:t>PGI 244.</w:t>
      </w:r>
      <w:r w:rsidR="00B755DB">
        <w:rPr>
          <w:rFonts w:ascii="Arial" w:hAnsi="Arial" w:cs="Arial"/>
          <w:b/>
          <w:caps/>
          <w:szCs w:val="24"/>
        </w:rPr>
        <w:t>2</w:t>
      </w:r>
      <w:r w:rsidR="003646B5">
        <w:rPr>
          <w:rFonts w:ascii="Arial" w:hAnsi="Arial" w:cs="Arial"/>
          <w:b/>
          <w:caps/>
          <w:szCs w:val="24"/>
        </w:rPr>
        <w:t>—</w:t>
      </w:r>
      <w:r w:rsidR="001E642F">
        <w:rPr>
          <w:rFonts w:ascii="Arial" w:hAnsi="Arial" w:cs="Arial"/>
          <w:b/>
          <w:caps/>
          <w:szCs w:val="24"/>
        </w:rPr>
        <w:t>evaluation and award</w:t>
      </w:r>
    </w:p>
    <w:p w14:paraId="22421431" w14:textId="77777777" w:rsidR="00042155" w:rsidRPr="00042155" w:rsidRDefault="00042155" w:rsidP="0006594B">
      <w:pPr>
        <w:pStyle w:val="DFARS"/>
        <w:spacing w:line="240" w:lineRule="auto"/>
        <w:rPr>
          <w:rFonts w:ascii="Arial" w:hAnsi="Arial" w:cs="Arial"/>
          <w:szCs w:val="24"/>
        </w:rPr>
      </w:pPr>
    </w:p>
    <w:p w14:paraId="5C0D5C76" w14:textId="782E58BB" w:rsidR="00B755DB" w:rsidRPr="00B755DB" w:rsidRDefault="00B755DB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B755DB">
        <w:rPr>
          <w:rFonts w:ascii="Arial" w:hAnsi="Arial" w:cs="Arial"/>
          <w:spacing w:val="-5"/>
          <w:kern w:val="20"/>
          <w:szCs w:val="24"/>
        </w:rPr>
        <w:t xml:space="preserve">PGI 244.201  Consent </w:t>
      </w:r>
      <w:r w:rsidR="001E642F">
        <w:rPr>
          <w:rFonts w:ascii="Arial" w:hAnsi="Arial" w:cs="Arial"/>
          <w:spacing w:val="-5"/>
          <w:kern w:val="20"/>
          <w:szCs w:val="24"/>
        </w:rPr>
        <w:t>to subcontracts and requirements for advance notice</w:t>
      </w:r>
      <w:r w:rsidRPr="00B755DB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07A111B5" w14:textId="77777777" w:rsidR="00B755DB" w:rsidRPr="00B755DB" w:rsidRDefault="00B755DB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49310360" w14:textId="77777777" w:rsidR="00B755DB" w:rsidRPr="00B755DB" w:rsidRDefault="00B755DB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B755DB">
        <w:rPr>
          <w:rFonts w:ascii="Arial" w:hAnsi="Arial" w:cs="Arial"/>
          <w:spacing w:val="-5"/>
          <w:kern w:val="20"/>
          <w:szCs w:val="24"/>
        </w:rPr>
        <w:t>PGI 244.201-1  Consent requirements</w:t>
      </w:r>
      <w:r w:rsidRPr="00B755DB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785B63AC" w14:textId="77777777" w:rsidR="00B755DB" w:rsidRPr="00B755DB" w:rsidRDefault="00B755DB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0B3778A1" w14:textId="52A5A3AA" w:rsidR="00992394" w:rsidRDefault="001E642F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>
        <w:rPr>
          <w:rFonts w:ascii="Arial" w:hAnsi="Arial" w:cs="Arial"/>
          <w:b w:val="0"/>
          <w:spacing w:val="-5"/>
          <w:kern w:val="20"/>
          <w:szCs w:val="24"/>
        </w:rPr>
        <w:t xml:space="preserve">(i)(A) 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When contracting for </w:t>
      </w:r>
      <w:r w:rsidR="00B12D82">
        <w:rPr>
          <w:rFonts w:ascii="Arial" w:hAnsi="Arial" w:cs="Arial"/>
          <w:b w:val="0"/>
          <w:spacing w:val="-5"/>
          <w:kern w:val="20"/>
          <w:szCs w:val="24"/>
        </w:rPr>
        <w:t xml:space="preserve">information technology, whether as a service or as a supply, that is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a covered system or covered item of supply, </w:t>
      </w:r>
      <w:r w:rsidR="0056617B">
        <w:rPr>
          <w:rFonts w:ascii="Arial" w:hAnsi="Arial" w:cs="Arial"/>
          <w:b w:val="0"/>
          <w:spacing w:val="-5"/>
          <w:kern w:val="20"/>
          <w:szCs w:val="24"/>
        </w:rPr>
        <w:t xml:space="preserve">consider the need for a consent to subcontract requirement regarding supply chain risk (see subpart 239.73).  In collaboration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>with the requiring activity</w:t>
      </w:r>
      <w:r w:rsidR="0056617B">
        <w:rPr>
          <w:rFonts w:ascii="Arial" w:hAnsi="Arial" w:cs="Arial"/>
          <w:b w:val="0"/>
          <w:spacing w:val="-5"/>
          <w:kern w:val="20"/>
          <w:szCs w:val="24"/>
        </w:rPr>
        <w:t>,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="0056617B">
        <w:rPr>
          <w:rFonts w:ascii="Arial" w:hAnsi="Arial" w:cs="Arial"/>
          <w:b w:val="0"/>
          <w:spacing w:val="-5"/>
          <w:kern w:val="20"/>
          <w:szCs w:val="24"/>
        </w:rPr>
        <w:t>assess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 the criticality of the component or system to be supplied and potential </w:t>
      </w:r>
      <w:r w:rsidR="0056617B">
        <w:rPr>
          <w:rFonts w:ascii="Arial" w:hAnsi="Arial" w:cs="Arial"/>
          <w:b w:val="0"/>
          <w:spacing w:val="-5"/>
          <w:kern w:val="20"/>
          <w:szCs w:val="24"/>
        </w:rPr>
        <w:t xml:space="preserve">supply chain risk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>concerns</w:t>
      </w:r>
      <w:r w:rsidR="0056617B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636A47DB" w14:textId="77777777" w:rsidR="00992394" w:rsidRDefault="00992394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2C6C044F" w14:textId="74D40096" w:rsidR="00992394" w:rsidRDefault="00992394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>
        <w:rPr>
          <w:rFonts w:ascii="Arial" w:hAnsi="Arial" w:cs="Arial"/>
          <w:b w:val="0"/>
          <w:spacing w:val="-5"/>
          <w:kern w:val="20"/>
          <w:szCs w:val="24"/>
        </w:rPr>
        <w:t xml:space="preserve">(B)  The contracting </w:t>
      </w:r>
      <w:r w:rsidR="00B12D82">
        <w:rPr>
          <w:rFonts w:ascii="Arial" w:hAnsi="Arial" w:cs="Arial"/>
          <w:b w:val="0"/>
          <w:spacing w:val="-5"/>
          <w:kern w:val="20"/>
          <w:szCs w:val="24"/>
        </w:rPr>
        <w:t>officer’s</w:t>
      </w:r>
      <w:r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written consent to subcontract is necessary when subcontractors are selected or modified during contract performance.  </w:t>
      </w:r>
    </w:p>
    <w:p w14:paraId="06A0072C" w14:textId="77777777" w:rsidR="00992394" w:rsidRDefault="00992394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650BA99B" w14:textId="02FBBDF3" w:rsidR="00B755DB" w:rsidRPr="00B755DB" w:rsidRDefault="00992394" w:rsidP="0006594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>
        <w:rPr>
          <w:rFonts w:ascii="Arial" w:hAnsi="Arial" w:cs="Arial"/>
          <w:b w:val="0"/>
          <w:spacing w:val="-5"/>
          <w:kern w:val="20"/>
          <w:szCs w:val="24"/>
        </w:rPr>
        <w:t>(C)  If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 a potential subcontractor</w:t>
      </w:r>
      <w:r>
        <w:rPr>
          <w:rFonts w:ascii="Arial" w:hAnsi="Arial" w:cs="Arial"/>
          <w:b w:val="0"/>
          <w:spacing w:val="-5"/>
          <w:kern w:val="20"/>
          <w:szCs w:val="24"/>
        </w:rPr>
        <w:t>’s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>
        <w:rPr>
          <w:rFonts w:ascii="Arial" w:hAnsi="Arial" w:cs="Arial"/>
          <w:b w:val="0"/>
          <w:spacing w:val="-5"/>
          <w:kern w:val="20"/>
          <w:szCs w:val="24"/>
        </w:rPr>
        <w:t xml:space="preserve">risk 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>is beyond the tolerance of the system and mission, the requiring activity must inform the contracting officer</w:t>
      </w:r>
      <w:r>
        <w:rPr>
          <w:rFonts w:ascii="Arial" w:hAnsi="Arial" w:cs="Arial"/>
          <w:b w:val="0"/>
          <w:spacing w:val="-5"/>
          <w:kern w:val="20"/>
          <w:szCs w:val="24"/>
        </w:rPr>
        <w:t>. The contracting officer can use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 xml:space="preserve"> the authority granted in section 806 of Pub. L. 111-383 to withhold consent for the contractor to subcontract with a particular source or exclude a source from consideration as specified in DFARS </w:t>
      </w:r>
      <w:r w:rsidR="00B755DB" w:rsidRPr="00B81FCE">
        <w:rPr>
          <w:rFonts w:ascii="Arial" w:hAnsi="Arial" w:cs="Arial"/>
          <w:b w:val="0"/>
          <w:spacing w:val="-5"/>
          <w:kern w:val="20"/>
          <w:szCs w:val="24"/>
        </w:rPr>
        <w:t>239.73</w:t>
      </w:r>
      <w:r w:rsidR="00B755DB" w:rsidRPr="00B755DB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0B767D59" w14:textId="77777777" w:rsidR="009C1F9B" w:rsidRDefault="009C1F9B" w:rsidP="00B755D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szCs w:val="24"/>
        </w:rPr>
      </w:pPr>
    </w:p>
    <w:p w14:paraId="598CAB42" w14:textId="467DE656" w:rsidR="00992394" w:rsidRPr="00DE2770" w:rsidRDefault="00992394" w:rsidP="00B755D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b/>
          <w:bCs/>
          <w:szCs w:val="24"/>
        </w:rPr>
      </w:pPr>
      <w:r w:rsidRPr="00DE2770">
        <w:rPr>
          <w:rFonts w:ascii="Arial" w:hAnsi="Arial" w:cs="Arial"/>
          <w:b/>
          <w:bCs/>
          <w:szCs w:val="24"/>
        </w:rPr>
        <w:t>PGI 244.201-3  Contracting officer’s responsibilities.</w:t>
      </w:r>
    </w:p>
    <w:p w14:paraId="0827D118" w14:textId="3E744776" w:rsidR="00C5543D" w:rsidRDefault="00C5543D" w:rsidP="00B755DB">
      <w:pPr>
        <w:pStyle w:val="DFARS"/>
        <w:tabs>
          <w:tab w:val="left" w:pos="9180"/>
        </w:tabs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If subcontractor selection is not based on lowest price, assess </w:t>
      </w:r>
      <w:r w:rsidRPr="00C5543D">
        <w:rPr>
          <w:rFonts w:ascii="Arial" w:hAnsi="Arial" w:cs="Arial"/>
          <w:szCs w:val="24"/>
        </w:rPr>
        <w:t>if the contractor adequately justified selecting the</w:t>
      </w:r>
      <w:r>
        <w:rPr>
          <w:rFonts w:ascii="Arial" w:hAnsi="Arial" w:cs="Arial"/>
          <w:szCs w:val="24"/>
        </w:rPr>
        <w:t xml:space="preserve"> subcontractor</w:t>
      </w:r>
      <w:r w:rsidRPr="00C5543D">
        <w:rPr>
          <w:rFonts w:ascii="Arial" w:hAnsi="Arial" w:cs="Arial"/>
          <w:szCs w:val="24"/>
        </w:rPr>
        <w:t xml:space="preserve"> as offering the best value to the government</w:t>
      </w:r>
      <w:r>
        <w:rPr>
          <w:rFonts w:ascii="Arial" w:hAnsi="Arial" w:cs="Arial"/>
          <w:szCs w:val="24"/>
        </w:rPr>
        <w:t xml:space="preserve">. </w:t>
      </w:r>
    </w:p>
    <w:p w14:paraId="0E0BE397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ind w:left="0" w:firstLine="0"/>
        <w:rPr>
          <w:rFonts w:ascii="Arial" w:hAnsi="Arial" w:cs="Arial"/>
          <w:caps/>
          <w:spacing w:val="-5"/>
          <w:kern w:val="20"/>
          <w:szCs w:val="24"/>
        </w:rPr>
      </w:pPr>
    </w:p>
    <w:p w14:paraId="7926D4B2" w14:textId="415C5A53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ind w:left="0" w:firstLine="0"/>
        <w:rPr>
          <w:rFonts w:ascii="Arial" w:hAnsi="Arial" w:cs="Arial"/>
          <w:caps/>
          <w:spacing w:val="-5"/>
          <w:kern w:val="20"/>
          <w:szCs w:val="24"/>
        </w:rPr>
      </w:pPr>
      <w:r w:rsidRPr="00583C34">
        <w:rPr>
          <w:rFonts w:ascii="Arial" w:hAnsi="Arial" w:cs="Arial"/>
          <w:caps/>
          <w:spacing w:val="-5"/>
          <w:kern w:val="20"/>
          <w:szCs w:val="24"/>
        </w:rPr>
        <w:t>PGI 244.3—</w:t>
      </w:r>
      <w:r w:rsidR="00C5543D">
        <w:rPr>
          <w:rFonts w:ascii="Arial" w:hAnsi="Arial" w:cs="Arial"/>
          <w:caps/>
          <w:spacing w:val="-5"/>
          <w:kern w:val="20"/>
          <w:szCs w:val="24"/>
        </w:rPr>
        <w:t>POSTAWARD</w:t>
      </w:r>
    </w:p>
    <w:p w14:paraId="61BA9D62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4F34A805" w14:textId="0F01F840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spacing w:val="-5"/>
          <w:kern w:val="20"/>
          <w:szCs w:val="24"/>
        </w:rPr>
      </w:pPr>
      <w:r w:rsidRPr="00583C34">
        <w:rPr>
          <w:rFonts w:ascii="Arial" w:hAnsi="Arial" w:cs="Arial"/>
          <w:spacing w:val="-5"/>
          <w:kern w:val="20"/>
          <w:szCs w:val="24"/>
        </w:rPr>
        <w:t xml:space="preserve">PGI </w:t>
      </w:r>
      <w:r w:rsidR="00C5543D">
        <w:rPr>
          <w:rFonts w:ascii="Arial" w:hAnsi="Arial" w:cs="Arial"/>
          <w:spacing w:val="-5"/>
          <w:kern w:val="20"/>
          <w:szCs w:val="24"/>
        </w:rPr>
        <w:t>244.301-70</w:t>
      </w:r>
      <w:r w:rsidRPr="00583C34">
        <w:rPr>
          <w:rFonts w:ascii="Arial" w:hAnsi="Arial" w:cs="Arial"/>
          <w:spacing w:val="-5"/>
          <w:kern w:val="20"/>
          <w:szCs w:val="24"/>
        </w:rPr>
        <w:t xml:space="preserve">  Policy.</w:t>
      </w:r>
    </w:p>
    <w:p w14:paraId="321EA57A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5CBF151B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(c)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Disposition of findings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29999A35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04BD9E3A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(2)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Initial determination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796BC8AB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1A789B23" w14:textId="5C75544C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>(ii)(A)  Within 30 days of receiving the report, if the contracting officer makes a determination that there is a material weakness, the contracting officer should provide an initial determination of material weaknesses and a copy of the report to the contractor and require the contractor to submit a written response.</w:t>
      </w:r>
    </w:p>
    <w:p w14:paraId="1FE460AA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175D1029" w14:textId="042F3EC6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(C)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Evaluation of contractor's response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.  Within 30 days of receiving the contractor’s response, the contracting officer, with </w:t>
      </w:r>
      <w:r w:rsidR="00C5543D">
        <w:rPr>
          <w:rFonts w:ascii="Arial" w:hAnsi="Arial" w:cs="Arial"/>
          <w:b w:val="0"/>
          <w:spacing w:val="-5"/>
          <w:kern w:val="20"/>
          <w:szCs w:val="24"/>
        </w:rPr>
        <w:t xml:space="preserve">input from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the auditor or functional specialist, should evaluate the contractor’s response and make a final determination.</w:t>
      </w:r>
    </w:p>
    <w:p w14:paraId="6841A36C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39275EB8" w14:textId="77777777" w:rsidR="00583C34" w:rsidRPr="00583C34" w:rsidRDefault="00583C34" w:rsidP="00EA3B5A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(3)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Final determination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366995AE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250B1F55" w14:textId="7D5FB630" w:rsidR="00583C34" w:rsidRPr="00583C34" w:rsidRDefault="00583C34" w:rsidP="00DE2770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(ii)(A)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Monitoring contractors’ corrective action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.  The contracting officer and Purchasing System Analyst (PSA) or auditor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>will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monitor the contractor's progress in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lastRenderedPageBreak/>
        <w:t xml:space="preserve">correcting material weaknesses and deficiencies.  If the contractor fails to make adequate progress, the contracting officer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>will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take necessary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 xml:space="preserve">action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to ensure that the contractor corrects the weaknesses and deficiencies.  Actions the contracting officer may take include:  withdrawing or withholding approval of the system; bringing the issue to the attention of higher level management; recommending non-award of potential contracts, as applicable; and for material weaknesses, implementing or increasing the withholding in accordance with </w:t>
      </w:r>
      <w:r w:rsidRPr="00B81FCE">
        <w:rPr>
          <w:rFonts w:ascii="Arial" w:hAnsi="Arial" w:cs="Arial"/>
          <w:b w:val="0"/>
          <w:spacing w:val="-5"/>
          <w:kern w:val="20"/>
          <w:szCs w:val="24"/>
        </w:rPr>
        <w:t>252.242-7005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, Contractor Business Systems.</w:t>
      </w:r>
    </w:p>
    <w:p w14:paraId="36BDB95A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277C7163" w14:textId="77777777" w:rsidR="00583C34" w:rsidRPr="00583C34" w:rsidRDefault="00583C34" w:rsidP="00EA3B5A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 xml:space="preserve">(B)  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Correction of material weaknesses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.</w:t>
      </w:r>
    </w:p>
    <w:p w14:paraId="6C16A593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7D80BCC3" w14:textId="46058F7A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>(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1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)  When the contractor notifies the contracting officer that the contractor has corrected the material weaknesses, the contracting officer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>will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request the PSA or auditor to review the correction to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>assess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if the weaknesses and deficiencies have been resolved.</w:t>
      </w:r>
    </w:p>
    <w:p w14:paraId="4ED6887D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675B085A" w14:textId="7881EF31" w:rsidR="00583C34" w:rsidRPr="00583C34" w:rsidRDefault="00583C34" w:rsidP="00DE2770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>(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2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)  The contracting officer </w:t>
      </w:r>
      <w:r w:rsidR="00B81FCE">
        <w:rPr>
          <w:rFonts w:ascii="Arial" w:hAnsi="Arial" w:cs="Arial"/>
          <w:b w:val="0"/>
          <w:spacing w:val="-5"/>
          <w:kern w:val="20"/>
          <w:szCs w:val="24"/>
        </w:rPr>
        <w:t>will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determine if the contractor has corrected the weaknesses and deficiencies.</w:t>
      </w:r>
    </w:p>
    <w:p w14:paraId="2A5C4009" w14:textId="77777777" w:rsidR="00583C34" w:rsidRPr="00583C34" w:rsidRDefault="00583C34" w:rsidP="00583C34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  <w:rPr>
          <w:rFonts w:ascii="Arial" w:hAnsi="Arial" w:cs="Arial"/>
          <w:b w:val="0"/>
          <w:spacing w:val="-5"/>
          <w:kern w:val="20"/>
          <w:szCs w:val="24"/>
        </w:rPr>
      </w:pPr>
    </w:p>
    <w:p w14:paraId="1331D953" w14:textId="1F81B990" w:rsidR="00C5543D" w:rsidRPr="009C1F9B" w:rsidRDefault="00583C34" w:rsidP="00856270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  <w:tab w:val="left" w:pos="9180"/>
        </w:tabs>
        <w:spacing w:line="240" w:lineRule="exact"/>
        <w:ind w:left="0" w:firstLine="0"/>
      </w:pP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ab/>
        <w:t>(</w:t>
      </w:r>
      <w:r w:rsidRPr="00583C34">
        <w:rPr>
          <w:rFonts w:ascii="Arial" w:hAnsi="Arial" w:cs="Arial"/>
          <w:b w:val="0"/>
          <w:i/>
          <w:spacing w:val="-5"/>
          <w:kern w:val="20"/>
          <w:szCs w:val="24"/>
        </w:rPr>
        <w:t>3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)  If the contracting officer determines the contractor has corrected the deficiencies, the contracting officer's notification </w:t>
      </w:r>
      <w:r w:rsidR="001D255F">
        <w:rPr>
          <w:rFonts w:ascii="Arial" w:hAnsi="Arial" w:cs="Arial"/>
          <w:b w:val="0"/>
          <w:spacing w:val="-5"/>
          <w:kern w:val="20"/>
          <w:szCs w:val="24"/>
        </w:rPr>
        <w:t>will</w:t>
      </w:r>
      <w:r w:rsidR="001D255F" w:rsidRPr="00583C34">
        <w:rPr>
          <w:rFonts w:ascii="Arial" w:hAnsi="Arial" w:cs="Arial"/>
          <w:b w:val="0"/>
          <w:spacing w:val="-5"/>
          <w:kern w:val="20"/>
          <w:szCs w:val="24"/>
        </w:rPr>
        <w:t xml:space="preserve"> </w:t>
      </w:r>
      <w:r w:rsidRPr="00583C34">
        <w:rPr>
          <w:rFonts w:ascii="Arial" w:hAnsi="Arial" w:cs="Arial"/>
          <w:b w:val="0"/>
          <w:spacing w:val="-5"/>
          <w:kern w:val="20"/>
          <w:szCs w:val="24"/>
        </w:rPr>
        <w:t>be sent to the PSA; auditor; payment office; appropriate action officers responsible for reporting past performance at the requiring activities; and each contracting and contract administration office having substantial business with the contractor as applicabl</w:t>
      </w:r>
      <w:r w:rsidR="00856270">
        <w:rPr>
          <w:rFonts w:ascii="Arial" w:hAnsi="Arial" w:cs="Arial"/>
          <w:b w:val="0"/>
          <w:spacing w:val="-5"/>
          <w:kern w:val="20"/>
          <w:szCs w:val="24"/>
        </w:rPr>
        <w:t>e.</w:t>
      </w:r>
    </w:p>
    <w:sectPr w:rsidR="00C5543D" w:rsidRPr="009C1F9B" w:rsidSect="00D53F32">
      <w:headerReference w:type="default" r:id="rId6"/>
      <w:footerReference w:type="default" r:id="rId7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F4BF" w14:textId="77777777" w:rsidR="009F4E27" w:rsidRDefault="009F4E27" w:rsidP="00C56103">
      <w:r>
        <w:separator/>
      </w:r>
    </w:p>
  </w:endnote>
  <w:endnote w:type="continuationSeparator" w:id="0">
    <w:p w14:paraId="3496330F" w14:textId="77777777" w:rsidR="009F4E27" w:rsidRDefault="009F4E27" w:rsidP="00C56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 w:val="0"/>
        <w:bCs/>
        <w:sz w:val="18"/>
        <w:szCs w:val="18"/>
      </w:rPr>
      <w:id w:val="-206146695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 w:val="0"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6100D4A2" w14:textId="6C382FDA" w:rsidR="0006594B" w:rsidRPr="0006594B" w:rsidRDefault="0006594B" w:rsidP="0006594B">
            <w:pPr>
              <w:pStyle w:val="Footer"/>
              <w:jc w:val="center"/>
              <w:rPr>
                <w:rFonts w:ascii="Arial" w:hAnsi="Arial" w:cs="Arial"/>
                <w:b w:val="0"/>
                <w:bCs/>
                <w:sz w:val="18"/>
                <w:szCs w:val="18"/>
              </w:rPr>
            </w:pP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Page </w: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instrText xml:space="preserve"> PAGE </w:instrTex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 w:rsidRPr="0006594B">
              <w:rPr>
                <w:rFonts w:ascii="Arial" w:hAnsi="Arial" w:cs="Arial"/>
                <w:b w:val="0"/>
                <w:bCs/>
                <w:noProof/>
                <w:sz w:val="18"/>
                <w:szCs w:val="18"/>
              </w:rPr>
              <w:t>2</w: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of </w: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instrText xml:space="preserve"> NUMPAGES  </w:instrTex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 w:rsidRPr="0006594B">
              <w:rPr>
                <w:rFonts w:ascii="Arial" w:hAnsi="Arial" w:cs="Arial"/>
                <w:b w:val="0"/>
                <w:bCs/>
                <w:noProof/>
                <w:sz w:val="18"/>
                <w:szCs w:val="18"/>
              </w:rPr>
              <w:t>2</w:t>
            </w:r>
            <w:r w:rsidRPr="0006594B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B9230AD" w14:textId="77777777" w:rsidR="00B173B9" w:rsidRPr="0006594B" w:rsidRDefault="00B173B9" w:rsidP="00065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4EED" w14:textId="77777777" w:rsidR="009F4E27" w:rsidRDefault="009F4E27" w:rsidP="00C56103">
      <w:r>
        <w:separator/>
      </w:r>
    </w:p>
  </w:footnote>
  <w:footnote w:type="continuationSeparator" w:id="0">
    <w:p w14:paraId="08735697" w14:textId="77777777" w:rsidR="009F4E27" w:rsidRDefault="009F4E27" w:rsidP="00C56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239AC" w14:textId="7167C1AA" w:rsidR="00167AB2" w:rsidRPr="003C31F5" w:rsidRDefault="00167AB2" w:rsidP="00167AB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Attachment A</w:t>
    </w:r>
    <w:r>
      <w:rPr>
        <w:rFonts w:ascii="Century Schoolbook" w:hAnsi="Century Schoolbook" w:cs="Arial"/>
        <w:b w:val="0"/>
        <w:bCs/>
      </w:rPr>
      <w:t>2</w:t>
    </w:r>
  </w:p>
  <w:p w14:paraId="1A9B4E0F" w14:textId="77777777" w:rsidR="00167AB2" w:rsidRPr="003C31F5" w:rsidRDefault="00167AB2" w:rsidP="00167AB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DARS Tracking Number: 2026-O</w:t>
    </w:r>
    <w:r>
      <w:rPr>
        <w:rFonts w:ascii="Century Schoolbook" w:hAnsi="Century Schoolbook" w:cs="Arial"/>
        <w:b w:val="0"/>
        <w:bCs/>
      </w:rPr>
      <w:t>0015</w:t>
    </w:r>
  </w:p>
  <w:p w14:paraId="530E4F5E" w14:textId="77777777" w:rsidR="00167AB2" w:rsidRPr="003C31F5" w:rsidRDefault="00167AB2" w:rsidP="00167AB2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 xml:space="preserve">Revolutionary Federal Acquisition Regulation (FAR) Overhaul Part </w:t>
    </w:r>
    <w:r>
      <w:rPr>
        <w:rFonts w:ascii="Century Schoolbook" w:hAnsi="Century Schoolbook" w:cs="Arial"/>
        <w:b w:val="0"/>
        <w:bCs/>
      </w:rPr>
      <w:t>44</w:t>
    </w:r>
  </w:p>
  <w:p w14:paraId="6707B2A5" w14:textId="77777777" w:rsidR="00167AB2" w:rsidRDefault="00167AB2" w:rsidP="00167AB2">
    <w:pPr>
      <w:pStyle w:val="Header"/>
      <w:tabs>
        <w:tab w:val="clear" w:pos="8640"/>
        <w:tab w:val="right" w:pos="9260"/>
      </w:tabs>
      <w:ind w:left="0" w:firstLine="0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Defense FAR Supplement (DFARS) Part 2</w:t>
    </w:r>
    <w:r>
      <w:rPr>
        <w:rFonts w:ascii="Century Schoolbook" w:hAnsi="Century Schoolbook" w:cs="Arial"/>
        <w:b w:val="0"/>
        <w:bCs/>
      </w:rPr>
      <w:t>44</w:t>
    </w:r>
  </w:p>
  <w:p w14:paraId="52352275" w14:textId="77777777" w:rsidR="00B173B9" w:rsidRDefault="00B173B9">
    <w:pPr>
      <w:pStyle w:val="Header"/>
      <w:ind w:left="0" w:firstLine="0"/>
      <w:rPr>
        <w:rFonts w:ascii="Century Schoolbook" w:hAnsi="Century Schoolbook"/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E"/>
    <w:rsid w:val="000309E3"/>
    <w:rsid w:val="00042155"/>
    <w:rsid w:val="0006594B"/>
    <w:rsid w:val="000F04FC"/>
    <w:rsid w:val="00154397"/>
    <w:rsid w:val="00164B65"/>
    <w:rsid w:val="00167AB2"/>
    <w:rsid w:val="001C13D6"/>
    <w:rsid w:val="001D255F"/>
    <w:rsid w:val="001E49FD"/>
    <w:rsid w:val="001E642F"/>
    <w:rsid w:val="00205D9F"/>
    <w:rsid w:val="002339C6"/>
    <w:rsid w:val="0024449B"/>
    <w:rsid w:val="002534FB"/>
    <w:rsid w:val="0025661B"/>
    <w:rsid w:val="0027442A"/>
    <w:rsid w:val="0029210C"/>
    <w:rsid w:val="00295F14"/>
    <w:rsid w:val="002A2EAB"/>
    <w:rsid w:val="002A6F40"/>
    <w:rsid w:val="002B1BC7"/>
    <w:rsid w:val="002E09CA"/>
    <w:rsid w:val="00325827"/>
    <w:rsid w:val="003646B5"/>
    <w:rsid w:val="003A5C09"/>
    <w:rsid w:val="003B4B3B"/>
    <w:rsid w:val="003B61B3"/>
    <w:rsid w:val="003D0558"/>
    <w:rsid w:val="003D3D61"/>
    <w:rsid w:val="003E6AA4"/>
    <w:rsid w:val="00423FEF"/>
    <w:rsid w:val="0042413B"/>
    <w:rsid w:val="00471046"/>
    <w:rsid w:val="00484C6A"/>
    <w:rsid w:val="00530F2B"/>
    <w:rsid w:val="0056617B"/>
    <w:rsid w:val="00576A3D"/>
    <w:rsid w:val="00583C34"/>
    <w:rsid w:val="00603298"/>
    <w:rsid w:val="00665D43"/>
    <w:rsid w:val="00677A6A"/>
    <w:rsid w:val="00686951"/>
    <w:rsid w:val="006A4F8D"/>
    <w:rsid w:val="006E0E0E"/>
    <w:rsid w:val="00725F36"/>
    <w:rsid w:val="00745DB3"/>
    <w:rsid w:val="007C688D"/>
    <w:rsid w:val="008007D1"/>
    <w:rsid w:val="0084275D"/>
    <w:rsid w:val="00856270"/>
    <w:rsid w:val="008877E7"/>
    <w:rsid w:val="008D1F57"/>
    <w:rsid w:val="0090412C"/>
    <w:rsid w:val="00945298"/>
    <w:rsid w:val="009724EF"/>
    <w:rsid w:val="009779DC"/>
    <w:rsid w:val="00992394"/>
    <w:rsid w:val="00995CE5"/>
    <w:rsid w:val="009B0E80"/>
    <w:rsid w:val="009C1F9B"/>
    <w:rsid w:val="009F4E27"/>
    <w:rsid w:val="00A1614F"/>
    <w:rsid w:val="00A22EC2"/>
    <w:rsid w:val="00A418B9"/>
    <w:rsid w:val="00A55456"/>
    <w:rsid w:val="00A55A2D"/>
    <w:rsid w:val="00AB3320"/>
    <w:rsid w:val="00AE35B1"/>
    <w:rsid w:val="00B128EA"/>
    <w:rsid w:val="00B12D82"/>
    <w:rsid w:val="00B12E61"/>
    <w:rsid w:val="00B173B9"/>
    <w:rsid w:val="00B32853"/>
    <w:rsid w:val="00B417DE"/>
    <w:rsid w:val="00B61AB4"/>
    <w:rsid w:val="00B62E8D"/>
    <w:rsid w:val="00B668AC"/>
    <w:rsid w:val="00B755DB"/>
    <w:rsid w:val="00B81FCE"/>
    <w:rsid w:val="00B96227"/>
    <w:rsid w:val="00BC6CB2"/>
    <w:rsid w:val="00BC71C0"/>
    <w:rsid w:val="00BF2660"/>
    <w:rsid w:val="00C01847"/>
    <w:rsid w:val="00C16B2A"/>
    <w:rsid w:val="00C2750E"/>
    <w:rsid w:val="00C5543D"/>
    <w:rsid w:val="00C56103"/>
    <w:rsid w:val="00CC6B74"/>
    <w:rsid w:val="00CF7BD3"/>
    <w:rsid w:val="00D336F2"/>
    <w:rsid w:val="00D51343"/>
    <w:rsid w:val="00D53F32"/>
    <w:rsid w:val="00D75D85"/>
    <w:rsid w:val="00DE2770"/>
    <w:rsid w:val="00DF6AC5"/>
    <w:rsid w:val="00E45057"/>
    <w:rsid w:val="00E47DAF"/>
    <w:rsid w:val="00E728B8"/>
    <w:rsid w:val="00E74E02"/>
    <w:rsid w:val="00E935CD"/>
    <w:rsid w:val="00EA3B5A"/>
    <w:rsid w:val="00ED76EB"/>
    <w:rsid w:val="00F30F92"/>
    <w:rsid w:val="00F75353"/>
    <w:rsid w:val="00FB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947A1"/>
  <w15:chartTrackingRefBased/>
  <w15:docId w15:val="{1D2A02C7-64B8-421A-9FFB-29E7E8D8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styleId="Hyperlink">
    <w:name w:val="Hyperlink"/>
    <w:uiPriority w:val="99"/>
    <w:unhideWhenUsed/>
    <w:rsid w:val="0042413B"/>
    <w:rPr>
      <w:color w:val="0000FF"/>
      <w:u w:val="single"/>
    </w:rPr>
  </w:style>
  <w:style w:type="paragraph" w:styleId="Revision">
    <w:name w:val="Revision"/>
    <w:hidden/>
    <w:uiPriority w:val="99"/>
    <w:semiHidden/>
    <w:rsid w:val="001E642F"/>
    <w:rPr>
      <w:b/>
      <w:sz w:val="24"/>
    </w:rPr>
  </w:style>
  <w:style w:type="paragraph" w:styleId="ListParagraph">
    <w:name w:val="List Paragraph"/>
    <w:basedOn w:val="Normal"/>
    <w:uiPriority w:val="34"/>
    <w:qFormat/>
    <w:rsid w:val="00B12D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22E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2EC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2EC2"/>
    <w:rPr>
      <w:b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EC2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EC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167AB2"/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6594B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508</Words>
  <Characters>3169</Characters>
  <Application>Microsoft Office Word</Application>
  <DocSecurity>0</DocSecurity>
  <Lines>79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201.3—AGENCY ACQUISITION REGULATIONS</vt:lpstr>
    </vt:vector>
  </TitlesOfParts>
  <Company>DoD</Company>
  <LinksUpToDate>false</LinksUpToDate>
  <CharactersWithSpaces>3650</CharactersWithSpaces>
  <SharedDoc>false</SharedDoc>
  <HLinks>
    <vt:vector size="12" baseType="variant">
      <vt:variant>
        <vt:i4>7143458</vt:i4>
      </vt:variant>
      <vt:variant>
        <vt:i4>3</vt:i4>
      </vt:variant>
      <vt:variant>
        <vt:i4>0</vt:i4>
      </vt:variant>
      <vt:variant>
        <vt:i4>5</vt:i4>
      </vt:variant>
      <vt:variant>
        <vt:lpwstr>https://www.acq.osd.mil/dpap/dars/dfars/html/current/252242.htm</vt:lpwstr>
      </vt:variant>
      <vt:variant>
        <vt:lpwstr>252.242-7005</vt:lpwstr>
      </vt:variant>
      <vt:variant>
        <vt:i4>4784250</vt:i4>
      </vt:variant>
      <vt:variant>
        <vt:i4>0</vt:i4>
      </vt:variant>
      <vt:variant>
        <vt:i4>0</vt:i4>
      </vt:variant>
      <vt:variant>
        <vt:i4>5</vt:i4>
      </vt:variant>
      <vt:variant>
        <vt:lpwstr>http://www.acq.osd.mil/dpap/dars/dfars/html/current/239_73.htm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201.3—AGENCY ACQUISITION REGULATIONS</dc:title>
  <dc:subject/>
  <dc:creator>OUSD(A&amp;T)</dc:creator>
  <cp:keywords/>
  <cp:lastModifiedBy>Ziegler, Kimberly R CIV OSD OUSD A-S (USA)</cp:lastModifiedBy>
  <cp:revision>4</cp:revision>
  <cp:lastPrinted>2005-03-22T18:20:00Z</cp:lastPrinted>
  <dcterms:created xsi:type="dcterms:W3CDTF">2025-10-28T13:37:00Z</dcterms:created>
  <dcterms:modified xsi:type="dcterms:W3CDTF">2025-10-28T13:51:00Z</dcterms:modified>
</cp:coreProperties>
</file>