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Instrukcja użytkownika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KaLok 1.0 – Kalkulator lokat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360" w:right="0" w:hanging="360"/>
        <w:contextualSpacing w:val="1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Wstęp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574" w:right="0" w:hanging="432"/>
        <w:contextualSpacing w:val="1"/>
        <w:jc w:val="left"/>
        <w:rPr>
          <w:rFonts w:ascii="Corbel" w:cs="Corbel" w:eastAsia="Corbel" w:hAnsi="Corbe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Przeznaczenie</w:t>
      </w:r>
    </w:p>
    <w:p w:rsidR="00000000" w:rsidDel="00000000" w:rsidP="00000000" w:rsidRDefault="00000000" w:rsidRPr="00000000" w14:paraId="00000005">
      <w:pPr>
        <w:ind w:left="142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Kalkulator lokat jest przyjaznym w obsłudze narzędziem, pozwalającym użytkownikowi na szybkie obliczanie przewidywanego zysku dla lokaty o podanych parametrach. W tej wersji aplikacji inflacja jest pominięta, gdyż po każdym okresie kapitalizacji odsetki dopisywane są do  lokaty.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574" w:right="0" w:hanging="432"/>
        <w:contextualSpacing w:val="1"/>
        <w:jc w:val="left"/>
        <w:rPr>
          <w:rFonts w:ascii="Corbel" w:cs="Corbel" w:eastAsia="Corbel" w:hAnsi="Corbe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Wymagania sprzętowe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294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Komputer 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919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MB wolnego miejsca na dowolnym dysku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294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Opcjonalnie: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919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Łącze internetowe (pobranie aplikacji, bądź korzystanie z niej za pomocą przeglądarki)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574" w:right="0" w:hanging="432"/>
        <w:contextualSpacing w:val="1"/>
        <w:jc w:val="left"/>
        <w:rPr>
          <w:rFonts w:ascii="Corbel" w:cs="Corbel" w:eastAsia="Corbel" w:hAnsi="Corbe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Wymagania programowe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224" w:right="0" w:hanging="504.00000000000006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operacyjny Windows 7, Windows 8,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224" w:right="0" w:hanging="504.00000000000006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do przeglądania plików pdf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574" w:right="0" w:hanging="432"/>
        <w:contextualSpacing w:val="1"/>
        <w:jc w:val="left"/>
        <w:rPr>
          <w:rFonts w:ascii="Corbel" w:cs="Corbel" w:eastAsia="Corbel" w:hAnsi="Corbe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Uzyskanie oprogramowania</w:t>
      </w:r>
    </w:p>
    <w:p w:rsidR="00000000" w:rsidDel="00000000" w:rsidP="00000000" w:rsidRDefault="00000000" w:rsidRPr="00000000" w14:paraId="0000000F">
      <w:pPr>
        <w:ind w:left="142"/>
        <w:contextualSpacing w:val="0"/>
        <w:rPr/>
      </w:pPr>
      <w:r w:rsidDel="00000000" w:rsidR="00000000" w:rsidRPr="00000000">
        <w:rPr>
          <w:rtl w:val="0"/>
        </w:rPr>
        <w:t xml:space="preserve">Oprogramowanie będzie ogólnodostępne na stronie internetowej inwestora (możliwość pobrania aplikacji).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360" w:right="0" w:hanging="360"/>
        <w:contextualSpacing w:val="1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Obsługa kalkulatora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574" w:right="0" w:hanging="432"/>
        <w:contextualSpacing w:val="1"/>
        <w:jc w:val="left"/>
        <w:rPr>
          <w:rFonts w:ascii="Corbel" w:cs="Corbel" w:eastAsia="Corbel" w:hAnsi="Corbel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Wprowadzanie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2"/>
        <w:contextualSpacing w:val="0"/>
        <w:rPr/>
      </w:pPr>
      <w:r w:rsidDel="00000000" w:rsidR="00000000" w:rsidRPr="00000000">
        <w:rPr>
          <w:rtl w:val="0"/>
        </w:rPr>
        <w:t xml:space="preserve">Na podstawie przedstawionych na rysunku 1 wartości kalkulator zwróci użytkownikowi wartość podatku oraz zysku, pomniejszoną o obowiązkowy podatek od zysków kapitałowych (podatek Belki). Osoba korzystająca z aplikacji, otrzyma czytelną informację, jaką kwotę uzyska po zakończeniu planowanej inwestycji. </w:t>
      </w:r>
      <w:r w:rsidDel="00000000" w:rsidR="00000000" w:rsidRPr="00000000">
        <w:rPr/>
        <w:drawing>
          <wp:inline distB="0" distT="0" distL="0" distR="0">
            <wp:extent cx="5724525" cy="135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64" w:lineRule="auto"/>
        <w:ind w:left="0" w:right="0" w:firstLine="0"/>
        <w:contextualSpacing w:val="0"/>
        <w:jc w:val="center"/>
        <w:rPr>
          <w:rFonts w:ascii="Corbel" w:cs="Corbel" w:eastAsia="Corbel" w:hAnsi="Corbel"/>
          <w:b w:val="1"/>
          <w:i w:val="0"/>
          <w:smallCaps w:val="0"/>
          <w:strike w:val="0"/>
          <w:color w:val="0673a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673a5"/>
          <w:sz w:val="18"/>
          <w:szCs w:val="18"/>
          <w:u w:val="none"/>
          <w:shd w:fill="auto" w:val="clear"/>
          <w:vertAlign w:val="baseline"/>
          <w:rtl w:val="0"/>
        </w:rPr>
        <w:t xml:space="preserve">Rysunek 1 Okno aplikacji KaLok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Poprawne korzystanie z KaLoka: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Użytkownik powinien podać kwotę depozytu, czyli ile środków chciałby ulokować na lokacie.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kolejnym kroku należy wpisać oprocentowanie lokaty, czyli oprocentowanie, które bank podaje w prospekcie informacyjnym lokaty.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Następnie konsument powinien wpisać interesujący go okres lokaty.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celu uzyskania szukanych informacji należy wybrać kapitalizację odsetek: miesięczną, kwartalną, półroczną, czy też roczną.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wybraniu danej kapitalizacji w dwóch ostatnich okienkach pojawiają się wartości podatku i zysku netto.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Aplikację można zamknąć na trzy sposoby. Pierwszym z nich jest kliknięcie przycisku „Koniec”. Innym rozwiązaniem jest wybranie przycisku na klawiaturze „Esc”, bądź po prostu standardowe zamknięcie okna kalkulatora w prawym górnym rogu. Każda z tych opcji wymaga potwierdzenia. </w:t>
      </w:r>
    </w:p>
    <w:p w:rsidR="00000000" w:rsidDel="00000000" w:rsidP="00000000" w:rsidRDefault="00000000" w:rsidRPr="00000000" w14:paraId="0000001D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 celu udzielenia wskazówek, jak korzystać z aplikacji, niniejszą instrukcję można znaleźć w zakładce “Poradnik”.</w:t>
      </w:r>
      <w:r w:rsidDel="00000000" w:rsidR="00000000" w:rsidRPr="00000000">
        <w:rPr>
          <w:rtl w:val="0"/>
        </w:rPr>
      </w:r>
    </w:p>
    <w:sectPr>
      <w:footerReference r:id="rId7" w:type="default"/>
      <w:pgSz w:h="16839" w:w="11907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orbel" w:cs="Corbel" w:eastAsia="Corbel" w:hAnsi="Corbe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574" w:hanging="432.00000000000006"/>
      </w:pPr>
      <w:rPr>
        <w:b w:val="1"/>
        <w:i w:val="1"/>
      </w:rPr>
    </w:lvl>
    <w:lvl w:ilvl="2">
      <w:start w:val="1"/>
      <w:numFmt w:val="bullet"/>
      <w:lvlText w:val="●"/>
      <w:lvlJc w:val="left"/>
      <w:pPr>
        <w:ind w:left="122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●.%4."/>
      <w:lvlJc w:val="left"/>
      <w:pPr>
        <w:ind w:left="1728" w:hanging="647.9999999999998"/>
      </w:pPr>
      <w:rPr/>
    </w:lvl>
    <w:lvl w:ilvl="4">
      <w:start w:val="1"/>
      <w:numFmt w:val="decimal"/>
      <w:lvlText w:val="%1.%2.●.%4.%5."/>
      <w:lvlJc w:val="left"/>
      <w:pPr>
        <w:ind w:left="2232" w:hanging="792"/>
      </w:pPr>
      <w:rPr/>
    </w:lvl>
    <w:lvl w:ilvl="5">
      <w:start w:val="1"/>
      <w:numFmt w:val="decimal"/>
      <w:lvlText w:val="%1.%2.●.%4.%5.%6."/>
      <w:lvlJc w:val="left"/>
      <w:pPr>
        <w:ind w:left="2736" w:hanging="935.9999999999998"/>
      </w:pPr>
      <w:rPr/>
    </w:lvl>
    <w:lvl w:ilvl="6">
      <w:start w:val="1"/>
      <w:numFmt w:val="decimal"/>
      <w:lvlText w:val="%1.%2.●.%4.%5.%6.%7."/>
      <w:lvlJc w:val="left"/>
      <w:pPr>
        <w:ind w:left="3240" w:hanging="1080"/>
      </w:pPr>
      <w:rPr/>
    </w:lvl>
    <w:lvl w:ilvl="7">
      <w:start w:val="1"/>
      <w:numFmt w:val="decimal"/>
      <w:lvlText w:val="%1.%2.●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●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2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1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574" w:hanging="432.00000000000006"/>
      </w:pPr>
      <w:rPr>
        <w:b w:val="1"/>
        <w:i w:val="1"/>
      </w:rPr>
    </w:lvl>
    <w:lvl w:ilvl="2">
      <w:start w:val="1"/>
      <w:numFmt w:val="bullet"/>
      <w:lvlText w:val="●"/>
      <w:lvlJc w:val="left"/>
      <w:pPr>
        <w:ind w:left="122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●.%4."/>
      <w:lvlJc w:val="left"/>
      <w:pPr>
        <w:ind w:left="1728" w:hanging="647.9999999999998"/>
      </w:pPr>
      <w:rPr/>
    </w:lvl>
    <w:lvl w:ilvl="4">
      <w:start w:val="1"/>
      <w:numFmt w:val="decimal"/>
      <w:lvlText w:val="%1.%2.●.%4.%5."/>
      <w:lvlJc w:val="left"/>
      <w:pPr>
        <w:ind w:left="2232" w:hanging="792"/>
      </w:pPr>
      <w:rPr/>
    </w:lvl>
    <w:lvl w:ilvl="5">
      <w:start w:val="1"/>
      <w:numFmt w:val="decimal"/>
      <w:lvlText w:val="%1.%2.●.%4.%5.%6."/>
      <w:lvlJc w:val="left"/>
      <w:pPr>
        <w:ind w:left="2736" w:hanging="935.9999999999998"/>
      </w:pPr>
      <w:rPr/>
    </w:lvl>
    <w:lvl w:ilvl="6">
      <w:start w:val="1"/>
      <w:numFmt w:val="decimal"/>
      <w:lvlText w:val="%1.%2.●.%4.%5.%6.%7."/>
      <w:lvlJc w:val="left"/>
      <w:pPr>
        <w:ind w:left="3240" w:hanging="1080"/>
      </w:pPr>
      <w:rPr/>
    </w:lvl>
    <w:lvl w:ilvl="7">
      <w:start w:val="1"/>
      <w:numFmt w:val="decimal"/>
      <w:lvlText w:val="%1.%2.●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●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bel" w:cs="Corbel" w:eastAsia="Corbel" w:hAnsi="Corbel"/>
        <w:sz w:val="22"/>
        <w:szCs w:val="22"/>
        <w:lang w:val="pl-PL"/>
      </w:rPr>
    </w:rPrDefault>
    <w:pPrDefault>
      <w:pPr>
        <w:spacing w:after="200" w:before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0673a5" w:space="0" w:sz="24" w:val="single"/>
        <w:left w:color="0673a5" w:space="0" w:sz="24" w:val="single"/>
        <w:bottom w:color="0673a5" w:space="0" w:sz="24" w:val="single"/>
        <w:right w:color="0673a5" w:space="0" w:sz="24" w:val="single"/>
      </w:pBdr>
      <w:shd w:fill="0673a5" w:val="clear"/>
      <w:spacing w:after="0" w:lineRule="auto"/>
    </w:pPr>
    <w:rPr>
      <w:rFonts w:ascii="Corbel" w:cs="Corbel" w:eastAsia="Corbel" w:hAnsi="Corbel"/>
      <w:smallCaps w:val="1"/>
      <w:color w:val="ffffff"/>
    </w:rPr>
  </w:style>
  <w:style w:type="paragraph" w:styleId="Heading2">
    <w:name w:val="heading 2"/>
    <w:basedOn w:val="Normal"/>
    <w:next w:val="Normal"/>
    <w:pPr>
      <w:pBdr>
        <w:top w:color="c9ecfc" w:space="0" w:sz="24" w:val="single"/>
        <w:left w:color="c9ecfc" w:space="0" w:sz="24" w:val="single"/>
        <w:bottom w:color="c9ecfc" w:space="0" w:sz="24" w:val="single"/>
        <w:right w:color="c9ecfc" w:space="0" w:sz="24" w:val="single"/>
      </w:pBdr>
      <w:shd w:fill="c9ecfc" w:val="clear"/>
      <w:spacing w:after="0" w:lineRule="auto"/>
    </w:pPr>
    <w:rPr>
      <w:rFonts w:ascii="Corbel" w:cs="Corbel" w:eastAsia="Corbel" w:hAnsi="Corbel"/>
      <w:smallCaps w:val="1"/>
    </w:rPr>
  </w:style>
  <w:style w:type="paragraph" w:styleId="Heading3">
    <w:name w:val="heading 3"/>
    <w:basedOn w:val="Normal"/>
    <w:next w:val="Normal"/>
    <w:pPr>
      <w:pBdr>
        <w:top w:color="099bdd" w:space="2" w:sz="6" w:val="single"/>
      </w:pBdr>
      <w:spacing w:after="0" w:before="300" w:lineRule="auto"/>
    </w:pPr>
    <w:rPr>
      <w:rFonts w:ascii="Corbel" w:cs="Corbel" w:eastAsia="Corbel" w:hAnsi="Corbel"/>
      <w:smallCaps w:val="1"/>
      <w:color w:val="044d6e"/>
    </w:rPr>
  </w:style>
  <w:style w:type="paragraph" w:styleId="Heading4">
    <w:name w:val="heading 4"/>
    <w:basedOn w:val="Normal"/>
    <w:next w:val="Normal"/>
    <w:pPr>
      <w:pBdr>
        <w:top w:color="099bdd" w:space="2" w:sz="6" w:val="dotted"/>
      </w:pBdr>
      <w:spacing w:after="0" w:before="200" w:lineRule="auto"/>
    </w:pPr>
    <w:rPr>
      <w:rFonts w:ascii="Corbel" w:cs="Corbel" w:eastAsia="Corbel" w:hAnsi="Corbel"/>
      <w:smallCaps w:val="1"/>
      <w:color w:val="0673a5"/>
    </w:rPr>
  </w:style>
  <w:style w:type="paragraph" w:styleId="Heading5">
    <w:name w:val="heading 5"/>
    <w:basedOn w:val="Normal"/>
    <w:next w:val="Normal"/>
    <w:pPr>
      <w:pBdr>
        <w:bottom w:color="099bdd" w:space="1" w:sz="6" w:val="single"/>
      </w:pBdr>
      <w:spacing w:after="0" w:before="200" w:lineRule="auto"/>
    </w:pPr>
    <w:rPr>
      <w:rFonts w:ascii="Corbel" w:cs="Corbel" w:eastAsia="Corbel" w:hAnsi="Corbel"/>
      <w:smallCaps w:val="1"/>
      <w:color w:val="0673a5"/>
    </w:rPr>
  </w:style>
  <w:style w:type="paragraph" w:styleId="Heading6">
    <w:name w:val="heading 6"/>
    <w:basedOn w:val="Normal"/>
    <w:next w:val="Normal"/>
    <w:pPr>
      <w:pBdr>
        <w:bottom w:color="099bdd" w:space="1" w:sz="6" w:val="dotted"/>
      </w:pBdr>
      <w:spacing w:after="0" w:before="200" w:lineRule="auto"/>
    </w:pPr>
    <w:rPr>
      <w:rFonts w:ascii="Corbel" w:cs="Corbel" w:eastAsia="Corbel" w:hAnsi="Corbel"/>
      <w:smallCaps w:val="1"/>
      <w:color w:val="0673a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orbel" w:cs="Corbel" w:eastAsia="Corbel" w:hAnsi="Corbel"/>
      <w:smallCaps w:val="1"/>
      <w:color w:val="0673a5"/>
      <w:sz w:val="52"/>
      <w:szCs w:val="52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4040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