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horzAnchor="margin" w:tblpX="-459" w:tblpY="1425"/>
        <w:tblW w:w="10031" w:type="dxa"/>
        <w:tblLook w:val="04A0" w:firstRow="1" w:lastRow="0" w:firstColumn="1" w:lastColumn="0" w:noHBand="0" w:noVBand="1"/>
      </w:tblPr>
      <w:tblGrid>
        <w:gridCol w:w="5065"/>
        <w:gridCol w:w="4966"/>
      </w:tblGrid>
      <w:tr w:rsidR="009525E5" w:rsidTr="009525E5">
        <w:tc>
          <w:tcPr>
            <w:tcW w:w="5065" w:type="dxa"/>
          </w:tcPr>
          <w:p w:rsidR="009525E5" w:rsidRPr="000022A8" w:rsidRDefault="009525E5" w:rsidP="009525E5">
            <w:pPr>
              <w:rPr>
                <w:b/>
              </w:rPr>
            </w:pPr>
            <w:r w:rsidRPr="000022A8">
              <w:rPr>
                <w:b/>
              </w:rPr>
              <w:t>Funkcjonalne</w:t>
            </w:r>
          </w:p>
        </w:tc>
        <w:tc>
          <w:tcPr>
            <w:tcW w:w="4966" w:type="dxa"/>
          </w:tcPr>
          <w:p w:rsidR="009525E5" w:rsidRPr="000022A8" w:rsidRDefault="009525E5" w:rsidP="009525E5">
            <w:pPr>
              <w:rPr>
                <w:b/>
              </w:rPr>
            </w:pPr>
            <w:r w:rsidRPr="000022A8">
              <w:rPr>
                <w:b/>
              </w:rPr>
              <w:t>Niefunkcjonalne</w:t>
            </w:r>
          </w:p>
        </w:tc>
      </w:tr>
      <w:tr w:rsidR="009525E5" w:rsidTr="009525E5">
        <w:tc>
          <w:tcPr>
            <w:tcW w:w="5065" w:type="dxa"/>
          </w:tcPr>
          <w:p w:rsidR="009525E5" w:rsidRDefault="0060032D" w:rsidP="009525E5">
            <w:r>
              <w:t>O</w:t>
            </w:r>
            <w:r w:rsidR="009525E5">
              <w:t>bliczenie przewidywanego zysku</w:t>
            </w:r>
          </w:p>
        </w:tc>
        <w:tc>
          <w:tcPr>
            <w:tcW w:w="4966" w:type="dxa"/>
          </w:tcPr>
          <w:p w:rsidR="009525E5" w:rsidRDefault="0060032D" w:rsidP="009525E5">
            <w:r>
              <w:t>Prosty i schludny interfejs (brak jaskrawych kolorów, każdy przycisk ma swoją nazwę)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wyboru czasu trwania lokaty</w:t>
            </w:r>
          </w:p>
        </w:tc>
        <w:tc>
          <w:tcPr>
            <w:tcW w:w="4966" w:type="dxa"/>
          </w:tcPr>
          <w:p w:rsidR="009525E5" w:rsidRDefault="009525E5" w:rsidP="009525E5">
            <w:r>
              <w:t>Logo aplikacji umieszczone w lewym górnym rogu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wyboru wysokości oprocentowania</w:t>
            </w:r>
          </w:p>
        </w:tc>
        <w:tc>
          <w:tcPr>
            <w:tcW w:w="4966" w:type="dxa"/>
          </w:tcPr>
          <w:p w:rsidR="009525E5" w:rsidRDefault="0060032D" w:rsidP="009525E5">
            <w:r>
              <w:t>Aplikacja funkcjonuje w języku polskim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wyboru kapitalizacji odsetek</w:t>
            </w:r>
          </w:p>
        </w:tc>
        <w:tc>
          <w:tcPr>
            <w:tcW w:w="4966" w:type="dxa"/>
          </w:tcPr>
          <w:p w:rsidR="009525E5" w:rsidRDefault="0060032D" w:rsidP="009525E5">
            <w:r>
              <w:t>Aplikacja nie uwzględnia możliwości wybierania odsetek przed końcem lokaty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 zadeklarowania kapitału początkowego</w:t>
            </w:r>
          </w:p>
        </w:tc>
        <w:tc>
          <w:tcPr>
            <w:tcW w:w="4966" w:type="dxa"/>
          </w:tcPr>
          <w:p w:rsidR="009525E5" w:rsidRDefault="009525E5" w:rsidP="009525E5">
            <w:r>
              <w:t>Aplikacja bezpieczna w użytkowaniu</w:t>
            </w:r>
            <w:r w:rsidR="00F917F5">
              <w:t xml:space="preserve"> (nie instaluje niepożądanych programów)</w:t>
            </w:r>
          </w:p>
        </w:tc>
      </w:tr>
      <w:tr w:rsidR="009525E5" w:rsidTr="009525E5">
        <w:tc>
          <w:tcPr>
            <w:tcW w:w="5065" w:type="dxa"/>
          </w:tcPr>
          <w:p w:rsidR="009525E5" w:rsidRDefault="0060032D" w:rsidP="009525E5">
            <w:r>
              <w:t>O</w:t>
            </w:r>
            <w:r w:rsidR="009525E5">
              <w:t>bliczenie wysokości należnego podatku</w:t>
            </w:r>
          </w:p>
        </w:tc>
        <w:tc>
          <w:tcPr>
            <w:tcW w:w="4966" w:type="dxa"/>
          </w:tcPr>
          <w:p w:rsidR="009525E5" w:rsidRDefault="009525E5" w:rsidP="009525E5">
            <w:r>
              <w:t>Kolor aplikacji to: niebieski</w:t>
            </w:r>
          </w:p>
        </w:tc>
      </w:tr>
      <w:tr w:rsidR="009525E5" w:rsidTr="009525E5">
        <w:tc>
          <w:tcPr>
            <w:tcW w:w="5065" w:type="dxa"/>
          </w:tcPr>
          <w:p w:rsidR="009525E5" w:rsidRDefault="001028C6" w:rsidP="009525E5">
            <w:r>
              <w:t>Możliwość minimalizacji okna aplikacji</w:t>
            </w:r>
          </w:p>
        </w:tc>
        <w:tc>
          <w:tcPr>
            <w:tcW w:w="4966" w:type="dxa"/>
          </w:tcPr>
          <w:p w:rsidR="009525E5" w:rsidRDefault="000022A8" w:rsidP="009525E5">
            <w:r>
              <w:t>Aplik</w:t>
            </w:r>
            <w:r w:rsidR="00ED3E69">
              <w:t>acja będzie dostępna całodobowo</w:t>
            </w:r>
            <w:bookmarkStart w:id="0" w:name="_GoBack"/>
            <w:bookmarkEnd w:id="0"/>
          </w:p>
        </w:tc>
      </w:tr>
      <w:tr w:rsidR="009525E5" w:rsidTr="009525E5">
        <w:tc>
          <w:tcPr>
            <w:tcW w:w="5065" w:type="dxa"/>
          </w:tcPr>
          <w:p w:rsidR="009525E5" w:rsidRDefault="001028C6" w:rsidP="009525E5">
            <w:r>
              <w:t>Możliwość zakończenia pracy</w:t>
            </w:r>
            <w:r>
              <w:t xml:space="preserve"> programu</w:t>
            </w:r>
            <w:r>
              <w:t xml:space="preserve"> odpowiednim przyciskiem</w:t>
            </w:r>
          </w:p>
        </w:tc>
        <w:tc>
          <w:tcPr>
            <w:tcW w:w="4966" w:type="dxa"/>
          </w:tcPr>
          <w:p w:rsidR="009525E5" w:rsidRDefault="0060032D" w:rsidP="009525E5">
            <w:r>
              <w:t>Instrukcja dla użytkowników będzie zawierała wskazówki dotyczące korzystania z aplikacji</w:t>
            </w:r>
          </w:p>
        </w:tc>
      </w:tr>
      <w:tr w:rsidR="009525E5" w:rsidTr="009525E5">
        <w:tc>
          <w:tcPr>
            <w:tcW w:w="5065" w:type="dxa"/>
          </w:tcPr>
          <w:p w:rsidR="009525E5" w:rsidRDefault="001028C6" w:rsidP="009525E5">
            <w:r>
              <w:t>Przyciski podświetlają się po najechaniu na nie kursorem</w:t>
            </w:r>
          </w:p>
        </w:tc>
        <w:tc>
          <w:tcPr>
            <w:tcW w:w="4966" w:type="dxa"/>
          </w:tcPr>
          <w:p w:rsidR="009525E5" w:rsidRDefault="008832DF" w:rsidP="009525E5">
            <w:r>
              <w:t>Aplikacja dostępna dla systemu Windows</w:t>
            </w:r>
          </w:p>
        </w:tc>
      </w:tr>
      <w:tr w:rsidR="008832DF" w:rsidRPr="000022A8" w:rsidTr="009525E5">
        <w:tc>
          <w:tcPr>
            <w:tcW w:w="5065" w:type="dxa"/>
          </w:tcPr>
          <w:p w:rsidR="008832DF" w:rsidRPr="008832DF" w:rsidRDefault="001028C6" w:rsidP="0060032D">
            <w:r>
              <w:t>Dostępność</w:t>
            </w:r>
            <w:r w:rsidR="0060032D">
              <w:t xml:space="preserve"> instrukcja dla użytkowników</w:t>
            </w:r>
          </w:p>
        </w:tc>
        <w:tc>
          <w:tcPr>
            <w:tcW w:w="4966" w:type="dxa"/>
          </w:tcPr>
          <w:p w:rsidR="008832DF" w:rsidRPr="008832DF" w:rsidRDefault="0060032D" w:rsidP="008832DF">
            <w:r>
              <w:t>Aplikacja nie uwzględnia inflacji</w:t>
            </w:r>
          </w:p>
        </w:tc>
      </w:tr>
    </w:tbl>
    <w:p w:rsidR="003D03AD" w:rsidRPr="000022A8" w:rsidRDefault="000022A8" w:rsidP="009525E5">
      <w:pPr>
        <w:rPr>
          <w:rFonts w:ascii="Comic Sans MS" w:hAnsi="Comic Sans MS"/>
          <w:b/>
          <w:sz w:val="48"/>
          <w:szCs w:val="48"/>
        </w:rPr>
      </w:pPr>
      <w:r w:rsidRPr="000022A8">
        <w:rPr>
          <w:rFonts w:ascii="Comic Sans MS" w:hAnsi="Comic Sans MS"/>
          <w:b/>
          <w:sz w:val="48"/>
          <w:szCs w:val="48"/>
        </w:rPr>
        <w:t>Wymagania</w:t>
      </w:r>
    </w:p>
    <w:sectPr w:rsidR="003D03AD" w:rsidRPr="000022A8" w:rsidSect="00952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544A7"/>
    <w:multiLevelType w:val="hybridMultilevel"/>
    <w:tmpl w:val="18A844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13630"/>
    <w:multiLevelType w:val="hybridMultilevel"/>
    <w:tmpl w:val="EE305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E5"/>
    <w:rsid w:val="000022A8"/>
    <w:rsid w:val="001028C6"/>
    <w:rsid w:val="003D03AD"/>
    <w:rsid w:val="0060032D"/>
    <w:rsid w:val="008832DF"/>
    <w:rsid w:val="009525E5"/>
    <w:rsid w:val="00ED3E69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25E5"/>
    <w:pPr>
      <w:ind w:left="720"/>
      <w:contextualSpacing/>
    </w:pPr>
  </w:style>
  <w:style w:type="table" w:styleId="Tabela-Siatka">
    <w:name w:val="Table Grid"/>
    <w:basedOn w:val="Standardowy"/>
    <w:uiPriority w:val="59"/>
    <w:rsid w:val="0095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25E5"/>
    <w:pPr>
      <w:ind w:left="720"/>
      <w:contextualSpacing/>
    </w:pPr>
  </w:style>
  <w:style w:type="table" w:styleId="Tabela-Siatka">
    <w:name w:val="Table Grid"/>
    <w:basedOn w:val="Standardowy"/>
    <w:uiPriority w:val="59"/>
    <w:rsid w:val="0095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2018-10-18T10:17:00Z</dcterms:created>
  <dcterms:modified xsi:type="dcterms:W3CDTF">2018-10-25T09:52:00Z</dcterms:modified>
</cp:coreProperties>
</file>