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horzAnchor="margin" w:tblpX="-459" w:tblpY="1425"/>
        <w:tblW w:w="10031" w:type="dxa"/>
        <w:tblLook w:val="04A0" w:firstRow="1" w:lastRow="0" w:firstColumn="1" w:lastColumn="0" w:noHBand="0" w:noVBand="1"/>
      </w:tblPr>
      <w:tblGrid>
        <w:gridCol w:w="5065"/>
        <w:gridCol w:w="4966"/>
      </w:tblGrid>
      <w:tr w:rsidR="009525E5" w:rsidTr="009525E5">
        <w:tc>
          <w:tcPr>
            <w:tcW w:w="5065" w:type="dxa"/>
          </w:tcPr>
          <w:p w:rsidR="009525E5" w:rsidRPr="000022A8" w:rsidRDefault="009525E5" w:rsidP="009525E5">
            <w:pPr>
              <w:rPr>
                <w:b/>
              </w:rPr>
            </w:pPr>
            <w:r w:rsidRPr="000022A8">
              <w:rPr>
                <w:b/>
              </w:rPr>
              <w:t>Funkcjonalne</w:t>
            </w:r>
          </w:p>
        </w:tc>
        <w:tc>
          <w:tcPr>
            <w:tcW w:w="4966" w:type="dxa"/>
          </w:tcPr>
          <w:p w:rsidR="009525E5" w:rsidRPr="000022A8" w:rsidRDefault="009525E5" w:rsidP="009525E5">
            <w:pPr>
              <w:rPr>
                <w:b/>
              </w:rPr>
            </w:pPr>
            <w:r w:rsidRPr="000022A8">
              <w:rPr>
                <w:b/>
              </w:rPr>
              <w:t>Niefunkcjonalne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Poprawne obliczenie przewidywanego zysku</w:t>
            </w:r>
          </w:p>
        </w:tc>
        <w:tc>
          <w:tcPr>
            <w:tcW w:w="4966" w:type="dxa"/>
          </w:tcPr>
          <w:p w:rsidR="009525E5" w:rsidRDefault="009525E5" w:rsidP="009525E5">
            <w:r>
              <w:t>Estetyka interfejsu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wyboru czasu trwania lokaty</w:t>
            </w:r>
          </w:p>
        </w:tc>
        <w:tc>
          <w:tcPr>
            <w:tcW w:w="4966" w:type="dxa"/>
          </w:tcPr>
          <w:p w:rsidR="009525E5" w:rsidRDefault="009525E5" w:rsidP="009525E5">
            <w:r>
              <w:t>Logo aplikacji umieszczone w lewym górnym rogu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wyboru wysokości oprocentowania</w:t>
            </w:r>
          </w:p>
        </w:tc>
        <w:tc>
          <w:tcPr>
            <w:tcW w:w="4966" w:type="dxa"/>
          </w:tcPr>
          <w:p w:rsidR="009525E5" w:rsidRDefault="009525E5" w:rsidP="009525E5">
            <w:r>
              <w:t>Płynność pracy aplikacji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wyboru kapitalizacji odsetek</w:t>
            </w:r>
          </w:p>
        </w:tc>
        <w:tc>
          <w:tcPr>
            <w:tcW w:w="4966" w:type="dxa"/>
          </w:tcPr>
          <w:p w:rsidR="009525E5" w:rsidRDefault="009525E5" w:rsidP="009525E5">
            <w:r>
              <w:t>Przyjazny dla użytkownika układ przycisków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Możliwość  zadeklarowania kapitału początkowego</w:t>
            </w:r>
          </w:p>
        </w:tc>
        <w:tc>
          <w:tcPr>
            <w:tcW w:w="4966" w:type="dxa"/>
          </w:tcPr>
          <w:p w:rsidR="009525E5" w:rsidRDefault="009525E5" w:rsidP="009525E5">
            <w:r>
              <w:t>Aplikacja bezpieczna w użytkowaniu</w:t>
            </w:r>
          </w:p>
        </w:tc>
      </w:tr>
      <w:tr w:rsidR="009525E5" w:rsidTr="009525E5">
        <w:tc>
          <w:tcPr>
            <w:tcW w:w="5065" w:type="dxa"/>
          </w:tcPr>
          <w:p w:rsidR="009525E5" w:rsidRDefault="009525E5" w:rsidP="009525E5">
            <w:r>
              <w:t>Poprawne obliczenie wysokości należnego podatku</w:t>
            </w:r>
          </w:p>
        </w:tc>
        <w:tc>
          <w:tcPr>
            <w:tcW w:w="4966" w:type="dxa"/>
          </w:tcPr>
          <w:p w:rsidR="009525E5" w:rsidRDefault="009525E5" w:rsidP="009525E5">
            <w:r>
              <w:t>Kolor aplikacji to: niebieski</w:t>
            </w:r>
          </w:p>
        </w:tc>
      </w:tr>
      <w:tr w:rsidR="009525E5" w:rsidTr="009525E5">
        <w:tc>
          <w:tcPr>
            <w:tcW w:w="5065" w:type="dxa"/>
          </w:tcPr>
          <w:p w:rsidR="009525E5" w:rsidRDefault="000022A8" w:rsidP="009525E5">
            <w:r>
              <w:t>Aplikacja funkcjonuje w języku polskim</w:t>
            </w:r>
          </w:p>
        </w:tc>
        <w:tc>
          <w:tcPr>
            <w:tcW w:w="4966" w:type="dxa"/>
          </w:tcPr>
          <w:p w:rsidR="009525E5" w:rsidRDefault="000022A8" w:rsidP="009525E5">
            <w:r>
              <w:t>Aplik</w:t>
            </w:r>
            <w:r w:rsidR="008832DF">
              <w:t>acja będzie dostępna 24/7/365</w:t>
            </w:r>
          </w:p>
        </w:tc>
      </w:tr>
      <w:tr w:rsidR="009525E5" w:rsidTr="009525E5">
        <w:tc>
          <w:tcPr>
            <w:tcW w:w="5065" w:type="dxa"/>
          </w:tcPr>
          <w:p w:rsidR="009525E5" w:rsidRDefault="000022A8" w:rsidP="009525E5">
            <w:r>
              <w:t>Aplikacja nie uwzględnia inflacji</w:t>
            </w:r>
          </w:p>
        </w:tc>
        <w:tc>
          <w:tcPr>
            <w:tcW w:w="4966" w:type="dxa"/>
          </w:tcPr>
          <w:p w:rsidR="009525E5" w:rsidRDefault="000022A8" w:rsidP="009525E5">
            <w:r>
              <w:t>Pierwszymi użytkownikami aplikacji będzie zespół pracujący nad aplikacją</w:t>
            </w:r>
          </w:p>
        </w:tc>
      </w:tr>
      <w:tr w:rsidR="009525E5" w:rsidTr="009525E5">
        <w:tc>
          <w:tcPr>
            <w:tcW w:w="5065" w:type="dxa"/>
          </w:tcPr>
          <w:p w:rsidR="009525E5" w:rsidRDefault="000022A8" w:rsidP="009525E5">
            <w:r>
              <w:t xml:space="preserve">Aplikacja nie uwzględnia możliwości </w:t>
            </w:r>
            <w:r w:rsidR="008832DF">
              <w:t>wybierania odsetek przed końcem lokaty</w:t>
            </w:r>
          </w:p>
        </w:tc>
        <w:tc>
          <w:tcPr>
            <w:tcW w:w="4966" w:type="dxa"/>
          </w:tcPr>
          <w:p w:rsidR="009525E5" w:rsidRDefault="008832DF" w:rsidP="009525E5">
            <w:r>
              <w:t>Aplikacja dostępna dla systemu Windows</w:t>
            </w:r>
          </w:p>
        </w:tc>
      </w:tr>
      <w:tr w:rsidR="008832DF" w:rsidRPr="000022A8" w:rsidTr="009525E5">
        <w:tc>
          <w:tcPr>
            <w:tcW w:w="5065" w:type="dxa"/>
          </w:tcPr>
          <w:p w:rsidR="008832DF" w:rsidRPr="008832DF" w:rsidRDefault="008832DF" w:rsidP="008832DF">
            <w:r>
              <w:t>Instrukcja dla użytkowników aplikacji będzie w oknie startowym aplikacji</w:t>
            </w:r>
          </w:p>
        </w:tc>
        <w:tc>
          <w:tcPr>
            <w:tcW w:w="4966" w:type="dxa"/>
          </w:tcPr>
          <w:p w:rsidR="008832DF" w:rsidRPr="008832DF" w:rsidRDefault="008832DF" w:rsidP="008832DF">
            <w:r>
              <w:t>Instrukcja dla użytkowników aplikacji będzie w oknie startowym aplikacji</w:t>
            </w:r>
          </w:p>
        </w:tc>
      </w:tr>
    </w:tbl>
    <w:p w:rsidR="003D03AD" w:rsidRPr="000022A8" w:rsidRDefault="000022A8" w:rsidP="009525E5">
      <w:pPr>
        <w:rPr>
          <w:rFonts w:ascii="Comic Sans MS" w:hAnsi="Comic Sans MS"/>
          <w:b/>
          <w:sz w:val="48"/>
          <w:szCs w:val="48"/>
        </w:rPr>
      </w:pPr>
      <w:r w:rsidRPr="000022A8">
        <w:rPr>
          <w:rFonts w:ascii="Comic Sans MS" w:hAnsi="Comic Sans MS"/>
          <w:b/>
          <w:sz w:val="48"/>
          <w:szCs w:val="48"/>
        </w:rPr>
        <w:t>Wymagania</w:t>
      </w:r>
      <w:bookmarkStart w:id="0" w:name="_GoBack"/>
      <w:bookmarkEnd w:id="0"/>
    </w:p>
    <w:sectPr w:rsidR="003D03AD" w:rsidRPr="000022A8" w:rsidSect="00952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544A7"/>
    <w:multiLevelType w:val="hybridMultilevel"/>
    <w:tmpl w:val="18A844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13630"/>
    <w:multiLevelType w:val="hybridMultilevel"/>
    <w:tmpl w:val="EE305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E5"/>
    <w:rsid w:val="000022A8"/>
    <w:rsid w:val="003D03AD"/>
    <w:rsid w:val="008832DF"/>
    <w:rsid w:val="009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25E5"/>
    <w:pPr>
      <w:ind w:left="720"/>
      <w:contextualSpacing/>
    </w:pPr>
  </w:style>
  <w:style w:type="table" w:styleId="Tabela-Siatka">
    <w:name w:val="Table Grid"/>
    <w:basedOn w:val="Standardowy"/>
    <w:uiPriority w:val="59"/>
    <w:rsid w:val="0095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25E5"/>
    <w:pPr>
      <w:ind w:left="720"/>
      <w:contextualSpacing/>
    </w:pPr>
  </w:style>
  <w:style w:type="table" w:styleId="Tabela-Siatka">
    <w:name w:val="Table Grid"/>
    <w:basedOn w:val="Standardowy"/>
    <w:uiPriority w:val="59"/>
    <w:rsid w:val="0095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2018-10-18T10:17:00Z</dcterms:created>
  <dcterms:modified xsi:type="dcterms:W3CDTF">2018-10-18T10:44:00Z</dcterms:modified>
</cp:coreProperties>
</file>