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配电自动化调试业务调研报告</w:t>
      </w:r>
    </w:p>
    <w:p>
      <w:r>
        <w:t>（盐开电气分公司）</w:t>
      </w:r>
    </w:p>
    <w:p>
      <w:r>
        <w:t>2026年9月</w:t>
      </w:r>
    </w:p>
    <w:p>
      <w:pPr>
        <w:pStyle w:val="Heading1"/>
      </w:pPr>
      <w:r>
        <w:t>一、调研背景</w:t>
      </w:r>
    </w:p>
    <w:p>
      <w:r>
        <w:t>自2021年5月起，盐开电气分公司承接配电自动化终端调试业务，2024年、2025年先后承接相关代管单位调试任务。截至2025年底，累计完成FTU调试2530台、DTU调试965台，业务覆盖亭湖、开发区、盐都、三新等区域，在支撑配网建设、应急抢修和专业培训方面发挥了积极作用。</w:t>
      </w:r>
    </w:p>
    <w:p>
      <w:r>
        <w:t>（数据来源：/home/runner/work/-/-/配电终端自动化调试业务开展情况汇报20260521.docx；/home/runner/work/-/-/盐开配电终端调试情况说明2026年5月17日.docx；/home/runner/work/-/-/盐开配电终端调试成本汇总2026年9月9日.xlsx）</w:t>
      </w:r>
    </w:p>
    <w:p>
      <w:pPr>
        <w:pStyle w:val="Heading1"/>
      </w:pPr>
      <w:r>
        <w:t>二、2021—2025年上游收入与下游支出分析</w:t>
      </w:r>
    </w:p>
    <w:p>
      <w:pPr>
        <w:pStyle w:val="Heading2"/>
      </w:pPr>
      <w:r>
        <w:t>（一）测算口径说明</w:t>
      </w:r>
    </w:p>
    <w:p>
      <w:r>
        <w:t>围绕调试业务上游收入与下游支出，对2021—2025年按四种口径进行对比测算：1）按华源签报价格；2）按市公司结算价50%；3）按市公司结算价70%；4）按市场价（FTU 1000元/台、DTU 1400元/台）。其中，市公司结算测算单价为FTU 1085.91元/台、DTU 1459.58元/台；PDF合同可识别到“1000元/台”条款。</w:t>
      </w:r>
    </w:p>
    <w:p>
      <w:r>
        <w:t>（来源：...成本汇总2026年9月9日.xlsx“市公司结算”#006/#014、“汇总”#033-034；...2023.pdf OCR页5相关行）</w:t>
      </w:r>
    </w:p>
    <w:p>
      <w:pPr>
        <w:pStyle w:val="Heading2"/>
      </w:pPr>
      <w:r>
        <w:t>（二）年度收支测算结果（单位：元）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年份</w:t>
            </w:r>
          </w:p>
        </w:tc>
        <w:tc>
          <w:tcPr>
            <w:tcW w:type="dxa" w:w="1440"/>
          </w:tcPr>
          <w:p>
            <w:r>
              <w:t>下游支出（公司+协作）</w:t>
            </w:r>
          </w:p>
        </w:tc>
        <w:tc>
          <w:tcPr>
            <w:tcW w:type="dxa" w:w="1440"/>
          </w:tcPr>
          <w:p>
            <w:r>
              <w:t>华源签报口径 盈亏</w:t>
            </w:r>
          </w:p>
        </w:tc>
        <w:tc>
          <w:tcPr>
            <w:tcW w:type="dxa" w:w="1440"/>
          </w:tcPr>
          <w:p>
            <w:r>
              <w:t>50%口径 盈亏</w:t>
            </w:r>
          </w:p>
        </w:tc>
        <w:tc>
          <w:tcPr>
            <w:tcW w:type="dxa" w:w="1440"/>
          </w:tcPr>
          <w:p>
            <w:r>
              <w:t>70%口径 盈亏</w:t>
            </w:r>
          </w:p>
        </w:tc>
        <w:tc>
          <w:tcPr>
            <w:tcW w:type="dxa" w:w="1440"/>
          </w:tcPr>
          <w:p>
            <w:r>
              <w:t>市场价口径 盈亏</w:t>
            </w:r>
          </w:p>
        </w:tc>
      </w:tr>
      <w:tr>
        <w:tc>
          <w:tcPr>
            <w:tcW w:type="dxa" w:w="1440"/>
          </w:tcPr>
          <w:p>
            <w:r>
              <w:t>2021年5-12月</w:t>
            </w:r>
          </w:p>
        </w:tc>
        <w:tc>
          <w:tcPr>
            <w:tcW w:type="dxa" w:w="1440"/>
          </w:tcPr>
          <w:p>
            <w:r>
              <w:t>300,600</w:t>
            </w:r>
          </w:p>
        </w:tc>
        <w:tc>
          <w:tcPr>
            <w:tcW w:type="dxa" w:w="1440"/>
          </w:tcPr>
          <w:p>
            <w:r>
              <w:t>-229,938.65</w:t>
            </w:r>
          </w:p>
        </w:tc>
        <w:tc>
          <w:tcPr>
            <w:tcW w:type="dxa" w:w="1440"/>
          </w:tcPr>
          <w:p>
            <w:r>
              <w:t>-193,614.10</w:t>
            </w:r>
          </w:p>
        </w:tc>
        <w:tc>
          <w:tcPr>
            <w:tcW w:type="dxa" w:w="1440"/>
          </w:tcPr>
          <w:p>
            <w:r>
              <w:t>-150,819.74</w:t>
            </w:r>
          </w:p>
        </w:tc>
        <w:tc>
          <w:tcPr>
            <w:tcW w:type="dxa" w:w="1440"/>
          </w:tcPr>
          <w:p>
            <w:r>
              <w:t>-101,600</w:t>
            </w:r>
          </w:p>
        </w:tc>
      </w:tr>
      <w:tr>
        <w:tc>
          <w:tcPr>
            <w:tcW w:type="dxa" w:w="1440"/>
          </w:tcPr>
          <w:p>
            <w:r>
              <w:t>2022年</w:t>
            </w:r>
          </w:p>
        </w:tc>
        <w:tc>
          <w:tcPr>
            <w:tcW w:type="dxa" w:w="1440"/>
          </w:tcPr>
          <w:p>
            <w:r>
              <w:t>683,550</w:t>
            </w:r>
          </w:p>
        </w:tc>
        <w:tc>
          <w:tcPr>
            <w:tcW w:type="dxa" w:w="1440"/>
          </w:tcPr>
          <w:p>
            <w:r>
              <w:t>-567,162.18</w:t>
            </w:r>
          </w:p>
        </w:tc>
        <w:tc>
          <w:tcPr>
            <w:tcW w:type="dxa" w:w="1440"/>
          </w:tcPr>
          <w:p>
            <w:r>
              <w:t>-507,316.68</w:t>
            </w:r>
          </w:p>
        </w:tc>
        <w:tc>
          <w:tcPr>
            <w:tcW w:type="dxa" w:w="1440"/>
          </w:tcPr>
          <w:p>
            <w:r>
              <w:t>-436,823.35</w:t>
            </w:r>
          </w:p>
        </w:tc>
        <w:tc>
          <w:tcPr>
            <w:tcW w:type="dxa" w:w="1440"/>
          </w:tcPr>
          <w:p>
            <w:r>
              <w:t>-355,950</w:t>
            </w:r>
          </w:p>
        </w:tc>
      </w:tr>
      <w:tr>
        <w:tc>
          <w:tcPr>
            <w:tcW w:type="dxa" w:w="1440"/>
          </w:tcPr>
          <w:p>
            <w:r>
              <w:t>2023年</w:t>
            </w:r>
          </w:p>
        </w:tc>
        <w:tc>
          <w:tcPr>
            <w:tcW w:type="dxa" w:w="1440"/>
          </w:tcPr>
          <w:p>
            <w:r>
              <w:t>778,540</w:t>
            </w:r>
          </w:p>
        </w:tc>
        <w:tc>
          <w:tcPr>
            <w:tcW w:type="dxa" w:w="1440"/>
          </w:tcPr>
          <w:p>
            <w:r>
              <w:t>-593,347.62</w:t>
            </w:r>
          </w:p>
        </w:tc>
        <w:tc>
          <w:tcPr>
            <w:tcW w:type="dxa" w:w="1440"/>
          </w:tcPr>
          <w:p>
            <w:r>
              <w:t>-498,315.26</w:t>
            </w:r>
          </w:p>
        </w:tc>
        <w:tc>
          <w:tcPr>
            <w:tcW w:type="dxa" w:w="1440"/>
          </w:tcPr>
          <w:p>
            <w:r>
              <w:t>-386,225.36</w:t>
            </w:r>
          </w:p>
        </w:tc>
        <w:tc>
          <w:tcPr>
            <w:tcW w:type="dxa" w:w="1440"/>
          </w:tcPr>
          <w:p>
            <w:r>
              <w:t>-254,940</w:t>
            </w:r>
          </w:p>
        </w:tc>
      </w:tr>
      <w:tr>
        <w:tc>
          <w:tcPr>
            <w:tcW w:type="dxa" w:w="1440"/>
          </w:tcPr>
          <w:p>
            <w:r>
              <w:t>2024年</w:t>
            </w:r>
          </w:p>
        </w:tc>
        <w:tc>
          <w:tcPr>
            <w:tcW w:type="dxa" w:w="1440"/>
          </w:tcPr>
          <w:p>
            <w:r>
              <w:t>1,006,470</w:t>
            </w:r>
          </w:p>
        </w:tc>
        <w:tc>
          <w:tcPr>
            <w:tcW w:type="dxa" w:w="1440"/>
          </w:tcPr>
          <w:p>
            <w:r>
              <w:t>-693,574.66</w:t>
            </w:r>
          </w:p>
        </w:tc>
        <w:tc>
          <w:tcPr>
            <w:tcW w:type="dxa" w:w="1440"/>
          </w:tcPr>
          <w:p>
            <w:r>
              <w:t>-622,013.81</w:t>
            </w:r>
          </w:p>
        </w:tc>
        <w:tc>
          <w:tcPr>
            <w:tcW w:type="dxa" w:w="1440"/>
          </w:tcPr>
          <w:p>
            <w:r>
              <w:t>-537,506.02</w:t>
            </w:r>
          </w:p>
        </w:tc>
        <w:tc>
          <w:tcPr>
            <w:tcW w:type="dxa" w:w="1440"/>
          </w:tcPr>
          <w:p>
            <w:r>
              <w:t>-436,683.26</w:t>
            </w:r>
          </w:p>
        </w:tc>
      </w:tr>
      <w:tr>
        <w:tc>
          <w:tcPr>
            <w:tcW w:type="dxa" w:w="1440"/>
          </w:tcPr>
          <w:p>
            <w:r>
              <w:t>2025年</w:t>
            </w:r>
          </w:p>
        </w:tc>
        <w:tc>
          <w:tcPr>
            <w:tcW w:type="dxa" w:w="1440"/>
          </w:tcPr>
          <w:p>
            <w:r>
              <w:t>1,033,930</w:t>
            </w:r>
          </w:p>
        </w:tc>
        <w:tc>
          <w:tcPr>
            <w:tcW w:type="dxa" w:w="1440"/>
          </w:tcPr>
          <w:p>
            <w:r>
              <w:t>-345,903.04</w:t>
            </w:r>
          </w:p>
        </w:tc>
        <w:tc>
          <w:tcPr>
            <w:tcW w:type="dxa" w:w="1440"/>
          </w:tcPr>
          <w:p>
            <w:r>
              <w:t>+6,921.31</w:t>
            </w:r>
          </w:p>
        </w:tc>
        <w:tc>
          <w:tcPr>
            <w:tcW w:type="dxa" w:w="1440"/>
          </w:tcPr>
          <w:p>
            <w:r>
              <w:t>+423,261.83</w:t>
            </w:r>
          </w:p>
        </w:tc>
        <w:tc>
          <w:tcPr>
            <w:tcW w:type="dxa" w:w="1440"/>
          </w:tcPr>
          <w:p>
            <w:r>
              <w:t>+914,270</w:t>
            </w:r>
          </w:p>
        </w:tc>
      </w:tr>
    </w:tbl>
    <w:p>
      <w:pPr>
        <w:pStyle w:val="Heading2"/>
      </w:pPr>
      <w:r>
        <w:t>（三）累计结果</w:t>
      </w:r>
    </w:p>
    <w:p>
      <w:r>
        <w:t>华源签报口径：累计亏损242.99万元；市公司50%口径：累计亏损181.43万元；市公司70%口径：累计亏损108.81万元；市场价口径：累计亏损23.49万元（接近盈亏平衡）。</w:t>
      </w:r>
    </w:p>
    <w:p>
      <w:r>
        <w:t>结论：2021—2024年各口径持续亏损，2025年虽在部分口径实现年度转正，但未弥补历史累计亏损，整体经营压力仍然较大。</w:t>
      </w:r>
    </w:p>
    <w:p>
      <w:pPr>
        <w:pStyle w:val="Heading1"/>
      </w:pPr>
      <w:r>
        <w:t>三、调试业务直接交由施工单位承担的优势分析</w:t>
      </w:r>
    </w:p>
    <w:p>
      <w:r>
        <w:t>1. 进度衔接更高效：安装与调试同步实施，减少等待、交接和重复协调环节。</w:t>
      </w:r>
    </w:p>
    <w:p>
      <w:r>
        <w:t>2. 计划管理更顺畅：由施工单位统一组织施工与调试计划，现场协同链路更短。</w:t>
      </w:r>
    </w:p>
    <w:p>
      <w:r>
        <w:t>3. 用工边界更清晰：人员归属明确，有利于降低劳动合同及用工责任争议风险。</w:t>
      </w:r>
    </w:p>
    <w:p>
      <w:pPr>
        <w:pStyle w:val="Heading1"/>
      </w:pPr>
      <w:r>
        <w:t>四、调试业务由盐开电气分公司承担的主要缺陷</w:t>
      </w:r>
    </w:p>
    <w:p>
      <w:r>
        <w:t>1. 沟通协调成本高：需长期协调配网部、信通、指挥中心、用户单位、甲方单位及多家施工单位，跨单位协同负担重。</w:t>
      </w:r>
    </w:p>
    <w:p>
      <w:r>
        <w:t>2. 重复调试与无效工作量突出：存在实际调试量增加约25%、单台工作量增加约20%、完成后取消约10%等情况，部分增量投入未充分计价。</w:t>
      </w:r>
    </w:p>
    <w:p>
      <w:r>
        <w:t>3. 人工与配套成本持续攀升：作业队伍由早期1组2人扩至5组，车辆、设备、UKEY等同步扩容，持续挤压利润空间。</w:t>
      </w:r>
    </w:p>
    <w:p>
      <w:pPr>
        <w:pStyle w:val="Heading1"/>
      </w:pPr>
      <w:r>
        <w:t>五、综合判断与建议</w:t>
      </w:r>
    </w:p>
    <w:p>
      <w:pPr>
        <w:pStyle w:val="Heading2"/>
      </w:pPr>
      <w:r>
        <w:t>（一）综合判断</w:t>
      </w:r>
    </w:p>
    <w:p>
      <w:r>
        <w:t>当前调试业务核心矛盾在于：现场投入持续增长与结算单价偏低之间的不匹配。若延续低口径结算方式，业务将长期处于低效甚至亏损状态。</w:t>
      </w:r>
    </w:p>
    <w:p>
      <w:pPr>
        <w:pStyle w:val="Heading2"/>
      </w:pPr>
      <w:r>
        <w:t>（二）工作建议</w:t>
      </w:r>
    </w:p>
    <w:p>
      <w:r>
        <w:t>1. 以不低于市公司结算价70%为阶段性底线，逐步向市场价靠拢。</w:t>
      </w:r>
    </w:p>
    <w:p>
      <w:r>
        <w:t>2. 对重复调试、计划取消、兼容性处理等增量工作建立专项计价机制。</w:t>
      </w:r>
    </w:p>
    <w:p>
      <w:r>
        <w:t>3. 优化“施工-调试-验收”一体化协同，减少重复劳动。</w:t>
      </w:r>
    </w:p>
    <w:p>
      <w:r>
        <w:t>4. 建立全过程台账，作为后续结算与绩效依据。</w:t>
      </w:r>
    </w:p>
    <w:p>
      <w:pPr>
        <w:pStyle w:val="Heading1"/>
      </w:pPr>
      <w:r>
        <w:t>六、说明事项</w:t>
      </w:r>
    </w:p>
    <w:p>
      <w:r>
        <w:t>1. PDF合同OCR可稳定识别“1000元/台”，但“DTU 1400元/台”主要来源于xlsx市场价测算口径。</w:t>
      </w:r>
    </w:p>
    <w:p>
      <w:r>
        <w:t>2. 明细表注明设备工器具增投、人员培训、部分年份物联网卡费用及TTU调试费用未完全纳入统计，实际成本可能高于当前测算。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