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AC432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配电终端自动化调试</w:t>
      </w: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业务开展</w:t>
      </w: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情况</w:t>
      </w: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汇报</w:t>
      </w:r>
    </w:p>
    <w:p w14:paraId="77E9693D">
      <w:pPr>
        <w:jc w:val="center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盐开电气分公司</w:t>
      </w:r>
    </w:p>
    <w:p w14:paraId="24513BA1">
      <w:pPr>
        <w:jc w:val="center"/>
        <w:rPr>
          <w:rFonts w:hint="eastAsia" w:ascii="宋体" w:hAnsi="宋体" w:eastAsia="宋体"/>
          <w:sz w:val="36"/>
          <w:szCs w:val="40"/>
        </w:rPr>
      </w:pPr>
    </w:p>
    <w:p w14:paraId="6F1AC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自2021年5月起，</w:t>
      </w:r>
      <w:r>
        <w:rPr>
          <w:rFonts w:hint="eastAsia" w:ascii="方正仿宋_GBK" w:hAnsi="方正仿宋_GBK" w:eastAsia="方正仿宋_GBK" w:cs="方正仿宋_GBK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盐开电气分公司（以下简称“盐开”）承接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兄弟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单位华源送变电工程有限公司（以下简称“华源”）配电自动化终端调试业务（以下简称“调试业务”）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。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并于2024年和2025年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先后承接该公司代管响水兴源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电力设计院</w:t>
      </w:r>
      <w:r>
        <w:rPr>
          <w:rFonts w:hint="eastAsia" w:ascii="方正仿宋_GBK" w:hAnsi="方正仿宋_GBK" w:eastAsia="方正仿宋_GBK" w:cs="方正仿宋_GBK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（以下简称“兴源”）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、海翔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电气分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公司</w:t>
      </w:r>
      <w:r>
        <w:rPr>
          <w:rFonts w:hint="eastAsia" w:ascii="方正仿宋_GBK" w:hAnsi="方正仿宋_GBK" w:eastAsia="方正仿宋_GBK" w:cs="方正仿宋_GBK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（以下简称“海翔”）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等配电自动化调试工作，至今深耕该项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配套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业务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已满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5年。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5年来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盐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开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始终秉持大局意识，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按照江苏怡宁能源实业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集团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有限公司（</w:t>
      </w:r>
      <w:r>
        <w:rPr>
          <w:rFonts w:hint="eastAsia" w:ascii="方正仿宋_GBK" w:hAnsi="方正仿宋_GBK" w:eastAsia="方正仿宋_GBK" w:cs="方正仿宋_GBK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以下简称“集团”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）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整体工作部署，无条件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支撑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兄弟单位各项施工、抢修及专项保障工作，全力托举集团配网自动化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整体板块业务有序推进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。</w:t>
      </w:r>
    </w:p>
    <w:p w14:paraId="0A6CD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一、简要情况</w:t>
      </w:r>
    </w:p>
    <w:p w14:paraId="473F6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</w:rPr>
        <w:t>一是全力完成各项调试任务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  <w:lang w:val="en-US" w:eastAsia="zh-CN"/>
        </w:rPr>
        <w:t>确保项目落地见效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。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截至2025年底，已完成亭湖、开发区、盐都、三新等市域范围内2530台FTU、965台DTU的调试、验收工作，全过程紧密配合华源、海翔等兄弟单位施工部署、工程攻坚及应急抢修工作，精准匹配项目建设节奏，有效保障了区域配网自动化建设项目按期落地、顺利投运。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</w:rPr>
        <w:t>二是夯实硬件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  <w:lang w:val="en-US" w:eastAsia="zh-CN"/>
        </w:rPr>
        <w:t>资源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</w:rPr>
        <w:t>支撑，赋能人才队伍建设。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高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标准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建成配电终端检测调试一体化中心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（占地面积1344平方米，规模苏北地区之冠），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五年间持续投入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充足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人力、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专业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设备、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专属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场地及车辆资源，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主动承载系统内人才培育工作，先后支撑3次市级专业技能竞赛、5次常态化技能实训及技术交流活动，为我市培育储备优质配网专业人才。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同时主动对接市公司配网部、信通公司、供电服务指挥中心及多家上下游合作单位，理顺多方协同对接流程，为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集团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兄弟单位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华源、海翔等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）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业务顺利开展筑牢基础。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</w:rPr>
        <w:t>三是持续升级作业能力，适配业务增量需求。</w:t>
      </w:r>
      <w:r>
        <w:rPr>
          <w:rFonts w:hint="eastAsia" w:ascii="方正仿宋_GBK" w:hAnsi="方正仿宋_GBK" w:eastAsia="方正仿宋_GBK" w:cs="方正仿宋_GBK"/>
          <w:b w:val="0"/>
          <w:bCs w:val="0"/>
          <w:sz w:val="28"/>
          <w:szCs w:val="28"/>
          <w:lang w:val="en-US" w:eastAsia="zh-CN"/>
        </w:rPr>
        <w:t>面对逐年提档的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配网自动化技术标准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与持续激增的业务体量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盐开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主动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补强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作业力量，将原有1组2人的作业团队扩充至5组标准化作业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团队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，同步配齐调试设备、UKEY、作业车辆等配套物资，月调试能力从初期10台提升至峰值250余台，全力适配集团配网自动化项目批量建设、集中投产的高峰作业需求。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  <w:lang w:val="en-US" w:eastAsia="zh-CN"/>
        </w:rPr>
        <w:t>四是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</w:rPr>
        <w:t>创新联动管控机制，精准匹配施工节奏。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依托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配农网工程进度大数据分析，建立检测、仓储、调试三位一体动态匹配机制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。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在物资端，仓库灵活调整物资库存、供货周期和时间，实现物资周转更快、供货效率更高。在检测调试端，依据配农网工程进度节点合理调整检测、调试计划，实现检测调试计划与施工进度的精准耦合，计划偏差率控制在 5% 以内。</w:t>
      </w:r>
    </w:p>
    <w:p w14:paraId="6CAA4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二、存在困难</w:t>
      </w:r>
    </w:p>
    <w:p w14:paraId="19E1C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当前，该项业务长期存在工作量增量大、隐性成本高、尾款未结清的突出问题，导致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盐开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经营压力持续攀升。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  <w:lang w:val="en-US" w:eastAsia="zh-CN"/>
        </w:rPr>
        <w:t>一是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</w:rPr>
        <w:t>现场隐性工作量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  <w:lang w:val="en-US" w:eastAsia="zh-CN"/>
        </w:rPr>
        <w:t>激增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</w:rPr>
        <w:t>。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配电自动化调试为送电前最后一道关键工序，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易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受设备质量参差、软硬件不兼容、厂家售后薄弱、施工计划调整、现场信号不稳定、天气变化、多部门衔接繁琐等多重因素影响，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盐开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实际调试总量增加25%、单台调试工作量增加20%，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此外存在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10%已完成调试工作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项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因各类变更被取消，该部分增量、损耗工作量均为现场实际投入，但未纳入原有结算计价范围。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  <w:lang w:val="en-US" w:eastAsia="zh-CN"/>
        </w:rPr>
        <w:t>二是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</w:rPr>
        <w:t>运营用工成本持续走高。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为适配业务增量和高标准技术要求，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盐开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持续扩充人员、升级设备，新增人员需长期专项培训方可上岗，人力成本、物资损耗成本逐年递增，高峰期人员力量缺口极大，作业与经营双重压力突出。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  <w:lang w:val="en-US" w:eastAsia="zh-CN"/>
        </w:rPr>
        <w:t>三是</w:t>
      </w: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</w:rPr>
        <w:t>业务尾款长期未结清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。目前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盐开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对应业务尾款尚未完成结算，叠加上述未计价的增量工作量、高额运营成本，导致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盐开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该项业务长期处于亏损运营状态，极大影响了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盐开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资金周转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效率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，也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制约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持续为集团整体业务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和市公司配网部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提供优质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服务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支撑。</w:t>
      </w:r>
    </w:p>
    <w:p w14:paraId="7CF58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left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三、营收情况</w:t>
      </w:r>
    </w:p>
    <w:p w14:paraId="3B504DAA">
      <w:pPr>
        <w:ind w:firstLine="560" w:firstLineChars="200"/>
        <w:rPr>
          <w:rFonts w:hint="eastAsia" w:ascii="方正仿宋_GBK" w:hAnsi="方正仿宋_GBK" w:eastAsia="方正仿宋_GBK" w:cs="方正仿宋_GBK"/>
          <w:sz w:val="28"/>
          <w:szCs w:val="32"/>
        </w:rPr>
      </w:pPr>
      <w:r>
        <w:rPr>
          <w:rFonts w:hint="eastAsia" w:ascii="方正仿宋_GBK" w:hAnsi="方正仿宋_GBK" w:eastAsia="方正仿宋_GBK" w:cs="方正仿宋_GBK"/>
          <w:sz w:val="28"/>
          <w:szCs w:val="32"/>
        </w:rPr>
        <w:t>为有效化解经营压力、盘活内部资金</w:t>
      </w:r>
      <w:r>
        <w:rPr>
          <w:rFonts w:hint="eastAsia" w:ascii="方正仿宋_GBK" w:hAnsi="方正仿宋_GBK" w:eastAsia="方正仿宋_GBK" w:cs="方正仿宋_GBK"/>
          <w:sz w:val="28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28"/>
          <w:szCs w:val="32"/>
          <w:lang w:val="en-US" w:eastAsia="zh-CN"/>
        </w:rPr>
        <w:t>现</w:t>
      </w:r>
      <w:r>
        <w:rPr>
          <w:rFonts w:hint="eastAsia" w:ascii="方正仿宋_GBK" w:hAnsi="方正仿宋_GBK" w:eastAsia="方正仿宋_GBK" w:cs="方正仿宋_GBK"/>
          <w:sz w:val="28"/>
          <w:szCs w:val="32"/>
          <w:lang w:eastAsia="zh-CN"/>
        </w:rPr>
        <w:t>全面梳理2021年至</w:t>
      </w:r>
      <w:r>
        <w:rPr>
          <w:rFonts w:hint="eastAsia" w:ascii="方正仿宋_GBK" w:hAnsi="方正仿宋_GBK" w:eastAsia="方正仿宋_GBK" w:cs="方正仿宋_GBK"/>
          <w:sz w:val="28"/>
          <w:szCs w:val="32"/>
          <w:lang w:val="en-US" w:eastAsia="zh-CN"/>
        </w:rPr>
        <w:t>2025年底</w:t>
      </w:r>
      <w:r>
        <w:rPr>
          <w:rFonts w:hint="eastAsia" w:ascii="方正仿宋_GBK" w:hAnsi="方正仿宋_GBK" w:eastAsia="方正仿宋_GBK" w:cs="方正仿宋_GBK"/>
          <w:sz w:val="28"/>
          <w:szCs w:val="32"/>
          <w:lang w:eastAsia="zh-CN"/>
        </w:rPr>
        <w:t>全部配电自动化调试</w:t>
      </w:r>
      <w:r>
        <w:rPr>
          <w:rFonts w:hint="eastAsia" w:ascii="方正仿宋_GBK" w:hAnsi="方正仿宋_GBK" w:eastAsia="方正仿宋_GBK" w:cs="方正仿宋_GBK"/>
          <w:sz w:val="28"/>
          <w:szCs w:val="32"/>
          <w:lang w:val="en-US" w:eastAsia="zh-CN"/>
        </w:rPr>
        <w:t>经营情况。</w:t>
      </w:r>
      <w:r>
        <w:rPr>
          <w:rFonts w:hint="eastAsia" w:ascii="方正仿宋_GBK" w:hAnsi="方正仿宋_GBK" w:eastAsia="方正仿宋_GBK" w:cs="方正仿宋_GBK"/>
          <w:sz w:val="28"/>
          <w:szCs w:val="32"/>
        </w:rPr>
        <w:t>配电终端调试上、下游费用分析如下</w:t>
      </w:r>
      <w:r>
        <w:rPr>
          <w:rFonts w:hint="eastAsia" w:ascii="方正仿宋_GBK" w:hAnsi="方正仿宋_GBK" w:eastAsia="方正仿宋_GBK" w:cs="方正仿宋_GBK"/>
          <w:sz w:val="28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28"/>
          <w:szCs w:val="32"/>
          <w:lang w:val="en-US" w:eastAsia="zh-CN"/>
        </w:rPr>
        <w:t>详情见附表</w:t>
      </w:r>
      <w:r>
        <w:rPr>
          <w:rFonts w:hint="eastAsia" w:ascii="方正仿宋_GBK" w:hAnsi="方正仿宋_GBK" w:eastAsia="方正仿宋_GBK" w:cs="方正仿宋_GBK"/>
          <w:sz w:val="28"/>
          <w:szCs w:val="32"/>
          <w:lang w:eastAsia="zh-CN"/>
        </w:rPr>
        <w:t>）</w:t>
      </w:r>
      <w:r>
        <w:rPr>
          <w:rFonts w:hint="eastAsia" w:ascii="方正仿宋_GBK" w:hAnsi="方正仿宋_GBK" w:eastAsia="方正仿宋_GBK" w:cs="方正仿宋_GBK"/>
          <w:sz w:val="28"/>
          <w:szCs w:val="32"/>
        </w:rPr>
        <w:t>：</w:t>
      </w:r>
    </w:p>
    <w:p w14:paraId="6BEE16D8">
      <w:pPr>
        <w:ind w:firstLine="560" w:firstLineChars="200"/>
        <w:rPr>
          <w:rFonts w:hint="eastAsia" w:ascii="方正仿宋_GBK" w:hAnsi="方正仿宋_GBK" w:eastAsia="方正仿宋_GBK" w:cs="方正仿宋_GBK"/>
          <w:sz w:val="28"/>
          <w:szCs w:val="32"/>
        </w:rPr>
      </w:pPr>
      <w:r>
        <w:rPr>
          <w:rFonts w:hint="eastAsia" w:ascii="方正仿宋_GBK" w:hAnsi="方正仿宋_GBK" w:eastAsia="方正仿宋_GBK" w:cs="方正仿宋_GBK"/>
          <w:sz w:val="28"/>
          <w:szCs w:val="32"/>
          <w:lang w:val="en-US" w:eastAsia="zh-CN"/>
        </w:rPr>
        <w:t>（一）</w:t>
      </w:r>
      <w:r>
        <w:rPr>
          <w:rFonts w:hint="eastAsia" w:ascii="方正仿宋_GBK" w:hAnsi="方正仿宋_GBK" w:eastAsia="方正仿宋_GBK" w:cs="方正仿宋_GBK"/>
          <w:sz w:val="28"/>
          <w:szCs w:val="32"/>
        </w:rPr>
        <w:t>按华源签报价格计算</w:t>
      </w:r>
    </w:p>
    <w:p w14:paraId="74692C6E">
      <w:pPr>
        <w:ind w:firstLine="560" w:firstLineChars="200"/>
        <w:rPr>
          <w:rFonts w:hint="eastAsia" w:ascii="方正仿宋_GBK" w:hAnsi="方正仿宋_GBK" w:eastAsia="方正仿宋_GBK" w:cs="方正仿宋_GBK"/>
          <w:sz w:val="28"/>
          <w:szCs w:val="32"/>
        </w:rPr>
      </w:pPr>
      <w:r>
        <w:rPr>
          <w:rFonts w:hint="eastAsia" w:ascii="方正仿宋_GBK" w:hAnsi="方正仿宋_GBK" w:eastAsia="方正仿宋_GBK" w:cs="方正仿宋_GBK"/>
          <w:sz w:val="28"/>
          <w:szCs w:val="32"/>
        </w:rPr>
        <w:t>上游可结算费用1373163.85元，公司费用支出1946420.00元，协作单位费用支出1856670.00元。含公司支出毛利率-177.0%，不含公司支出，毛利率-35.2%。</w:t>
      </w:r>
    </w:p>
    <w:p w14:paraId="0948A567">
      <w:pPr>
        <w:ind w:firstLine="560" w:firstLineChars="200"/>
        <w:rPr>
          <w:rFonts w:hint="eastAsia" w:ascii="方正仿宋_GBK" w:hAnsi="方正仿宋_GBK" w:eastAsia="方正仿宋_GBK" w:cs="方正仿宋_GBK"/>
          <w:sz w:val="28"/>
          <w:szCs w:val="32"/>
        </w:rPr>
      </w:pPr>
      <w:r>
        <w:rPr>
          <w:rFonts w:hint="eastAsia" w:ascii="方正仿宋_GBK" w:hAnsi="方正仿宋_GBK" w:eastAsia="方正仿宋_GBK" w:cs="方正仿宋_GBK"/>
          <w:sz w:val="28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28"/>
          <w:szCs w:val="32"/>
          <w:lang w:val="en-US" w:eastAsia="zh-CN"/>
        </w:rPr>
        <w:t>二</w:t>
      </w:r>
      <w:r>
        <w:rPr>
          <w:rFonts w:hint="eastAsia" w:ascii="方正仿宋_GBK" w:hAnsi="方正仿宋_GBK" w:eastAsia="方正仿宋_GBK" w:cs="方正仿宋_GBK"/>
          <w:sz w:val="28"/>
          <w:szCs w:val="32"/>
          <w:lang w:eastAsia="zh-CN"/>
        </w:rPr>
        <w:t>）</w:t>
      </w:r>
      <w:r>
        <w:rPr>
          <w:rFonts w:hint="eastAsia" w:ascii="方正仿宋_GBK" w:hAnsi="方正仿宋_GBK" w:eastAsia="方正仿宋_GBK" w:cs="方正仿宋_GBK"/>
          <w:sz w:val="28"/>
          <w:szCs w:val="32"/>
        </w:rPr>
        <w:t>按50%上游费用计算</w:t>
      </w:r>
    </w:p>
    <w:p w14:paraId="1CD901FD">
      <w:pPr>
        <w:ind w:firstLine="560" w:firstLineChars="200"/>
        <w:rPr>
          <w:rFonts w:hint="eastAsia" w:ascii="方正仿宋_GBK" w:hAnsi="方正仿宋_GBK" w:eastAsia="方正仿宋_GBK" w:cs="方正仿宋_GBK"/>
          <w:sz w:val="28"/>
          <w:szCs w:val="32"/>
        </w:rPr>
      </w:pPr>
      <w:r>
        <w:rPr>
          <w:rFonts w:hint="eastAsia" w:ascii="方正仿宋_GBK" w:hAnsi="方正仿宋_GBK" w:eastAsia="方正仿宋_GBK" w:cs="方正仿宋_GBK"/>
          <w:sz w:val="28"/>
          <w:szCs w:val="32"/>
        </w:rPr>
        <w:t>上游可结算费用1988751.46元，公司费用支出1946420.00元，协作单位费用支出1856670.00元。含公司支出毛利率-91.2%，不含公司支出，毛利率6.6%。</w:t>
      </w:r>
    </w:p>
    <w:p w14:paraId="19412C65">
      <w:pPr>
        <w:ind w:firstLine="560" w:firstLineChars="200"/>
        <w:rPr>
          <w:rFonts w:hint="eastAsia" w:ascii="方正仿宋_GBK" w:hAnsi="方正仿宋_GBK" w:eastAsia="方正仿宋_GBK" w:cs="方正仿宋_GBK"/>
          <w:sz w:val="28"/>
          <w:szCs w:val="32"/>
        </w:rPr>
      </w:pPr>
      <w:r>
        <w:rPr>
          <w:rFonts w:hint="eastAsia" w:ascii="方正仿宋_GBK" w:hAnsi="方正仿宋_GBK" w:eastAsia="方正仿宋_GBK" w:cs="方正仿宋_GBK"/>
          <w:sz w:val="28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28"/>
          <w:szCs w:val="32"/>
          <w:lang w:val="en-US" w:eastAsia="zh-CN"/>
        </w:rPr>
        <w:t>三</w:t>
      </w:r>
      <w:r>
        <w:rPr>
          <w:rFonts w:hint="eastAsia" w:ascii="方正仿宋_GBK" w:hAnsi="方正仿宋_GBK" w:eastAsia="方正仿宋_GBK" w:cs="方正仿宋_GBK"/>
          <w:sz w:val="28"/>
          <w:szCs w:val="32"/>
          <w:lang w:eastAsia="zh-CN"/>
        </w:rPr>
        <w:t>）</w:t>
      </w:r>
      <w:r>
        <w:rPr>
          <w:rFonts w:hint="eastAsia" w:ascii="方正仿宋_GBK" w:hAnsi="方正仿宋_GBK" w:eastAsia="方正仿宋_GBK" w:cs="方正仿宋_GBK"/>
          <w:sz w:val="28"/>
          <w:szCs w:val="32"/>
        </w:rPr>
        <w:t>按70%上游费用计算</w:t>
      </w:r>
    </w:p>
    <w:p w14:paraId="3C81E3B6">
      <w:pPr>
        <w:ind w:firstLine="560" w:firstLineChars="200"/>
        <w:rPr>
          <w:rFonts w:hint="eastAsia" w:ascii="宋体" w:hAnsi="宋体" w:eastAsia="宋体"/>
          <w:sz w:val="28"/>
          <w:szCs w:val="32"/>
        </w:rPr>
      </w:pPr>
      <w:r>
        <w:rPr>
          <w:rFonts w:hint="eastAsia" w:ascii="方正仿宋_GBK" w:hAnsi="方正仿宋_GBK" w:eastAsia="方正仿宋_GBK" w:cs="方正仿宋_GBK"/>
          <w:sz w:val="28"/>
          <w:szCs w:val="32"/>
        </w:rPr>
        <w:t>上游可结算费用2714977.35元，公司费用支出1946420.00元，协作单位费用支出1856670.00元。含公司支出毛利率-40.1%，不含公司支出，毛利率31.6%。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2312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D8A28030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960"/>
    <w:rsid w:val="000A03B5"/>
    <w:rsid w:val="00117B44"/>
    <w:rsid w:val="0012796B"/>
    <w:rsid w:val="00130B1B"/>
    <w:rsid w:val="00191F9E"/>
    <w:rsid w:val="001B36E0"/>
    <w:rsid w:val="00243414"/>
    <w:rsid w:val="00373D2E"/>
    <w:rsid w:val="00393139"/>
    <w:rsid w:val="0041147A"/>
    <w:rsid w:val="004A4761"/>
    <w:rsid w:val="004E031A"/>
    <w:rsid w:val="00511316"/>
    <w:rsid w:val="00574DD4"/>
    <w:rsid w:val="005873A3"/>
    <w:rsid w:val="005D2486"/>
    <w:rsid w:val="006026FA"/>
    <w:rsid w:val="00632DAD"/>
    <w:rsid w:val="00795E20"/>
    <w:rsid w:val="007C02A8"/>
    <w:rsid w:val="00840960"/>
    <w:rsid w:val="008678E7"/>
    <w:rsid w:val="008C372B"/>
    <w:rsid w:val="00903823"/>
    <w:rsid w:val="009078A0"/>
    <w:rsid w:val="009C2242"/>
    <w:rsid w:val="009C62B0"/>
    <w:rsid w:val="009F633F"/>
    <w:rsid w:val="009F7984"/>
    <w:rsid w:val="00BA0CA5"/>
    <w:rsid w:val="00CE060C"/>
    <w:rsid w:val="00CE29E6"/>
    <w:rsid w:val="00D92C43"/>
    <w:rsid w:val="00EB586B"/>
    <w:rsid w:val="00EC5B42"/>
    <w:rsid w:val="00F05CF7"/>
    <w:rsid w:val="00FB4068"/>
    <w:rsid w:val="00FC65A7"/>
    <w:rsid w:val="0256755B"/>
    <w:rsid w:val="03432227"/>
    <w:rsid w:val="095C0D49"/>
    <w:rsid w:val="0A0B50CF"/>
    <w:rsid w:val="0C3A4CBD"/>
    <w:rsid w:val="0C44787A"/>
    <w:rsid w:val="0C831E9D"/>
    <w:rsid w:val="0CB63A18"/>
    <w:rsid w:val="11424B3C"/>
    <w:rsid w:val="12333415"/>
    <w:rsid w:val="157F630E"/>
    <w:rsid w:val="182067E3"/>
    <w:rsid w:val="193B4AC7"/>
    <w:rsid w:val="1D4D5914"/>
    <w:rsid w:val="1E7B2F86"/>
    <w:rsid w:val="20C32FFC"/>
    <w:rsid w:val="2C6223F8"/>
    <w:rsid w:val="33B31F78"/>
    <w:rsid w:val="35E0427F"/>
    <w:rsid w:val="3B2E39A5"/>
    <w:rsid w:val="419C7ECA"/>
    <w:rsid w:val="435677C0"/>
    <w:rsid w:val="4521341D"/>
    <w:rsid w:val="47B42327"/>
    <w:rsid w:val="49B85A25"/>
    <w:rsid w:val="4D834C75"/>
    <w:rsid w:val="5F385194"/>
    <w:rsid w:val="5F8B0EE6"/>
    <w:rsid w:val="60326087"/>
    <w:rsid w:val="66364E1F"/>
    <w:rsid w:val="7360390B"/>
    <w:rsid w:val="77425A2E"/>
    <w:rsid w:val="789C0BD6"/>
    <w:rsid w:val="796E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operties>
  <DataSet Characteristic="{b662c80d-b00c-4135-ab33-0bb1c1a88881}">
    <Data data="gksBBAoKAAoOAAYLGEcIBB1WDh4CCQEJCxhHAQsMQVk="/>
  </DataSet>
</Properties>
</file>

<file path=customXml/item2.xml><?xml version="1.0" encoding="utf-8"?>
<contractReview xmlns="http://schemas.wps.cn/vas-ai-hub/contract-review">
  <reviewItems>
    <reviewItem>
      <errorID>2d87f2df-4c69-4134-9b0e-de94f69b9370</errorID>
      <errorWord>繁琐</errorWord>
      <group>L1_Word</group>
      <groupName>字词问题</groupName>
      <ability>L2_Typo</ability>
      <abilityName>字词错误</abilityName>
      <candidateList>
        <item>烦琐</item>
      </candidateList>
      <explain/>
      <paraID>19E1CBAE</paraID>
      <start>128</start>
      <end>130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662c80d-b00c-4135-ab33-0bb1c1a88881}">
  <ds:schemaRefs/>
</ds:datastoreItem>
</file>

<file path=customXml/itemProps2.xml><?xml version="1.0" encoding="utf-8"?>
<ds:datastoreItem xmlns:ds="http://schemas.openxmlformats.org/officeDocument/2006/customXml" ds:itemID="{1a91dbff-1052-40ea-82b7-fe40353e97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1639</Words>
  <Characters>1795</Characters>
  <Lines>8</Lines>
  <Paragraphs>2</Paragraphs>
  <TotalTime>6</TotalTime>
  <ScaleCrop>false</ScaleCrop>
  <LinksUpToDate>false</LinksUpToDate>
  <CharactersWithSpaces>1797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2026-05-17T08:27:00Z</dcterms:created>
  <dc:creator>Administrator</dc:creator>
  <cp:lastModifiedBy>kid</cp:lastModifiedBy>
  <dcterms:modified xsi:type="dcterms:W3CDTF">2026-09-14T11:50:18Z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eyJoZGlkIjoiN2UwNzM3Y2RkOTlhMjRmZmIyYzk2NTEyNTliYjAyMWYiLCJ1c2VySWQiOiIyOTE0ODA0NDgifQ==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7E594D0095344C169FE34B98DDFCDECB_13</vt:lpwstr>
  </property>
</Properties>
</file>