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990C7">
      <w:pPr>
        <w:pStyle w:val="2"/>
        <w:keepNext w:val="0"/>
        <w:keepLines w:val="0"/>
        <w:widowControl/>
        <w:suppressLineNumbers w:val="0"/>
        <w:autoSpaceDE w:val="0"/>
        <w:autoSpaceDN/>
        <w:spacing w:line="360" w:lineRule="auto"/>
        <w:rPr>
          <w:rFonts w:hint="eastAsia" w:ascii="方正仿宋_GB2312" w:hAnsi="方正仿宋_GB2312" w:eastAsia="方正仿宋_GB2312" w:cs="方正仿宋_GB2312"/>
          <w:b/>
          <w:bCs/>
          <w:kern w:val="44"/>
          <w:sz w:val="44"/>
          <w:szCs w:val="44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44"/>
          <w:sz w:val="44"/>
          <w:szCs w:val="44"/>
        </w:rPr>
        <w:t>配电自动化调试业务调研报告</w:t>
      </w:r>
    </w:p>
    <w:p w14:paraId="16B0DCED">
      <w:pPr>
        <w:pStyle w:val="2"/>
        <w:keepNext w:val="0"/>
        <w:keepLines w:val="0"/>
        <w:widowControl/>
        <w:suppressLineNumbers w:val="0"/>
        <w:autoSpaceDE w:val="0"/>
        <w:autoSpaceDN/>
        <w:spacing w:line="360" w:lineRule="auto"/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2026年9月</w:t>
      </w:r>
    </w:p>
    <w:p w14:paraId="40BFF84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firstLine="640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kern w:val="0"/>
          <w:sz w:val="32"/>
          <w:szCs w:val="32"/>
        </w:rPr>
        <w:t>自2021年5月起，盐开承接兄弟单位华源配电自动化终端调试业务，并于2024年和2025年先后承接响水兴源</w:t>
      </w:r>
      <w:r>
        <w:rPr>
          <w:rFonts w:hint="eastAsia" w:ascii="方正仿宋_GB2312" w:hAnsi="方正仿宋_GB2312" w:eastAsia="方正仿宋_GB2312" w:cs="方正仿宋_GB2312"/>
          <w:b w:val="0"/>
          <w:bCs w:val="0"/>
          <w:kern w:val="0"/>
          <w:sz w:val="32"/>
          <w:szCs w:val="32"/>
          <w:lang w:val="en-US" w:eastAsia="zh-CN"/>
        </w:rPr>
        <w:t>和</w:t>
      </w:r>
      <w:r>
        <w:rPr>
          <w:rFonts w:hint="eastAsia" w:ascii="方正仿宋_GB2312" w:hAnsi="方正仿宋_GB2312" w:eastAsia="方正仿宋_GB2312" w:cs="方正仿宋_GB2312"/>
          <w:b w:val="0"/>
          <w:bCs w:val="0"/>
          <w:kern w:val="0"/>
          <w:sz w:val="32"/>
          <w:szCs w:val="32"/>
        </w:rPr>
        <w:t>海翔电气</w:t>
      </w:r>
      <w:r>
        <w:rPr>
          <w:rFonts w:hint="eastAsia" w:ascii="方正仿宋_GB2312" w:hAnsi="方正仿宋_GB2312" w:eastAsia="方正仿宋_GB2312" w:cs="方正仿宋_GB2312"/>
          <w:b w:val="0"/>
          <w:bCs w:val="0"/>
          <w:kern w:val="0"/>
          <w:sz w:val="32"/>
          <w:szCs w:val="32"/>
          <w:lang w:val="en-US" w:eastAsia="zh-CN"/>
        </w:rPr>
        <w:t>两家公司</w:t>
      </w:r>
      <w:r>
        <w:rPr>
          <w:rFonts w:hint="eastAsia" w:ascii="方正仿宋_GB2312" w:hAnsi="方正仿宋_GB2312" w:eastAsia="方正仿宋_GB2312" w:cs="方正仿宋_GB2312"/>
          <w:b w:val="0"/>
          <w:bCs w:val="0"/>
          <w:kern w:val="0"/>
          <w:sz w:val="32"/>
          <w:szCs w:val="32"/>
        </w:rPr>
        <w:t>配电自动化</w:t>
      </w:r>
      <w:r>
        <w:rPr>
          <w:rFonts w:hint="eastAsia" w:ascii="方正仿宋_GB2312" w:hAnsi="方正仿宋_GB2312" w:eastAsia="方正仿宋_GB2312" w:cs="方正仿宋_GB2312"/>
          <w:b w:val="0"/>
          <w:bCs w:val="0"/>
          <w:kern w:val="0"/>
          <w:sz w:val="32"/>
          <w:szCs w:val="32"/>
          <w:lang w:val="en-US" w:eastAsia="zh-CN"/>
        </w:rPr>
        <w:t>终端</w:t>
      </w:r>
      <w:r>
        <w:rPr>
          <w:rFonts w:hint="eastAsia" w:ascii="方正仿宋_GB2312" w:hAnsi="方正仿宋_GB2312" w:eastAsia="方正仿宋_GB2312" w:cs="方正仿宋_GB2312"/>
          <w:b w:val="0"/>
          <w:bCs w:val="0"/>
          <w:kern w:val="0"/>
          <w:sz w:val="32"/>
          <w:szCs w:val="32"/>
        </w:rPr>
        <w:t>调试工作，至今深耕</w:t>
      </w:r>
      <w:r>
        <w:rPr>
          <w:rFonts w:hint="eastAsia" w:ascii="方正仿宋_GB2312" w:hAnsi="方正仿宋_GB2312" w:eastAsia="方正仿宋_GB2312" w:cs="方正仿宋_GB2312"/>
          <w:b w:val="0"/>
          <w:bCs w:val="0"/>
          <w:kern w:val="0"/>
          <w:sz w:val="32"/>
          <w:szCs w:val="32"/>
          <w:lang w:val="en-US" w:eastAsia="zh-CN"/>
        </w:rPr>
        <w:t>该项</w:t>
      </w:r>
      <w:r>
        <w:rPr>
          <w:rFonts w:hint="eastAsia" w:ascii="方正仿宋_GB2312" w:hAnsi="方正仿宋_GB2312" w:eastAsia="方正仿宋_GB2312" w:cs="方正仿宋_GB2312"/>
          <w:b w:val="0"/>
          <w:bCs w:val="0"/>
          <w:kern w:val="0"/>
          <w:sz w:val="32"/>
          <w:szCs w:val="32"/>
        </w:rPr>
        <w:t>配套业务已满5年。5年来，盐</w:t>
      </w:r>
      <w:r>
        <w:rPr>
          <w:rFonts w:hint="eastAsia" w:ascii="方正仿宋_GB2312" w:hAnsi="方正仿宋_GB2312" w:eastAsia="方正仿宋_GB2312" w:cs="方正仿宋_GB2312"/>
          <w:b w:val="0"/>
          <w:bCs w:val="0"/>
          <w:kern w:val="0"/>
          <w:sz w:val="32"/>
          <w:szCs w:val="32"/>
          <w:lang w:val="en-US" w:eastAsia="zh-CN"/>
        </w:rPr>
        <w:t>开</w:t>
      </w:r>
      <w:r>
        <w:rPr>
          <w:rFonts w:hint="eastAsia" w:ascii="方正仿宋_GB2312" w:hAnsi="方正仿宋_GB2312" w:eastAsia="方正仿宋_GB2312" w:cs="方正仿宋_GB2312"/>
          <w:b w:val="0"/>
          <w:bCs w:val="0"/>
          <w:kern w:val="0"/>
          <w:sz w:val="32"/>
          <w:szCs w:val="32"/>
        </w:rPr>
        <w:t>始终秉持大局意识，按照整体工作部署，支撑兄弟单位各项施工、抢修及专项保障工作，全力</w:t>
      </w:r>
      <w:r>
        <w:rPr>
          <w:rFonts w:hint="eastAsia" w:ascii="方正仿宋_GB2312" w:hAnsi="方正仿宋_GB2312" w:eastAsia="方正仿宋_GB2312" w:cs="方正仿宋_GB2312"/>
          <w:b w:val="0"/>
          <w:bCs w:val="0"/>
          <w:kern w:val="0"/>
          <w:sz w:val="32"/>
          <w:szCs w:val="32"/>
          <w:lang w:val="en-US" w:eastAsia="zh-CN"/>
        </w:rPr>
        <w:t>保证配电</w:t>
      </w:r>
      <w:r>
        <w:rPr>
          <w:rFonts w:hint="eastAsia" w:ascii="方正仿宋_GB2312" w:hAnsi="方正仿宋_GB2312" w:eastAsia="方正仿宋_GB2312" w:cs="方正仿宋_GB2312"/>
          <w:b w:val="0"/>
          <w:bCs w:val="0"/>
          <w:kern w:val="0"/>
          <w:sz w:val="32"/>
          <w:szCs w:val="32"/>
        </w:rPr>
        <w:t>自动化整体板块业务有序推进。</w:t>
      </w:r>
    </w:p>
    <w:p w14:paraId="2489CB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ind w:left="0" w:firstLine="640" w:firstLineChars="200"/>
        <w:textAlignment w:val="auto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kern w:val="0"/>
          <w:sz w:val="32"/>
          <w:szCs w:val="32"/>
        </w:rPr>
        <w:t>目前，盐开在配电自动化调试开展过程中，在收入支出、计划协调、现场组织及人工成本等方面存在一定问题。为进一步理顺业务实施模式，现结合业务开展及收支情况，</w:t>
      </w:r>
      <w:r>
        <w:rPr>
          <w:rFonts w:hint="eastAsia" w:ascii="方正仿宋_GB2312" w:hAnsi="方正仿宋_GB2312" w:eastAsia="方正仿宋_GB2312" w:cs="方正仿宋_GB2312"/>
          <w:b w:val="0"/>
          <w:bCs w:val="0"/>
          <w:kern w:val="0"/>
          <w:sz w:val="32"/>
          <w:szCs w:val="32"/>
          <w:lang w:val="en-US" w:eastAsia="zh-CN"/>
        </w:rPr>
        <w:t>盐开、施工单位分别承担调试任务的优劣势进行分析。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kern w:val="0"/>
          <w:sz w:val="32"/>
          <w:szCs w:val="32"/>
        </w:rPr>
        <w:t>具体情况如下：</w:t>
      </w:r>
    </w:p>
    <w:p w14:paraId="771F20B4">
      <w:pPr>
        <w:pStyle w:val="3"/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rPr>
          <w:rFonts w:hint="eastAsia" w:ascii="方正仿宋_GB2312" w:hAnsi="方正仿宋_GB2312" w:eastAsia="方正仿宋_GB2312" w:cs="方正仿宋_GB2312"/>
          <w:b/>
          <w:bCs/>
          <w:kern w:val="0"/>
          <w:sz w:val="36"/>
          <w:szCs w:val="36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6"/>
          <w:szCs w:val="36"/>
        </w:rPr>
        <w:t>一、2021—2025年上游收入与下游支出分析</w:t>
      </w:r>
    </w:p>
    <w:p w14:paraId="292FF245">
      <w:pPr>
        <w:pStyle w:val="4"/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（一）业务规模</w:t>
      </w:r>
    </w:p>
    <w:p w14:paraId="73318FE5">
      <w:pPr>
        <w:pStyle w:val="9"/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firstLine="640" w:firstLineChars="200"/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2021年5月至2025年底，我分公司累计完成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FTU调试2530台、DTU调试965台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，分年情况如下：</w:t>
      </w:r>
    </w:p>
    <w:p w14:paraId="3AFB38C0">
      <w:pPr>
        <w:pStyle w:val="9"/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</w:pPr>
    </w:p>
    <w:p w14:paraId="588643D3">
      <w:pPr>
        <w:pStyle w:val="9"/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</w:pPr>
    </w:p>
    <w:p w14:paraId="2FA9450B">
      <w:pPr>
        <w:pStyle w:val="9"/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</w:pPr>
    </w:p>
    <w:tbl>
      <w:tblPr>
        <w:tblStyle w:val="5"/>
        <w:tblW w:w="5000" w:type="pct"/>
        <w:tblInd w:w="-14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43"/>
        <w:gridCol w:w="2684"/>
        <w:gridCol w:w="2319"/>
      </w:tblGrid>
      <w:tr w14:paraId="381D3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38DE3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32"/>
                <w:szCs w:val="32"/>
              </w:rPr>
              <w:t>年份</w:t>
            </w:r>
          </w:p>
        </w:tc>
        <w:tc>
          <w:tcPr>
            <w:tcW w:w="157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4C323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32"/>
                <w:szCs w:val="32"/>
              </w:rPr>
              <w:t>FTU（台）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D7F0B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32"/>
                <w:szCs w:val="32"/>
              </w:rPr>
              <w:t>DTU（台）</w:t>
            </w:r>
          </w:p>
        </w:tc>
      </w:tr>
      <w:tr w14:paraId="186E9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96072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  <w:t>2021年（5-12月）</w:t>
            </w:r>
          </w:p>
        </w:tc>
        <w:tc>
          <w:tcPr>
            <w:tcW w:w="157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CE8D0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  <w:t>150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AD756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  <w:t>35</w:t>
            </w:r>
          </w:p>
        </w:tc>
      </w:tr>
      <w:tr w14:paraId="0153C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80A76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  <w:t>2022年</w:t>
            </w:r>
          </w:p>
        </w:tc>
        <w:tc>
          <w:tcPr>
            <w:tcW w:w="157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46F61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  <w:t>252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BB991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  <w:t>54</w:t>
            </w:r>
          </w:p>
        </w:tc>
      </w:tr>
      <w:tr w14:paraId="071A5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50AC0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  <w:t>2023年</w:t>
            </w:r>
          </w:p>
        </w:tc>
        <w:tc>
          <w:tcPr>
            <w:tcW w:w="157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A47B4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  <w:t>336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C3C28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  <w:t>134</w:t>
            </w:r>
          </w:p>
        </w:tc>
      </w:tr>
      <w:tr w14:paraId="58DE5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E70EC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  <w:t>2024</w:t>
            </w:r>
            <w:bookmarkStart w:id="0" w:name="_GoBack"/>
            <w:bookmarkEnd w:id="0"/>
            <w:r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  <w:t>年</w:t>
            </w:r>
          </w:p>
        </w:tc>
        <w:tc>
          <w:tcPr>
            <w:tcW w:w="157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B26A7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  <w:t>625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1C06B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  <w:t>184</w:t>
            </w:r>
          </w:p>
        </w:tc>
      </w:tr>
      <w:tr w14:paraId="4A5A0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868B5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  <w:t>2025年</w:t>
            </w:r>
          </w:p>
        </w:tc>
        <w:tc>
          <w:tcPr>
            <w:tcW w:w="157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C360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  <w:t>1167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890B3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  <w:t>558</w:t>
            </w:r>
          </w:p>
        </w:tc>
      </w:tr>
      <w:tr w14:paraId="62443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1180B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32"/>
                <w:szCs w:val="32"/>
              </w:rPr>
              <w:t>合计</w:t>
            </w:r>
          </w:p>
        </w:tc>
        <w:tc>
          <w:tcPr>
            <w:tcW w:w="157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53F67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32"/>
                <w:szCs w:val="32"/>
              </w:rPr>
              <w:t>2530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2848F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32"/>
                <w:szCs w:val="32"/>
              </w:rPr>
              <w:t>965</w:t>
            </w:r>
          </w:p>
        </w:tc>
      </w:tr>
    </w:tbl>
    <w:p w14:paraId="2BB701A7">
      <w:pPr>
        <w:pStyle w:val="9"/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firstLine="640" w:firstLineChars="200"/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  <w:lang w:val="en-US" w:eastAsia="zh-CN"/>
        </w:rPr>
        <w:t>从数据上来看，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2021年5月至2025年底，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  <w:lang w:val="en-US" w:eastAsia="zh-CN"/>
        </w:rPr>
        <w:t>调试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业务规模呈逐年快速增长态势。其中，FTU调试量从2021年（5-12月）的150台增长至2025年的1167台，DTU调试量从35台增长至558台，2024年和2025年增速尤为显著——2025年FTU、DTU调试量分别同比增长约87%和203%，两项业务2025年的完成量均接近或超过此前各年总和的一半，体现出业务承接能力和作业效率的持续提升。</w:t>
      </w:r>
    </w:p>
    <w:p w14:paraId="6EFD2E68">
      <w:pPr>
        <w:pStyle w:val="9"/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firstLine="643" w:firstLineChars="200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  <w:lang w:val="en-US" w:eastAsia="zh-CN"/>
        </w:rPr>
        <w:t>二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）单价基础</w:t>
      </w:r>
    </w:p>
    <w:p w14:paraId="0B156DEF">
      <w:pPr>
        <w:keepNext w:val="0"/>
        <w:keepLines w:val="0"/>
        <w:widowControl/>
        <w:numPr>
          <w:ilvl w:val="0"/>
          <w:numId w:val="1"/>
        </w:numPr>
        <w:suppressLineNumbers w:val="0"/>
        <w:autoSpaceDE w:val="0"/>
        <w:autoSpaceDN/>
        <w:spacing w:before="0" w:beforeAutospacing="0" w:after="0" w:afterAutospacing="0" w:line="360" w:lineRule="auto"/>
        <w:ind w:left="0" w:right="0" w:rightChars="0" w:firstLine="643" w:firstLineChars="200"/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华源签报价：</w:t>
      </w:r>
      <w:r>
        <w:rPr>
          <w:rFonts w:hint="eastAsia" w:ascii="方正仿宋_GB2312" w:hAnsi="方正仿宋_GB2312" w:eastAsia="方正仿宋_GB2312" w:cs="方正仿宋_GB2312"/>
          <w:b w:val="0"/>
          <w:bCs w:val="0"/>
          <w:kern w:val="0"/>
          <w:sz w:val="32"/>
          <w:szCs w:val="32"/>
          <w:lang w:val="en-US" w:eastAsia="zh-CN"/>
        </w:rPr>
        <w:t>按照2021版《江苏怡宁能源实业集团有限公司电气工程劳务定额（试行）》*70%，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1台FTU调试费用为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358.14元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、1台DTU调试费用为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484.01元</w:t>
      </w:r>
      <w:r>
        <w:rPr>
          <w:rFonts w:hint="eastAsia" w:ascii="方正仿宋_GB2312" w:hAnsi="方正仿宋_GB2312" w:eastAsia="方正仿宋_GB2312" w:cs="方正仿宋_GB2312"/>
          <w:b w:val="0"/>
          <w:bCs w:val="0"/>
          <w:kern w:val="0"/>
          <w:sz w:val="32"/>
          <w:szCs w:val="32"/>
        </w:rPr>
        <w:t>。</w:t>
      </w:r>
    </w:p>
    <w:p w14:paraId="52172EBA">
      <w:pPr>
        <w:keepNext w:val="0"/>
        <w:keepLines w:val="0"/>
        <w:widowControl/>
        <w:numPr>
          <w:ilvl w:val="0"/>
          <w:numId w:val="1"/>
        </w:numPr>
        <w:suppressLineNumbers w:val="0"/>
        <w:autoSpaceDE w:val="0"/>
        <w:autoSpaceDN/>
        <w:spacing w:before="0" w:beforeAutospacing="0" w:after="0" w:afterAutospacing="0" w:line="360" w:lineRule="auto"/>
        <w:ind w:left="0" w:right="0" w:rightChars="0" w:firstLine="643" w:firstLineChars="200"/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市公司结算价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：根据2022年国家能源局发布的《20kV及以下配电网工程预算定额 第五册 通信及自动化》，1台FTU调试费用测算为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1085.91元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、1台DTU调试费用测算为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1459.58元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。</w:t>
      </w:r>
    </w:p>
    <w:p w14:paraId="71F3F5A6">
      <w:pPr>
        <w:keepNext w:val="0"/>
        <w:keepLines w:val="0"/>
        <w:widowControl/>
        <w:numPr>
          <w:ilvl w:val="0"/>
          <w:numId w:val="1"/>
        </w:numPr>
        <w:suppressLineNumbers w:val="0"/>
        <w:autoSpaceDE w:val="0"/>
        <w:autoSpaceDN/>
        <w:spacing w:before="0" w:beforeAutospacing="0" w:after="0" w:afterAutospacing="0" w:line="360" w:lineRule="auto"/>
        <w:ind w:left="0" w:right="0" w:rightChars="0" w:firstLine="643" w:firstLineChars="200"/>
        <w:rPr>
          <w:rFonts w:hint="eastAsia" w:ascii="方正仿宋_GB2312" w:hAnsi="方正仿宋_GB2312" w:eastAsia="方正仿宋_GB2312" w:cs="方正仿宋_GB2312"/>
          <w:b/>
          <w:bCs/>
          <w:kern w:val="0"/>
          <w:sz w:val="26"/>
          <w:szCs w:val="26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市场价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：参照瑞昊、衡科调试合同，FTU调试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1000元/台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（合同明确约定技术服务报酬单价为壹仟圆整每台（1000元/台），最终以实际调试智能配变终端台数结算，包含员工工资、加班费、交通费、食宿费及税费等全部费用），DTU调试市场价约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1400元/台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。</w:t>
      </w:r>
    </w:p>
    <w:p w14:paraId="26371F0B">
      <w:pPr>
        <w:keepNext w:val="0"/>
        <w:keepLines w:val="0"/>
        <w:widowControl/>
        <w:numPr>
          <w:ilvl w:val="0"/>
          <w:numId w:val="2"/>
        </w:numPr>
        <w:suppressLineNumbers w:val="0"/>
        <w:autoSpaceDE w:val="0"/>
        <w:autoSpaceDN/>
        <w:spacing w:before="0" w:beforeAutospacing="0" w:after="0" w:afterAutospacing="0" w:line="360" w:lineRule="auto"/>
        <w:ind w:right="0" w:rightChars="0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四种口径下的年度收支对比（单位：元）</w:t>
      </w:r>
    </w:p>
    <w:p w14:paraId="09F16215">
      <w:pPr>
        <w:pStyle w:val="9"/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firstLine="0" w:firstLineChars="0"/>
        <w:jc w:val="both"/>
        <w:rPr>
          <w:rFonts w:hint="eastAsia" w:ascii="方正仿宋_GB2312" w:hAnsi="方正仿宋_GB2312" w:eastAsia="方正仿宋_GB2312" w:cs="方正仿宋_GB2312"/>
          <w:kern w:val="0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object>
          <v:shape id="_x0000_i1025" o:spt="75" alt="" type="#_x0000_t75" style="height:305.55pt;width:494.55pt;" o:ole="t" filled="f" o:preferrelative="t" stroked="f" coordsize="21600,21600">
            <v:path/>
            <v:fill on="f" focussize="0,0"/>
            <v:stroke on="f"/>
            <v:imagedata r:id="rId6" o:title=""/>
            <o:lock v:ext="edit" aspectratio="f"/>
            <w10:wrap type="none"/>
            <w10:anchorlock/>
          </v:shape>
          <o:OLEObject Type="Embed" ProgID="Excel.Sheet.12" ShapeID="_x0000_i1025" DrawAspect="Content" ObjectID="_1468075725" r:id="rId5">
            <o:LockedField>false</o:LockedField>
          </o:OLEObject>
        </w:objec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28"/>
          <w:szCs w:val="28"/>
          <w:lang w:val="en-US" w:eastAsia="zh-CN"/>
        </w:rPr>
        <w:t>注：</w:t>
      </w:r>
    </w:p>
    <w:p w14:paraId="3B32A8FF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/>
        <w:spacing w:before="0" w:beforeAutospacing="0" w:after="0" w:afterAutospacing="0" w:line="360" w:lineRule="auto"/>
        <w:ind w:right="0" w:rightChars="0"/>
        <w:jc w:val="left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</w:p>
    <w:p w14:paraId="52C96C8F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/>
        <w:spacing w:before="0" w:beforeAutospacing="0" w:after="0" w:afterAutospacing="0" w:line="360" w:lineRule="auto"/>
        <w:ind w:right="0" w:rightChars="0"/>
        <w:jc w:val="left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</w:p>
    <w:p w14:paraId="385363D4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/>
        <w:spacing w:before="0" w:beforeAutospacing="0" w:after="0" w:afterAutospacing="0" w:line="360" w:lineRule="auto"/>
        <w:ind w:right="0" w:rightChars="0"/>
        <w:jc w:val="left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</w:p>
    <w:p w14:paraId="45E5FEA4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/>
        <w:spacing w:before="0" w:beforeAutospacing="0" w:after="0" w:afterAutospacing="0" w:line="360" w:lineRule="auto"/>
        <w:ind w:right="0" w:rightChars="0"/>
        <w:jc w:val="left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</w:p>
    <w:p w14:paraId="53DCEED0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/>
        <w:spacing w:before="0" w:beforeAutospacing="0" w:after="0" w:afterAutospacing="0" w:line="360" w:lineRule="auto"/>
        <w:ind w:right="0" w:rightChars="0"/>
        <w:jc w:val="left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</w:p>
    <w:p w14:paraId="4E379B42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/>
        <w:spacing w:before="0" w:beforeAutospacing="0" w:after="0" w:afterAutospacing="0" w:line="360" w:lineRule="auto"/>
        <w:ind w:right="0" w:rightChars="0"/>
        <w:jc w:val="left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</w:p>
    <w:tbl>
      <w:tblPr>
        <w:tblStyle w:val="6"/>
        <w:tblpPr w:leftFromText="180" w:rightFromText="180" w:vertAnchor="text" w:horzAnchor="page" w:tblpX="355" w:tblpY="509"/>
        <w:tblOverlap w:val="never"/>
        <w:tblW w:w="114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951"/>
        <w:gridCol w:w="951"/>
        <w:gridCol w:w="951"/>
        <w:gridCol w:w="1056"/>
        <w:gridCol w:w="1161"/>
        <w:gridCol w:w="1056"/>
        <w:gridCol w:w="1161"/>
        <w:gridCol w:w="1056"/>
        <w:gridCol w:w="1161"/>
        <w:gridCol w:w="1056"/>
      </w:tblGrid>
      <w:tr w14:paraId="69EF9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846" w:type="dxa"/>
            <w:vMerge w:val="restart"/>
            <w:shd w:val="clear" w:color="auto" w:fill="D7D7D7" w:themeFill="background1" w:themeFillShade="D8"/>
            <w:vAlign w:val="center"/>
          </w:tcPr>
          <w:p w14:paraId="05324A50">
            <w:pPr>
              <w:keepNext w:val="0"/>
              <w:keepLines w:val="0"/>
              <w:widowControl w:val="0"/>
              <w:suppressLineNumbers w:val="0"/>
              <w:jc w:val="center"/>
              <w:rPr>
                <w:rFonts w:hint="default" w:eastAsia="宋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年份</w:t>
            </w:r>
          </w:p>
        </w:tc>
        <w:tc>
          <w:tcPr>
            <w:tcW w:w="1902" w:type="dxa"/>
            <w:gridSpan w:val="2"/>
            <w:shd w:val="clear" w:color="auto" w:fill="D7D7D7" w:themeFill="background1" w:themeFillShade="D8"/>
            <w:vAlign w:val="center"/>
          </w:tcPr>
          <w:p w14:paraId="36D9A990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下游支出</w:t>
            </w:r>
          </w:p>
        </w:tc>
        <w:tc>
          <w:tcPr>
            <w:tcW w:w="2007" w:type="dxa"/>
            <w:gridSpan w:val="2"/>
            <w:shd w:val="clear" w:color="auto" w:fill="D7D7D7" w:themeFill="background1" w:themeFillShade="D8"/>
            <w:vAlign w:val="center"/>
          </w:tcPr>
          <w:p w14:paraId="11A78CD7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</w:rPr>
              <w:t>华源签报价</w:t>
            </w:r>
          </w:p>
        </w:tc>
        <w:tc>
          <w:tcPr>
            <w:tcW w:w="2217" w:type="dxa"/>
            <w:gridSpan w:val="2"/>
            <w:shd w:val="clear" w:color="auto" w:fill="D7D7D7" w:themeFill="background1" w:themeFillShade="D8"/>
            <w:vAlign w:val="center"/>
          </w:tcPr>
          <w:p w14:paraId="5B023434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</w:rPr>
              <w:t>市公司结算价50%</w:t>
            </w:r>
          </w:p>
        </w:tc>
        <w:tc>
          <w:tcPr>
            <w:tcW w:w="2217" w:type="dxa"/>
            <w:gridSpan w:val="2"/>
            <w:shd w:val="clear" w:color="auto" w:fill="D7D7D7" w:themeFill="background1" w:themeFillShade="D8"/>
            <w:vAlign w:val="center"/>
          </w:tcPr>
          <w:p w14:paraId="3A33E4DF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</w:rPr>
              <w:t>市公司结算价70%</w:t>
            </w:r>
          </w:p>
        </w:tc>
        <w:tc>
          <w:tcPr>
            <w:tcW w:w="2217" w:type="dxa"/>
            <w:gridSpan w:val="2"/>
            <w:shd w:val="clear" w:color="auto" w:fill="D7D7D7" w:themeFill="background1" w:themeFillShade="D8"/>
            <w:vAlign w:val="center"/>
          </w:tcPr>
          <w:p w14:paraId="0187C503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</w:rPr>
              <w:t>市场价</w:t>
            </w:r>
          </w:p>
        </w:tc>
      </w:tr>
      <w:tr w14:paraId="1E619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846" w:type="dxa"/>
            <w:vMerge w:val="continue"/>
            <w:shd w:val="clear" w:color="auto" w:fill="D7D7D7" w:themeFill="background1" w:themeFillShade="D8"/>
            <w:vAlign w:val="center"/>
          </w:tcPr>
          <w:p w14:paraId="41B6AD10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highlight w:val="none"/>
                <w:vertAlign w:val="baseline"/>
              </w:rPr>
            </w:pPr>
          </w:p>
        </w:tc>
        <w:tc>
          <w:tcPr>
            <w:tcW w:w="951" w:type="dxa"/>
            <w:shd w:val="clear" w:color="auto" w:fill="D7D7D7" w:themeFill="background1" w:themeFillShade="D8"/>
            <w:vAlign w:val="center"/>
          </w:tcPr>
          <w:p w14:paraId="4228BF11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</w:rPr>
              <w:t>公司</w:t>
            </w:r>
          </w:p>
        </w:tc>
        <w:tc>
          <w:tcPr>
            <w:tcW w:w="951" w:type="dxa"/>
            <w:shd w:val="clear" w:color="auto" w:fill="D7D7D7" w:themeFill="background1" w:themeFillShade="D8"/>
            <w:vAlign w:val="center"/>
          </w:tcPr>
          <w:p w14:paraId="59BDCA03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</w:rPr>
              <w:t>协作</w:t>
            </w:r>
          </w:p>
        </w:tc>
        <w:tc>
          <w:tcPr>
            <w:tcW w:w="951" w:type="dxa"/>
            <w:shd w:val="clear" w:color="auto" w:fill="D7D7D7" w:themeFill="background1" w:themeFillShade="D8"/>
            <w:vAlign w:val="center"/>
          </w:tcPr>
          <w:p w14:paraId="5A45A219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</w:rPr>
              <w:t>收入</w:t>
            </w:r>
          </w:p>
        </w:tc>
        <w:tc>
          <w:tcPr>
            <w:tcW w:w="1056" w:type="dxa"/>
            <w:shd w:val="clear" w:color="auto" w:fill="D7D7D7" w:themeFill="background1" w:themeFillShade="D8"/>
            <w:vAlign w:val="center"/>
          </w:tcPr>
          <w:p w14:paraId="756B230C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</w:rPr>
              <w:t>盈亏</w:t>
            </w:r>
          </w:p>
        </w:tc>
        <w:tc>
          <w:tcPr>
            <w:tcW w:w="1161" w:type="dxa"/>
            <w:shd w:val="clear" w:color="auto" w:fill="D7D7D7" w:themeFill="background1" w:themeFillShade="D8"/>
            <w:vAlign w:val="center"/>
          </w:tcPr>
          <w:p w14:paraId="7916DEE8">
            <w:pPr>
              <w:keepNext w:val="0"/>
              <w:keepLines w:val="0"/>
              <w:widowControl w:val="0"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</w:rPr>
              <w:t>收入</w:t>
            </w:r>
          </w:p>
        </w:tc>
        <w:tc>
          <w:tcPr>
            <w:tcW w:w="1056" w:type="dxa"/>
            <w:shd w:val="clear" w:color="auto" w:fill="D7D7D7" w:themeFill="background1" w:themeFillShade="D8"/>
            <w:vAlign w:val="center"/>
          </w:tcPr>
          <w:p w14:paraId="71BCAB32">
            <w:pPr>
              <w:keepNext w:val="0"/>
              <w:keepLines w:val="0"/>
              <w:widowControl w:val="0"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</w:rPr>
              <w:t>盈亏</w:t>
            </w:r>
          </w:p>
        </w:tc>
        <w:tc>
          <w:tcPr>
            <w:tcW w:w="1161" w:type="dxa"/>
            <w:shd w:val="clear" w:color="auto" w:fill="D7D7D7" w:themeFill="background1" w:themeFillShade="D8"/>
            <w:vAlign w:val="center"/>
          </w:tcPr>
          <w:p w14:paraId="3DB44D96">
            <w:pPr>
              <w:keepNext w:val="0"/>
              <w:keepLines w:val="0"/>
              <w:widowControl w:val="0"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</w:rPr>
              <w:t>收入</w:t>
            </w:r>
          </w:p>
        </w:tc>
        <w:tc>
          <w:tcPr>
            <w:tcW w:w="1056" w:type="dxa"/>
            <w:shd w:val="clear" w:color="auto" w:fill="D7D7D7" w:themeFill="background1" w:themeFillShade="D8"/>
            <w:vAlign w:val="center"/>
          </w:tcPr>
          <w:p w14:paraId="70256629">
            <w:pPr>
              <w:keepNext w:val="0"/>
              <w:keepLines w:val="0"/>
              <w:widowControl w:val="0"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</w:rPr>
              <w:t>盈亏</w:t>
            </w:r>
          </w:p>
        </w:tc>
        <w:tc>
          <w:tcPr>
            <w:tcW w:w="1161" w:type="dxa"/>
            <w:shd w:val="clear" w:color="auto" w:fill="D7D7D7" w:themeFill="background1" w:themeFillShade="D8"/>
            <w:vAlign w:val="center"/>
          </w:tcPr>
          <w:p w14:paraId="255065A0">
            <w:pPr>
              <w:keepNext w:val="0"/>
              <w:keepLines w:val="0"/>
              <w:widowControl w:val="0"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</w:rPr>
              <w:t>收入</w:t>
            </w:r>
          </w:p>
        </w:tc>
        <w:tc>
          <w:tcPr>
            <w:tcW w:w="1056" w:type="dxa"/>
            <w:shd w:val="clear" w:color="auto" w:fill="D7D7D7" w:themeFill="background1" w:themeFillShade="D8"/>
            <w:vAlign w:val="center"/>
          </w:tcPr>
          <w:p w14:paraId="5FC1536A">
            <w:pPr>
              <w:keepNext w:val="0"/>
              <w:keepLines w:val="0"/>
              <w:widowControl w:val="0"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none"/>
                <w:vertAlign w:val="baseline"/>
                <w:lang w:val="en-US" w:eastAsia="zh-CN" w:bidi="ar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</w:rPr>
              <w:t>盈亏</w:t>
            </w:r>
          </w:p>
        </w:tc>
      </w:tr>
      <w:tr w14:paraId="778C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846" w:type="dxa"/>
            <w:vAlign w:val="center"/>
          </w:tcPr>
          <w:p w14:paraId="52FF2F2D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2021（5-12月）</w:t>
            </w:r>
          </w:p>
        </w:tc>
        <w:tc>
          <w:tcPr>
            <w:tcW w:w="951" w:type="dxa"/>
            <w:vAlign w:val="center"/>
          </w:tcPr>
          <w:p w14:paraId="00AD613E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300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600</w:t>
            </w:r>
          </w:p>
        </w:tc>
        <w:tc>
          <w:tcPr>
            <w:tcW w:w="951" w:type="dxa"/>
            <w:vAlign w:val="center"/>
          </w:tcPr>
          <w:p w14:paraId="4E9D5FA0">
            <w:pPr>
              <w:keepNext w:val="0"/>
              <w:keepLines w:val="0"/>
              <w:widowControl w:val="0"/>
              <w:suppressLineNumbers w:val="0"/>
              <w:jc w:val="center"/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51" w:type="dxa"/>
            <w:vAlign w:val="center"/>
          </w:tcPr>
          <w:p w14:paraId="2F212AF0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70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661</w:t>
            </w:r>
          </w:p>
        </w:tc>
        <w:tc>
          <w:tcPr>
            <w:tcW w:w="1056" w:type="dxa"/>
            <w:vAlign w:val="center"/>
          </w:tcPr>
          <w:p w14:paraId="4696474A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-229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939</w:t>
            </w:r>
          </w:p>
        </w:tc>
        <w:tc>
          <w:tcPr>
            <w:tcW w:w="1161" w:type="dxa"/>
            <w:vAlign w:val="center"/>
          </w:tcPr>
          <w:p w14:paraId="74EE68E6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106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986</w:t>
            </w:r>
          </w:p>
        </w:tc>
        <w:tc>
          <w:tcPr>
            <w:tcW w:w="1056" w:type="dxa"/>
            <w:vAlign w:val="center"/>
          </w:tcPr>
          <w:p w14:paraId="5939B49D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-193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614</w:t>
            </w:r>
          </w:p>
        </w:tc>
        <w:tc>
          <w:tcPr>
            <w:tcW w:w="1161" w:type="dxa"/>
            <w:vAlign w:val="center"/>
          </w:tcPr>
          <w:p w14:paraId="5A3A3327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149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780</w:t>
            </w:r>
          </w:p>
        </w:tc>
        <w:tc>
          <w:tcPr>
            <w:tcW w:w="1056" w:type="dxa"/>
            <w:vAlign w:val="center"/>
          </w:tcPr>
          <w:p w14:paraId="7B0841A4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-150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820</w:t>
            </w:r>
          </w:p>
        </w:tc>
        <w:tc>
          <w:tcPr>
            <w:tcW w:w="1161" w:type="dxa"/>
            <w:vAlign w:val="center"/>
          </w:tcPr>
          <w:p w14:paraId="57F89689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199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000</w:t>
            </w:r>
          </w:p>
        </w:tc>
        <w:tc>
          <w:tcPr>
            <w:tcW w:w="1056" w:type="dxa"/>
            <w:vAlign w:val="center"/>
          </w:tcPr>
          <w:p w14:paraId="1FA93149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-101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600</w:t>
            </w:r>
          </w:p>
        </w:tc>
      </w:tr>
      <w:tr w14:paraId="0B292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846" w:type="dxa"/>
            <w:vAlign w:val="center"/>
          </w:tcPr>
          <w:p w14:paraId="5D02066E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2022</w:t>
            </w:r>
          </w:p>
        </w:tc>
        <w:tc>
          <w:tcPr>
            <w:tcW w:w="951" w:type="dxa"/>
            <w:vAlign w:val="center"/>
          </w:tcPr>
          <w:p w14:paraId="03DAB201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210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800</w:t>
            </w:r>
          </w:p>
        </w:tc>
        <w:tc>
          <w:tcPr>
            <w:tcW w:w="951" w:type="dxa"/>
            <w:vAlign w:val="center"/>
          </w:tcPr>
          <w:p w14:paraId="18421D22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472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750</w:t>
            </w:r>
          </w:p>
        </w:tc>
        <w:tc>
          <w:tcPr>
            <w:tcW w:w="951" w:type="dxa"/>
            <w:vAlign w:val="center"/>
          </w:tcPr>
          <w:p w14:paraId="05A7FABA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116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388</w:t>
            </w:r>
          </w:p>
        </w:tc>
        <w:tc>
          <w:tcPr>
            <w:tcW w:w="1056" w:type="dxa"/>
            <w:vAlign w:val="center"/>
          </w:tcPr>
          <w:p w14:paraId="79E2CD90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-567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162</w:t>
            </w:r>
          </w:p>
        </w:tc>
        <w:tc>
          <w:tcPr>
            <w:tcW w:w="1161" w:type="dxa"/>
            <w:vAlign w:val="center"/>
          </w:tcPr>
          <w:p w14:paraId="21D4C0FC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176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233</w:t>
            </w:r>
          </w:p>
        </w:tc>
        <w:tc>
          <w:tcPr>
            <w:tcW w:w="1056" w:type="dxa"/>
            <w:vAlign w:val="center"/>
          </w:tcPr>
          <w:p w14:paraId="08C40B5E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-507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317</w:t>
            </w:r>
          </w:p>
        </w:tc>
        <w:tc>
          <w:tcPr>
            <w:tcW w:w="1161" w:type="dxa"/>
            <w:vAlign w:val="center"/>
          </w:tcPr>
          <w:p w14:paraId="0923E633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246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727</w:t>
            </w:r>
          </w:p>
        </w:tc>
        <w:tc>
          <w:tcPr>
            <w:tcW w:w="1056" w:type="dxa"/>
            <w:vAlign w:val="center"/>
          </w:tcPr>
          <w:p w14:paraId="05D8C5BD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-436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823</w:t>
            </w:r>
          </w:p>
        </w:tc>
        <w:tc>
          <w:tcPr>
            <w:tcW w:w="1161" w:type="dxa"/>
            <w:vAlign w:val="center"/>
          </w:tcPr>
          <w:p w14:paraId="31F5B0D8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327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600</w:t>
            </w:r>
          </w:p>
        </w:tc>
        <w:tc>
          <w:tcPr>
            <w:tcW w:w="1056" w:type="dxa"/>
            <w:vAlign w:val="center"/>
          </w:tcPr>
          <w:p w14:paraId="66798BB4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-355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950</w:t>
            </w:r>
          </w:p>
        </w:tc>
      </w:tr>
      <w:tr w14:paraId="33FBB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846" w:type="dxa"/>
            <w:vAlign w:val="center"/>
          </w:tcPr>
          <w:p w14:paraId="364A1644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2023</w:t>
            </w:r>
          </w:p>
        </w:tc>
        <w:tc>
          <w:tcPr>
            <w:tcW w:w="951" w:type="dxa"/>
            <w:vAlign w:val="center"/>
          </w:tcPr>
          <w:p w14:paraId="4F2AB628">
            <w:pPr>
              <w:keepNext w:val="0"/>
              <w:keepLines w:val="0"/>
              <w:widowControl w:val="0"/>
              <w:suppressLineNumbers w:val="0"/>
              <w:jc w:val="center"/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51" w:type="dxa"/>
            <w:vAlign w:val="center"/>
          </w:tcPr>
          <w:p w14:paraId="0FF65281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778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540</w:t>
            </w:r>
          </w:p>
        </w:tc>
        <w:tc>
          <w:tcPr>
            <w:tcW w:w="951" w:type="dxa"/>
            <w:vAlign w:val="center"/>
          </w:tcPr>
          <w:p w14:paraId="6AD5127A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185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192</w:t>
            </w:r>
          </w:p>
        </w:tc>
        <w:tc>
          <w:tcPr>
            <w:tcW w:w="1056" w:type="dxa"/>
            <w:vAlign w:val="center"/>
          </w:tcPr>
          <w:p w14:paraId="77C21E81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-593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348</w:t>
            </w:r>
          </w:p>
        </w:tc>
        <w:tc>
          <w:tcPr>
            <w:tcW w:w="1161" w:type="dxa"/>
            <w:vAlign w:val="center"/>
          </w:tcPr>
          <w:p w14:paraId="05A9667E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280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225</w:t>
            </w:r>
          </w:p>
        </w:tc>
        <w:tc>
          <w:tcPr>
            <w:tcW w:w="1056" w:type="dxa"/>
            <w:vAlign w:val="center"/>
          </w:tcPr>
          <w:p w14:paraId="6FE7B113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-498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315</w:t>
            </w:r>
          </w:p>
        </w:tc>
        <w:tc>
          <w:tcPr>
            <w:tcW w:w="1161" w:type="dxa"/>
            <w:vAlign w:val="center"/>
          </w:tcPr>
          <w:p w14:paraId="44159BE8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392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315</w:t>
            </w:r>
          </w:p>
        </w:tc>
        <w:tc>
          <w:tcPr>
            <w:tcW w:w="1056" w:type="dxa"/>
            <w:vAlign w:val="center"/>
          </w:tcPr>
          <w:p w14:paraId="39DC9FD4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-386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225</w:t>
            </w:r>
          </w:p>
        </w:tc>
        <w:tc>
          <w:tcPr>
            <w:tcW w:w="1161" w:type="dxa"/>
            <w:vAlign w:val="center"/>
          </w:tcPr>
          <w:p w14:paraId="181DA5EF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523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600</w:t>
            </w:r>
          </w:p>
        </w:tc>
        <w:tc>
          <w:tcPr>
            <w:tcW w:w="1056" w:type="dxa"/>
            <w:vAlign w:val="center"/>
          </w:tcPr>
          <w:p w14:paraId="00520C40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-254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940</w:t>
            </w:r>
          </w:p>
        </w:tc>
      </w:tr>
      <w:tr w14:paraId="7BA7B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846" w:type="dxa"/>
            <w:vAlign w:val="center"/>
          </w:tcPr>
          <w:p w14:paraId="33012EE3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2024</w:t>
            </w:r>
          </w:p>
        </w:tc>
        <w:tc>
          <w:tcPr>
            <w:tcW w:w="951" w:type="dxa"/>
            <w:vAlign w:val="center"/>
          </w:tcPr>
          <w:p w14:paraId="42585685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651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340</w:t>
            </w:r>
          </w:p>
        </w:tc>
        <w:tc>
          <w:tcPr>
            <w:tcW w:w="951" w:type="dxa"/>
            <w:vAlign w:val="center"/>
          </w:tcPr>
          <w:p w14:paraId="173864F4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355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130</w:t>
            </w:r>
          </w:p>
        </w:tc>
        <w:tc>
          <w:tcPr>
            <w:tcW w:w="951" w:type="dxa"/>
            <w:vAlign w:val="center"/>
          </w:tcPr>
          <w:p w14:paraId="5A1DEE7C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312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895</w:t>
            </w:r>
          </w:p>
        </w:tc>
        <w:tc>
          <w:tcPr>
            <w:tcW w:w="1056" w:type="dxa"/>
            <w:vAlign w:val="center"/>
          </w:tcPr>
          <w:p w14:paraId="1769523F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-693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575</w:t>
            </w:r>
          </w:p>
        </w:tc>
        <w:tc>
          <w:tcPr>
            <w:tcW w:w="1161" w:type="dxa"/>
            <w:vAlign w:val="center"/>
          </w:tcPr>
          <w:p w14:paraId="25590C4A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384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456</w:t>
            </w:r>
          </w:p>
        </w:tc>
        <w:tc>
          <w:tcPr>
            <w:tcW w:w="1056" w:type="dxa"/>
            <w:vAlign w:val="center"/>
          </w:tcPr>
          <w:p w14:paraId="5D0C1A2C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-622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014</w:t>
            </w:r>
          </w:p>
        </w:tc>
        <w:tc>
          <w:tcPr>
            <w:tcW w:w="1161" w:type="dxa"/>
            <w:vAlign w:val="center"/>
          </w:tcPr>
          <w:p w14:paraId="08767ED3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468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964</w:t>
            </w:r>
          </w:p>
        </w:tc>
        <w:tc>
          <w:tcPr>
            <w:tcW w:w="1056" w:type="dxa"/>
            <w:vAlign w:val="center"/>
          </w:tcPr>
          <w:p w14:paraId="47F265CB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-537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506</w:t>
            </w:r>
          </w:p>
        </w:tc>
        <w:tc>
          <w:tcPr>
            <w:tcW w:w="1161" w:type="dxa"/>
            <w:vAlign w:val="center"/>
          </w:tcPr>
          <w:p w14:paraId="5893D99D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569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787</w:t>
            </w:r>
          </w:p>
        </w:tc>
        <w:tc>
          <w:tcPr>
            <w:tcW w:w="1056" w:type="dxa"/>
            <w:vAlign w:val="center"/>
          </w:tcPr>
          <w:p w14:paraId="37FF0D1D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-436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683</w:t>
            </w:r>
          </w:p>
        </w:tc>
      </w:tr>
      <w:tr w14:paraId="5E8A6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846" w:type="dxa"/>
            <w:vAlign w:val="center"/>
          </w:tcPr>
          <w:p w14:paraId="57F5BB5C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2025</w:t>
            </w:r>
          </w:p>
        </w:tc>
        <w:tc>
          <w:tcPr>
            <w:tcW w:w="951" w:type="dxa"/>
            <w:vAlign w:val="center"/>
          </w:tcPr>
          <w:p w14:paraId="0BA0BA08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783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680</w:t>
            </w:r>
          </w:p>
        </w:tc>
        <w:tc>
          <w:tcPr>
            <w:tcW w:w="951" w:type="dxa"/>
            <w:vAlign w:val="center"/>
          </w:tcPr>
          <w:p w14:paraId="3C7EFF8D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250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250</w:t>
            </w:r>
          </w:p>
        </w:tc>
        <w:tc>
          <w:tcPr>
            <w:tcW w:w="951" w:type="dxa"/>
            <w:vAlign w:val="center"/>
          </w:tcPr>
          <w:p w14:paraId="4DCEE62C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688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027</w:t>
            </w:r>
          </w:p>
        </w:tc>
        <w:tc>
          <w:tcPr>
            <w:tcW w:w="1056" w:type="dxa"/>
            <w:vAlign w:val="center"/>
          </w:tcPr>
          <w:p w14:paraId="11A230B0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-345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903</w:t>
            </w:r>
          </w:p>
        </w:tc>
        <w:tc>
          <w:tcPr>
            <w:tcW w:w="1161" w:type="dxa"/>
            <w:vAlign w:val="center"/>
          </w:tcPr>
          <w:p w14:paraId="25A5FA96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1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040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851</w:t>
            </w:r>
          </w:p>
        </w:tc>
        <w:tc>
          <w:tcPr>
            <w:tcW w:w="1056" w:type="dxa"/>
            <w:vAlign w:val="center"/>
          </w:tcPr>
          <w:p w14:paraId="25FA28F4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sz w:val="21"/>
                <w:szCs w:val="21"/>
                <w:vertAlign w:val="baseline"/>
              </w:rPr>
              <w:t>6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921</w:t>
            </w:r>
          </w:p>
        </w:tc>
        <w:tc>
          <w:tcPr>
            <w:tcW w:w="1161" w:type="dxa"/>
            <w:vAlign w:val="center"/>
          </w:tcPr>
          <w:p w14:paraId="1F4D9387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1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457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192</w:t>
            </w:r>
          </w:p>
        </w:tc>
        <w:tc>
          <w:tcPr>
            <w:tcW w:w="1056" w:type="dxa"/>
            <w:vAlign w:val="center"/>
          </w:tcPr>
          <w:p w14:paraId="75E1620D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sz w:val="21"/>
                <w:szCs w:val="21"/>
                <w:vertAlign w:val="baseline"/>
              </w:rPr>
              <w:t>423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262</w:t>
            </w:r>
          </w:p>
        </w:tc>
        <w:tc>
          <w:tcPr>
            <w:tcW w:w="1161" w:type="dxa"/>
            <w:vAlign w:val="center"/>
          </w:tcPr>
          <w:p w14:paraId="3C8FAB7A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1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948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200</w:t>
            </w:r>
          </w:p>
        </w:tc>
        <w:tc>
          <w:tcPr>
            <w:tcW w:w="1056" w:type="dxa"/>
            <w:vAlign w:val="center"/>
          </w:tcPr>
          <w:p w14:paraId="18A9949F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sz w:val="21"/>
                <w:szCs w:val="21"/>
                <w:vertAlign w:val="baseline"/>
              </w:rPr>
              <w:t>914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270</w:t>
            </w:r>
          </w:p>
        </w:tc>
      </w:tr>
      <w:tr w14:paraId="33064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846" w:type="dxa"/>
            <w:vAlign w:val="center"/>
          </w:tcPr>
          <w:p w14:paraId="45D876C0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五年累计盈亏</w:t>
            </w:r>
          </w:p>
        </w:tc>
        <w:tc>
          <w:tcPr>
            <w:tcW w:w="1902" w:type="dxa"/>
            <w:gridSpan w:val="2"/>
            <w:vAlign w:val="center"/>
          </w:tcPr>
          <w:p w14:paraId="7754548E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803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090</w:t>
            </w:r>
          </w:p>
        </w:tc>
        <w:tc>
          <w:tcPr>
            <w:tcW w:w="2007" w:type="dxa"/>
            <w:gridSpan w:val="2"/>
            <w:vAlign w:val="center"/>
          </w:tcPr>
          <w:p w14:paraId="04581AB8">
            <w:pPr>
              <w:keepNext w:val="0"/>
              <w:keepLines w:val="0"/>
              <w:widowControl w:val="0"/>
              <w:suppressLineNumbers w:val="0"/>
              <w:bidi w:val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-2</w:t>
            </w:r>
            <w:r>
              <w:rPr>
                <w:rFonts w:hint="eastAsia" w:cs="宋体"/>
                <w:kern w:val="0"/>
                <w:sz w:val="21"/>
                <w:szCs w:val="21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429</w:t>
            </w:r>
            <w:r>
              <w:rPr>
                <w:rFonts w:hint="eastAsia" w:cs="宋体"/>
                <w:kern w:val="0"/>
                <w:sz w:val="21"/>
                <w:szCs w:val="21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926</w:t>
            </w:r>
          </w:p>
        </w:tc>
        <w:tc>
          <w:tcPr>
            <w:tcW w:w="2217" w:type="dxa"/>
            <w:gridSpan w:val="2"/>
            <w:vAlign w:val="center"/>
          </w:tcPr>
          <w:p w14:paraId="09B6D92E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-1814339</w:t>
            </w:r>
          </w:p>
        </w:tc>
        <w:tc>
          <w:tcPr>
            <w:tcW w:w="2217" w:type="dxa"/>
            <w:gridSpan w:val="2"/>
            <w:vAlign w:val="center"/>
          </w:tcPr>
          <w:p w14:paraId="230D58F5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-1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088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113</w:t>
            </w:r>
          </w:p>
        </w:tc>
        <w:tc>
          <w:tcPr>
            <w:tcW w:w="2217" w:type="dxa"/>
            <w:gridSpan w:val="2"/>
            <w:vAlign w:val="center"/>
          </w:tcPr>
          <w:p w14:paraId="5EEF7BCD">
            <w:pPr>
              <w:keepNext w:val="0"/>
              <w:keepLines w:val="0"/>
              <w:widowControl w:val="0"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-234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</w:rPr>
              <w:t>903</w:t>
            </w:r>
          </w:p>
        </w:tc>
      </w:tr>
    </w:tbl>
    <w:p w14:paraId="6173596B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/>
        <w:spacing w:before="0" w:beforeAutospacing="0" w:after="0" w:afterAutospacing="0" w:line="360" w:lineRule="auto"/>
        <w:ind w:right="0" w:rightChars="0"/>
        <w:jc w:val="left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  <w:lang w:val="en-US" w:eastAsia="zh-CN"/>
        </w:rPr>
      </w:pPr>
    </w:p>
    <w:p w14:paraId="4E1BA85D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/>
        <w:spacing w:before="0" w:beforeAutospacing="0" w:after="0" w:afterAutospacing="0" w:line="360" w:lineRule="auto"/>
        <w:ind w:right="0" w:rightChars="0"/>
        <w:jc w:val="left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</w:p>
    <w:p w14:paraId="6D927638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/>
        <w:spacing w:before="0" w:beforeAutospacing="0" w:after="0" w:afterAutospacing="0" w:line="360" w:lineRule="auto"/>
        <w:ind w:right="0" w:rightChars="0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</w:p>
    <w:p w14:paraId="64FD1DC3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/>
        <w:spacing w:before="0" w:beforeAutospacing="0" w:after="0" w:afterAutospacing="0" w:line="360" w:lineRule="auto"/>
        <w:ind w:right="0" w:rightChars="0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</w:p>
    <w:p w14:paraId="53DCB9C7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/>
        <w:spacing w:before="0" w:beforeAutospacing="0" w:after="0" w:afterAutospacing="0" w:line="360" w:lineRule="auto"/>
        <w:ind w:right="0" w:rightChars="0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</w:p>
    <w:p w14:paraId="08F1E0BC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/>
        <w:spacing w:before="0" w:beforeAutospacing="0" w:after="0" w:afterAutospacing="0" w:line="360" w:lineRule="auto"/>
        <w:ind w:right="0" w:rightChars="0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</w:p>
    <w:p w14:paraId="66593820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/>
        <w:spacing w:before="0" w:beforeAutospacing="0" w:after="0" w:afterAutospacing="0" w:line="360" w:lineRule="auto"/>
        <w:ind w:right="0" w:rightChars="0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</w:p>
    <w:p w14:paraId="5F05D90B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/>
        <w:spacing w:before="0" w:beforeAutospacing="0" w:after="0" w:afterAutospacing="0" w:line="360" w:lineRule="auto"/>
        <w:ind w:right="0" w:rightChars="0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</w:p>
    <w:p w14:paraId="7E91AD3C">
      <w:pPr>
        <w:pStyle w:val="9"/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jc w:val="both"/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</w:pPr>
    </w:p>
    <w:p w14:paraId="52724C31">
      <w:pPr>
        <w:pStyle w:val="4"/>
        <w:keepNext w:val="0"/>
        <w:keepLines w:val="0"/>
        <w:widowControl/>
        <w:numPr>
          <w:numId w:val="0"/>
        </w:numPr>
        <w:suppressLineNumbers w:val="0"/>
        <w:tabs>
          <w:tab w:val="left" w:pos="0"/>
        </w:tabs>
        <w:autoSpaceDE w:val="0"/>
        <w:autoSpaceDN/>
        <w:spacing w:before="0" w:beforeAutospacing="0" w:after="0" w:afterAutospacing="0" w:line="360" w:lineRule="auto"/>
        <w:ind w:leftChars="0" w:right="0" w:rightChars="0"/>
        <w:outlineLvl w:val="2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  <w:lang w:val="en-US" w:eastAsia="zh-CN"/>
        </w:rPr>
        <w:t>四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  <w:lang w:eastAsia="zh-CN"/>
        </w:rPr>
        <w:t>）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分析结论</w:t>
      </w:r>
    </w:p>
    <w:p w14:paraId="625CD79D">
      <w:pPr>
        <w:pStyle w:val="4"/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right="0" w:rightChars="0" w:firstLine="643" w:firstLineChars="200"/>
        <w:outlineLvl w:val="2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1、按华源签报价格：五年累计亏损242.99万元，且各年份全部亏损，收入远不能覆盖支出，该价格口径严重偏离实际成本。</w:t>
      </w:r>
    </w:p>
    <w:p w14:paraId="31B10049"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right="0" w:rightChars="0" w:firstLine="643" w:firstLineChars="200"/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2、按市公司结算价50%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：五年累计亏损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181.43万元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，仅2025年在业务量大幅上升后勉强持平（+0.69万元）。</w:t>
      </w:r>
    </w:p>
    <w:p w14:paraId="6406C21A"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right="0" w:rightChars="0" w:firstLine="643" w:firstLineChars="200"/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3、按市公司结算价70%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：五年累计亏损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108.81万元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，2025年盈利42.33万元，但前四年亏损仍无法弥补。</w:t>
      </w:r>
    </w:p>
    <w:p w14:paraId="72161E32"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right="0" w:rightChars="0" w:firstLine="643" w:firstLineChars="200"/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4、按市场价（FTU 1000元/台、DTU 1400元/台）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：五年累计仍亏损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23.49万元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，为四种口径中最优，2025年可盈利91.43万元。说明即便完全按市场价结算，2021—2024年间因业务量小、固定成本高，仍难以盈利，仅在业务量达到2025年规模（FTU千台以上）后方可实现较好收益。</w:t>
      </w:r>
    </w:p>
    <w:p w14:paraId="04A81328">
      <w:pPr>
        <w:pStyle w:val="9"/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firstLine="643" w:firstLineChars="200"/>
        <w:jc w:val="both"/>
        <w:rPr>
          <w:rFonts w:hint="eastAsia" w:ascii="方正仿宋_GB2312" w:hAnsi="方正仿宋_GB2312" w:eastAsia="方正仿宋_GB2312" w:cs="方正仿宋_GB2312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  <w:lang w:val="en-US" w:eastAsia="zh-CN" w:bidi="ar"/>
        </w:rPr>
        <w:t>5、下游支出（含公司自有人工、车辆等支出及协作支出）逐年上升：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  <w:lang w:val="en-US" w:eastAsia="zh-CN" w:bidi="ar"/>
        </w:rPr>
        <w:t>2021年30.06万元至2025年103.39万元，五年合计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  <w:lang w:val="en-US" w:eastAsia="zh-CN" w:bidi="ar"/>
        </w:rPr>
        <w:t>380.31万元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  <w:lang w:val="en-US" w:eastAsia="zh-CN" w:bidi="ar"/>
        </w:rPr>
        <w:t xml:space="preserve">。 </w:t>
      </w:r>
    </w:p>
    <w:p w14:paraId="6D47E094">
      <w:pPr>
        <w:pStyle w:val="9"/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jc w:val="left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INCLUDEPICTURE \d "C:\\Users\\kidpe\\Desktop\\调试打印材料\\配电自动化调试业务调研报告2026.9.23.files\\配电自动化调试业务调研报告2026.9.231623.png" \* MERGEFORMATINET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drawing>
          <wp:inline distT="0" distB="0" distL="114300" distR="114300">
            <wp:extent cx="5267325" cy="2981325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81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</w:p>
    <w:p w14:paraId="3F7EDB6D"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color w:val="000000"/>
          <w:kern w:val="0"/>
          <w:sz w:val="32"/>
          <w:szCs w:val="32"/>
        </w:rPr>
        <w:t>注：灰色柱为下游支出，折线为各口径测算收入；各系列共用同一纵轴。</w:t>
      </w:r>
    </w:p>
    <w:p w14:paraId="4E843C2E">
      <w:pPr>
        <w:pStyle w:val="9"/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总体结论：无论何种结算口径，本业务五年整体均为亏损，只有市场价口径且业务量足够大时才具备盈利能力。</w:t>
      </w:r>
    </w:p>
    <w:p w14:paraId="739A5619">
      <w:pPr>
        <w:pStyle w:val="9"/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</w:p>
    <w:p w14:paraId="6F455EF9">
      <w:pPr>
        <w:pStyle w:val="3"/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三、调试业务交由盐开电气公司承担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  <w:lang w:val="en-US" w:eastAsia="zh-CN"/>
        </w:rPr>
        <w:t>存在的问题</w:t>
      </w:r>
    </w:p>
    <w:p w14:paraId="1AA26664">
      <w:pPr>
        <w:pStyle w:val="4"/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（一）与施工单位及上游主业沟通协调成本高</w:t>
      </w:r>
    </w:p>
    <w:p w14:paraId="6996E7CE"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right="0" w:rightChars="0" w:firstLine="640" w:firstLineChars="200"/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调试工作作为衔接安装与运维的关键中间环节，业务对接链条冗长、涉及主体繁杂，需常态化协调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配网部、信通、供电服务指挥中心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等多个上级主业部门，同时对接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华源、海翔、设计院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3家甲方单位，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亭湖、开发区、盐都、三新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4个业主单位，以及10余家下游施工单位。盐开公司作为配电自动化调试业务的实际承揽实施主体，现阶段却承担着该项业务的管理职能，打破了“主站通知、现场执行”的标准化工作流程。管理角色与实施角色错位混淆，导致多方沟通协调成本高、推进效率低、落地效果差，严重制约FTU、DTU设备投运进度。</w:t>
      </w:r>
    </w:p>
    <w:p w14:paraId="76E17C40">
      <w:pPr>
        <w:pStyle w:val="4"/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（二）重复调试问题突出</w:t>
      </w:r>
    </w:p>
    <w:p w14:paraId="4E95F4FB"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right="0" w:rightChars="0" w:firstLine="640" w:firstLineChars="200"/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配电自动化调试为送电前最后一道关键工序，易受设备质量参差、软硬件不兼容、厂家售后薄弱、施工计划调整、现场信号不稳定、天气变化、多部门衔接繁琐等多重因素影响，盐开实际调试总量增加25%、单台调试工作量增加20%，同时，约10%已完成的调试工作因各类工程变更、设备更换、天气等原因被迫作废。上述新增增量工作量及无效损耗工作量均为现场实际人力、物力投入，未纳入原有计价结算体系，存在工作量与计价不匹配的问题。</w:t>
      </w:r>
    </w:p>
    <w:p w14:paraId="5A2DD896">
      <w:pPr>
        <w:pStyle w:val="4"/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（三）人工及配套成本大幅增加</w:t>
      </w:r>
    </w:p>
    <w:p w14:paraId="17D0E0AD"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firstLine="640" w:firstLineChars="200"/>
        <w:jc w:val="left"/>
        <w:rPr>
          <w:rFonts w:hint="eastAsia" w:ascii="方正仿宋_GB2312" w:hAnsi="方正仿宋_GB2312" w:eastAsia="方正仿宋_GB2312" w:cs="方正仿宋_GB2312"/>
          <w:kern w:val="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</w:rPr>
        <w:t>2026年，面对逐年提档的配网自动化技术标准与持续激增的业务体量，盐开补强作业力量，将原有1组2人的作业团队扩充至5组标准化作业团队，同步配齐调试设备、UKEY、作业车辆等配套物资，月调试能力从初期10台提升至峰值250余台，每年支出总成本约</w:t>
      </w:r>
      <w:r>
        <w:rPr>
          <w:rFonts w:hint="eastAsia" w:ascii="方正仿宋_GB2312" w:hAnsi="方正仿宋_GB2312" w:eastAsia="方正仿宋_GB2312" w:cs="方正仿宋_GB2312"/>
          <w:b/>
          <w:bCs/>
          <w:kern w:val="2"/>
          <w:sz w:val="32"/>
          <w:szCs w:val="32"/>
          <w:lang w:val="en-US" w:eastAsia="zh-CN"/>
        </w:rPr>
        <w:t>111.4</w:t>
      </w:r>
      <w:r>
        <w:rPr>
          <w:rFonts w:hint="eastAsia" w:ascii="方正仿宋_GB2312" w:hAnsi="方正仿宋_GB2312" w:eastAsia="方正仿宋_GB2312" w:cs="方正仿宋_GB2312"/>
          <w:b/>
          <w:bCs/>
          <w:kern w:val="2"/>
          <w:sz w:val="32"/>
          <w:szCs w:val="32"/>
        </w:rPr>
        <w:t>万元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</w:rPr>
        <w:t>。具体成本情况如下：</w:t>
      </w:r>
    </w:p>
    <w:p w14:paraId="01F7CFBB"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firstLine="640" w:firstLineChars="200"/>
        <w:jc w:val="left"/>
        <w:rPr>
          <w:rFonts w:hint="default" w:ascii="方正仿宋_GB2312" w:hAnsi="方正仿宋_GB2312" w:eastAsia="方正仿宋_GB2312" w:cs="方正仿宋_GB2312"/>
          <w:kern w:val="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/>
        </w:rPr>
        <w:t>1、自有人员：2名金力员工，每年工资累计约为24万元，车辆成本3万元。</w:t>
      </w:r>
    </w:p>
    <w:p w14:paraId="532ECA8E"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firstLine="640" w:firstLineChars="200"/>
        <w:jc w:val="left"/>
        <w:rPr>
          <w:rFonts w:hint="eastAsia" w:ascii="方正仿宋_GB2312" w:hAnsi="方正仿宋_GB2312" w:eastAsia="方正仿宋_GB2312" w:cs="方正仿宋_GB2312"/>
          <w:kern w:val="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/>
        </w:rPr>
        <w:t>2、协作人员：8名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</w:rPr>
        <w:t>江苏兰克电力技术有限公司人员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</w:rPr>
        <w:t>每年工资累计共为74.4万元，车辆总计成本10万元。</w:t>
      </w:r>
    </w:p>
    <w:p w14:paraId="707FEF32"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firstLine="640" w:firstLineChars="200"/>
        <w:jc w:val="left"/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 xml:space="preserve"> 2021—2025年公司自有支出累计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194.64万元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，协作支出累计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185.67万元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，合计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380.31万元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，且逐年攀升（2024、2025年均超过100万元/年）</w:t>
      </w:r>
    </w:p>
    <w:p w14:paraId="64E392D5"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firstLine="640" w:firstLineChars="200"/>
        <w:jc w:val="left"/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"/>
        <w:gridCol w:w="1320"/>
        <w:gridCol w:w="795"/>
        <w:gridCol w:w="1440"/>
        <w:gridCol w:w="990"/>
        <w:gridCol w:w="2700"/>
      </w:tblGrid>
      <w:tr w14:paraId="202C0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9" w:hRule="atLeast"/>
          <w:jc w:val="center"/>
        </w:trPr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540DF3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32"/>
                <w:szCs w:val="32"/>
              </w:rPr>
              <w:t>序号</w:t>
            </w: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387187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32"/>
                <w:szCs w:val="32"/>
              </w:rPr>
              <w:t>姓名</w:t>
            </w:r>
          </w:p>
        </w:tc>
        <w:tc>
          <w:tcPr>
            <w:tcW w:w="7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C88608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32"/>
                <w:szCs w:val="32"/>
              </w:rPr>
              <w:t>年龄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F60FE6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32"/>
                <w:szCs w:val="32"/>
              </w:rPr>
              <w:t>角色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21C4CD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32"/>
                <w:szCs w:val="32"/>
              </w:rPr>
              <w:t>年限</w:t>
            </w:r>
          </w:p>
        </w:tc>
        <w:tc>
          <w:tcPr>
            <w:tcW w:w="2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495C92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32"/>
                <w:szCs w:val="32"/>
              </w:rPr>
              <w:t>单位</w:t>
            </w:r>
          </w:p>
        </w:tc>
      </w:tr>
      <w:tr w14:paraId="22E5C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C19A85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1</w:t>
            </w: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A7BBC1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顾坚</w:t>
            </w:r>
          </w:p>
        </w:tc>
        <w:tc>
          <w:tcPr>
            <w:tcW w:w="7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AF71D5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49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F1CA54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调试人员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354DAD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5年</w:t>
            </w:r>
          </w:p>
        </w:tc>
        <w:tc>
          <w:tcPr>
            <w:tcW w:w="2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3749F6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盐城市金力外包服务有限公司</w:t>
            </w:r>
          </w:p>
        </w:tc>
      </w:tr>
      <w:tr w14:paraId="771E7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BC6F54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  <w:lang w:val="en-US" w:eastAsia="zh-CN"/>
              </w:rPr>
              <w:t>2</w:t>
            </w: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D068E5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孙红燕</w:t>
            </w:r>
          </w:p>
        </w:tc>
        <w:tc>
          <w:tcPr>
            <w:tcW w:w="7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A7A855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47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E616BE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资料员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621DB1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1.5年</w:t>
            </w:r>
          </w:p>
        </w:tc>
        <w:tc>
          <w:tcPr>
            <w:tcW w:w="2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825132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盐城市金力外包服务有限公司</w:t>
            </w:r>
          </w:p>
        </w:tc>
      </w:tr>
      <w:tr w14:paraId="674AC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CA5F67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  <w:lang w:val="en-US" w:eastAsia="zh-CN"/>
              </w:rPr>
              <w:t>3</w:t>
            </w: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1CE987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孙厚民</w:t>
            </w:r>
          </w:p>
        </w:tc>
        <w:tc>
          <w:tcPr>
            <w:tcW w:w="7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F1A4B3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30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19EBEC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调试人员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B5D3F0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9年</w:t>
            </w:r>
          </w:p>
        </w:tc>
        <w:tc>
          <w:tcPr>
            <w:tcW w:w="2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871433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江苏安智吉电力技术有限公司</w:t>
            </w:r>
          </w:p>
        </w:tc>
      </w:tr>
      <w:tr w14:paraId="0F7A0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BEDEBF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  <w:lang w:val="en-US" w:eastAsia="zh-CN"/>
              </w:rPr>
              <w:t>4</w:t>
            </w: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1E4DC9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卫勇</w:t>
            </w:r>
          </w:p>
        </w:tc>
        <w:tc>
          <w:tcPr>
            <w:tcW w:w="7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558A4A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37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BFA3B2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调试人员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82F19A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9年</w:t>
            </w:r>
          </w:p>
        </w:tc>
        <w:tc>
          <w:tcPr>
            <w:tcW w:w="2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6B1D4C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江苏安智吉电力技术有限公司</w:t>
            </w:r>
          </w:p>
        </w:tc>
      </w:tr>
      <w:tr w14:paraId="7BBE5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602326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1D4ACA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徐航</w:t>
            </w:r>
          </w:p>
        </w:tc>
        <w:tc>
          <w:tcPr>
            <w:tcW w:w="7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AD5F33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23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CAF973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调试人员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C4A02A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9年</w:t>
            </w:r>
          </w:p>
        </w:tc>
        <w:tc>
          <w:tcPr>
            <w:tcW w:w="2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C9CBF5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江苏安智吉电力技术有限公司</w:t>
            </w:r>
          </w:p>
        </w:tc>
      </w:tr>
      <w:tr w14:paraId="15B38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B17A74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  <w:lang w:val="en-US" w:eastAsia="zh-CN"/>
              </w:rPr>
              <w:t>6</w:t>
            </w: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BC8AEF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商连滔</w:t>
            </w:r>
          </w:p>
        </w:tc>
        <w:tc>
          <w:tcPr>
            <w:tcW w:w="7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AEAEB8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27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BAE3B6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调试人员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FD3AF8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1年</w:t>
            </w:r>
          </w:p>
        </w:tc>
        <w:tc>
          <w:tcPr>
            <w:tcW w:w="2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69FEF7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江苏兰克电力技术有限公司</w:t>
            </w:r>
          </w:p>
        </w:tc>
      </w:tr>
      <w:tr w14:paraId="12B43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81C780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  <w:lang w:val="en-US" w:eastAsia="zh-CN"/>
              </w:rPr>
              <w:t>7</w:t>
            </w: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5506C8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吴庭军</w:t>
            </w:r>
          </w:p>
        </w:tc>
        <w:tc>
          <w:tcPr>
            <w:tcW w:w="7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ABC383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37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32C988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调试人员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C893E6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1年</w:t>
            </w:r>
          </w:p>
        </w:tc>
        <w:tc>
          <w:tcPr>
            <w:tcW w:w="2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457D84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江苏兰克电力技术有限公司</w:t>
            </w:r>
          </w:p>
        </w:tc>
      </w:tr>
      <w:tr w14:paraId="0839C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C53D51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  <w:lang w:val="en-US" w:eastAsia="zh-CN"/>
              </w:rPr>
              <w:t>8</w:t>
            </w: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94F588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张明义</w:t>
            </w:r>
          </w:p>
        </w:tc>
        <w:tc>
          <w:tcPr>
            <w:tcW w:w="7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3F9E78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24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6885AB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调试人员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66A573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1年</w:t>
            </w:r>
          </w:p>
        </w:tc>
        <w:tc>
          <w:tcPr>
            <w:tcW w:w="2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E4CD5B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江苏兰克电力技术有限公司</w:t>
            </w:r>
          </w:p>
        </w:tc>
      </w:tr>
      <w:tr w14:paraId="1459A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7B124B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  <w:lang w:val="en-US" w:eastAsia="zh-CN"/>
              </w:rPr>
              <w:t>9</w:t>
            </w: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8EFDDC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陈存贵</w:t>
            </w:r>
          </w:p>
        </w:tc>
        <w:tc>
          <w:tcPr>
            <w:tcW w:w="7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9B0B5F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30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9ED4C6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调试人员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CA979E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2年</w:t>
            </w:r>
          </w:p>
        </w:tc>
        <w:tc>
          <w:tcPr>
            <w:tcW w:w="2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E8C4A1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江苏兰克电力技术有限公司</w:t>
            </w:r>
          </w:p>
        </w:tc>
      </w:tr>
      <w:tr w14:paraId="63367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08F4F9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default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  <w:lang w:val="en-US" w:eastAsia="zh-CN"/>
              </w:rPr>
              <w:t>10</w:t>
            </w: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6B40A3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陈存富</w:t>
            </w:r>
          </w:p>
        </w:tc>
        <w:tc>
          <w:tcPr>
            <w:tcW w:w="7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EAB1EF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34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0827B6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调试人员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401E0D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1年</w:t>
            </w:r>
          </w:p>
        </w:tc>
        <w:tc>
          <w:tcPr>
            <w:tcW w:w="2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85C60F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0" w:beforeAutospacing="0" w:after="0" w:afterAutospacing="0" w:line="360" w:lineRule="auto"/>
              <w:jc w:val="center"/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32"/>
                <w:szCs w:val="32"/>
              </w:rPr>
              <w:t>江苏兰克电力技术有限公司</w:t>
            </w:r>
          </w:p>
        </w:tc>
      </w:tr>
    </w:tbl>
    <w:p w14:paraId="1DD905C9">
      <w:pPr>
        <w:pStyle w:val="9"/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</w:p>
    <w:p w14:paraId="24266ADF">
      <w:pPr>
        <w:pStyle w:val="3"/>
        <w:keepNext w:val="0"/>
        <w:keepLines w:val="0"/>
        <w:widowControl/>
        <w:numPr>
          <w:numId w:val="0"/>
        </w:numPr>
        <w:suppressLineNumbers w:val="0"/>
        <w:tabs>
          <w:tab w:val="left" w:pos="0"/>
        </w:tabs>
        <w:autoSpaceDE w:val="0"/>
        <w:autoSpaceDN/>
        <w:spacing w:before="0" w:beforeAutospacing="0" w:after="0" w:afterAutospacing="0" w:line="360" w:lineRule="auto"/>
        <w:ind w:leftChars="0" w:right="0" w:rightChars="0"/>
        <w:outlineLvl w:val="1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  <w:lang w:val="en-US" w:eastAsia="zh-CN"/>
        </w:rPr>
        <w:t>三、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调试业务交由施工单位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  <w:lang w:val="en-US" w:eastAsia="zh-CN"/>
        </w:rPr>
        <w:t>直接实施的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优势分析</w:t>
      </w:r>
    </w:p>
    <w:p w14:paraId="58AE15B0">
      <w:pPr>
        <w:pStyle w:val="3"/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right="0" w:rightChars="0"/>
        <w:outlineLvl w:val="1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2021年以前，配电终端调试即由施工单位在安装的同时直接完成，该模式具有以下优势：</w:t>
      </w:r>
    </w:p>
    <w:p w14:paraId="3B41A3AF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autoSpaceDE w:val="0"/>
        <w:autoSpaceDN/>
        <w:spacing w:before="0" w:beforeAutospacing="0" w:after="0" w:afterAutospacing="0" w:line="360" w:lineRule="auto"/>
        <w:ind w:left="0" w:firstLine="0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时间进度优势</w:t>
      </w:r>
    </w:p>
    <w:p w14:paraId="5D5D30C5"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right="0" w:rightChars="0" w:firstLine="640" w:firstLineChars="200"/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安装与调试由同一主体一次完成，可实现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“装完即调、调完即验”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，无需等待其他单位再次进场，有效减少安装与调试之间的交接和等待环节。同时，可避免因停电计划调整、现场通信信号异常、厂家配合不到位等因素造成的重复进场，减少车辆往返及人员时间成本，进一步压缩终端投运周期，提高现场作业效率和整体协同水平。</w:t>
      </w:r>
    </w:p>
    <w:p w14:paraId="681CBC34">
      <w:pPr>
        <w:pStyle w:val="4"/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（二）工作计划优势</w:t>
      </w:r>
    </w:p>
    <w:p w14:paraId="0958E3AB">
      <w:pPr>
        <w:pStyle w:val="4"/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firstLine="640" w:firstLineChars="200"/>
        <w:rPr>
          <w:rFonts w:hint="eastAsia" w:ascii="方正仿宋_GB2312" w:hAnsi="方正仿宋_GB2312" w:eastAsia="方正仿宋_GB2312" w:cs="方正仿宋_GB2312"/>
          <w:b w:val="0"/>
          <w:bCs w:val="0"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kern w:val="0"/>
          <w:sz w:val="32"/>
          <w:szCs w:val="32"/>
        </w:rPr>
        <w:t>施工单位对本标段工程进度、停电计划及现场施工安排较为熟悉，可将调试工作直接纳入整体施工计划，实行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统一排产、统一调度</w:t>
      </w:r>
      <w:r>
        <w:rPr>
          <w:rFonts w:hint="eastAsia" w:ascii="方正仿宋_GB2312" w:hAnsi="方正仿宋_GB2312" w:eastAsia="方正仿宋_GB2312" w:cs="方正仿宋_GB2312"/>
          <w:b w:val="0"/>
          <w:bCs w:val="0"/>
          <w:kern w:val="0"/>
          <w:sz w:val="32"/>
          <w:szCs w:val="32"/>
        </w:rPr>
        <w:t>，减少配网部、信通、配电指挥中心、多家甲方单位及各施工单位之间反复协调调试窗口的情况，进一步简化计划协同链条。遇停电计划或现场安排临时调整时，施工单位可结合实际情况及时进行内部统筹和动态调整，提高计划响应速度和现场组织效率。</w:t>
      </w:r>
    </w:p>
    <w:p w14:paraId="7FD8CEDC">
      <w:pPr>
        <w:pStyle w:val="4"/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（三）劳动合同（用工）纠纷优势</w:t>
      </w:r>
    </w:p>
    <w:p w14:paraId="79B89576"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right="0" w:rightChars="0" w:firstLine="640" w:firstLineChars="200"/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调试人员由施工单位自行配置，</w:t>
      </w: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劳动关系及用工主体清晰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>，人员工资、工伤、加班等相关责任均由施工单位统一管理和承担，可有效避免跨单位借用人员、不同协作队伍混合作业造成的用工边界不清问题，进一步明确各方责任界面，降低劳动合同纠纷及相关连带责任风险。</w:t>
      </w:r>
    </w:p>
    <w:p w14:paraId="04A248A1"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right="0" w:rightChars="0" w:firstLine="640" w:firstLineChars="200"/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</w:rPr>
        <w:t xml:space="preserve"> </w:t>
      </w:r>
    </w:p>
    <w:p w14:paraId="79CDA0E4">
      <w:pPr>
        <w:pStyle w:val="3"/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0"/>
          <w:sz w:val="32"/>
          <w:szCs w:val="32"/>
        </w:rPr>
        <w:t>四、综合建议</w:t>
      </w:r>
    </w:p>
    <w:p w14:paraId="5EE771B2"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firstLine="640" w:firstLineChars="200"/>
        <w:jc w:val="left"/>
        <w:rPr>
          <w:rFonts w:hint="eastAsia" w:ascii="方正仿宋_GB2312" w:hAnsi="方正仿宋_GB2312" w:eastAsia="方正仿宋_GB2312" w:cs="方正仿宋_GB2312"/>
          <w:kern w:val="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</w:rPr>
        <w:t>目前调试人员均为全职在岗配置，但整体调试计划排布不够紧凑合理，导致人员频繁往返作业现场、现场无效等待时间过长，造成人力、车辆等核心资源的闲置与浪费。从全链条效率与成本看，建议</w:t>
      </w:r>
      <w:r>
        <w:rPr>
          <w:rFonts w:hint="eastAsia" w:ascii="方正仿宋_GB2312" w:hAnsi="方正仿宋_GB2312" w:eastAsia="方正仿宋_GB2312" w:cs="方正仿宋_GB2312"/>
          <w:b/>
          <w:bCs/>
          <w:kern w:val="2"/>
          <w:sz w:val="32"/>
          <w:szCs w:val="32"/>
        </w:rPr>
        <w:t>调试模式转为施工安装、现场调试一体化作业模式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</w:rPr>
        <w:t>，同一组人现场安装FTU和DTU设备完工即调试，</w:t>
      </w:r>
      <w:r>
        <w:rPr>
          <w:rFonts w:hint="eastAsia" w:ascii="方正仿宋_GB2312" w:hAnsi="方正仿宋_GB2312" w:eastAsia="方正仿宋_GB2312" w:cs="方正仿宋_GB2312"/>
          <w:b w:val="0"/>
          <w:bCs w:val="0"/>
          <w:kern w:val="2"/>
          <w:sz w:val="32"/>
          <w:szCs w:val="32"/>
        </w:rPr>
        <w:t>盐开不再承揽FTU设备和DTU设备调试业务，将业务和人员整体划拨至集团施工类兄弟单位。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</w:rPr>
        <w:t>同时，</w:t>
      </w:r>
      <w:r>
        <w:rPr>
          <w:rFonts w:hint="eastAsia" w:ascii="方正仿宋_GB2312" w:hAnsi="方正仿宋_GB2312" w:eastAsia="方正仿宋_GB2312" w:cs="方正仿宋_GB2312"/>
          <w:b/>
          <w:bCs/>
          <w:kern w:val="2"/>
          <w:sz w:val="32"/>
          <w:szCs w:val="32"/>
        </w:rPr>
        <w:t>恳请集团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</w:rPr>
        <w:t>统筹协调相关单位，加快款项清理结算，营造稳定正向的经营氛围。</w:t>
      </w:r>
    </w:p>
    <w:p w14:paraId="7B80A73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E22344F0-6909-4E65-BEC4-00119DF10888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D2EF3B"/>
    <w:multiLevelType w:val="multilevel"/>
    <w:tmpl w:val="CAD2EF3B"/>
    <w:lvl w:ilvl="0" w:tentative="0">
      <w:start w:val="1"/>
      <w:numFmt w:val="chineseCounting"/>
      <w:suff w:val="nothing"/>
      <w:lvlText w:val="（%1）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1">
    <w:nsid w:val="DF3675D3"/>
    <w:multiLevelType w:val="multilevel"/>
    <w:tmpl w:val="DF3675D3"/>
    <w:lvl w:ilvl="0" w:tentative="0">
      <w:start w:val="1"/>
      <w:numFmt w:val="decimal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">
    <w:nsid w:val="740DFEF5"/>
    <w:multiLevelType w:val="singleLevel"/>
    <w:tmpl w:val="740DFEF5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1A10F0"/>
    <w:rsid w:val="01F85C49"/>
    <w:rsid w:val="2B4C5398"/>
    <w:rsid w:val="4F1A10F0"/>
    <w:rsid w:val="51FA302C"/>
    <w:rsid w:val="53257AA7"/>
    <w:rsid w:val="5E190CDE"/>
    <w:rsid w:val="702C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99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iPriority="99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unhideWhenUsed/>
    <w:uiPriority w:val="99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ind w:left="0" w:right="0"/>
      <w:jc w:val="center"/>
    </w:pPr>
    <w:rPr>
      <w:rFonts w:hint="eastAsia" w:ascii="黑体" w:hAnsi="宋体" w:eastAsia="黑体" w:cs="黑体"/>
      <w:b/>
      <w:bCs/>
      <w:kern w:val="44"/>
      <w:sz w:val="36"/>
      <w:szCs w:val="36"/>
      <w:lang w:val="en-US" w:eastAsia="zh-CN" w:bidi="ar"/>
    </w:rPr>
  </w:style>
  <w:style w:type="paragraph" w:styleId="3">
    <w:name w:val="heading 2"/>
    <w:basedOn w:val="1"/>
    <w:next w:val="1"/>
    <w:qFormat/>
    <w:uiPriority w:val="0"/>
    <w:pPr>
      <w:spacing w:before="400" w:beforeAutospacing="0" w:after="0" w:afterAutospacing="1"/>
      <w:ind w:left="0" w:right="0"/>
      <w:jc w:val="left"/>
    </w:pPr>
    <w:rPr>
      <w:rFonts w:hint="eastAsia" w:ascii="黑体" w:hAnsi="宋体" w:eastAsia="黑体" w:cs="黑体"/>
      <w:b/>
      <w:bCs/>
      <w:kern w:val="0"/>
      <w:sz w:val="30"/>
      <w:szCs w:val="30"/>
      <w:lang w:val="en-US" w:eastAsia="zh-CN" w:bidi="ar"/>
    </w:rPr>
  </w:style>
  <w:style w:type="paragraph" w:styleId="4">
    <w:name w:val="heading 3"/>
    <w:basedOn w:val="1"/>
    <w:next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黑体" w:hAnsi="宋体" w:eastAsia="黑体" w:cs="黑体"/>
      <w:b/>
      <w:bCs/>
      <w:kern w:val="0"/>
      <w:sz w:val="26"/>
      <w:szCs w:val="2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semiHidden/>
    <w:unhideWhenUsed/>
    <w:uiPriority w:val="99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paragraph" w:customStyle="1" w:styleId="8">
    <w:name w:val="meta"/>
    <w:basedOn w:val="1"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kern w:val="0"/>
      <w:sz w:val="22"/>
      <w:szCs w:val="22"/>
      <w:lang w:val="en-US" w:eastAsia="zh-CN" w:bidi="ar"/>
    </w:rPr>
  </w:style>
  <w:style w:type="paragraph" w:customStyle="1" w:styleId="9">
    <w:name w:val="普通(网站) Char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e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3232</Words>
  <Characters>4260</Characters>
  <Lines>0</Lines>
  <Paragraphs>0</Paragraphs>
  <TotalTime>53</TotalTime>
  <ScaleCrop>false</ScaleCrop>
  <LinksUpToDate>false</LinksUpToDate>
  <CharactersWithSpaces>4320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2026-09-23T02:54:00Z</dcterms:created>
  <dc:creator>kid</dc:creator>
  <cp:lastModifiedBy>kid</cp:lastModifiedBy>
  <dcterms:modified xsi:type="dcterms:W3CDTF">2026-10-06T08:45:21Z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9F04531557294042BB0870574DCEDFD6_11</vt:lpwstr>
  </property>
  <property fmtid="{D5CDD505-2E9C-101B-9397-08002B2CF9AE}" pid="4" name="KSOTemplateDocerSaveRecord">
    <vt:lpwstr>eyJoZGlkIjoiN2UwNzM3Y2RkOTlhMjRmZmIyYzk2NTEyNTliYjAyMWYiLCJ1c2VySWQiOiIyOTE0ODA0NDgifQ==</vt:lpwstr>
  </property>
</Properties>
</file>