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AC432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配电终端自动化调试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业务开展</w:t>
      </w: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情况</w:t>
      </w: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汇报</w:t>
      </w:r>
    </w:p>
    <w:p w14:paraId="77E9693D">
      <w:pPr>
        <w:jc w:val="center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盐开电气分公司</w:t>
      </w:r>
    </w:p>
    <w:p w14:paraId="24513BA1">
      <w:pPr>
        <w:jc w:val="center"/>
        <w:rPr>
          <w:rFonts w:hint="eastAsia" w:ascii="宋体" w:hAnsi="宋体" w:eastAsia="宋体"/>
          <w:sz w:val="36"/>
          <w:szCs w:val="40"/>
        </w:rPr>
      </w:pPr>
    </w:p>
    <w:p w14:paraId="6F1AC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自2021年5月起，</w:t>
      </w:r>
      <w:r>
        <w:rPr>
          <w:rFonts w:hint="eastAsia" w:ascii="方正仿宋_GBK" w:hAnsi="方正仿宋_GBK" w:eastAsia="方正仿宋_GBK" w:cs="方正仿宋_GBK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盐开电气分公司（以下简称“盐开”）承接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兄弟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单位华源送变电工程有限公司（以下简称“华源”）配电自动化终端调试业务（以下简称“调试业务”）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。盐开电气分公司并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于2024年和2025年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先后承接该公司代管响水兴源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电力设计院</w:t>
      </w:r>
      <w:r>
        <w:rPr>
          <w:rFonts w:hint="eastAsia" w:ascii="方正仿宋_GBK" w:hAnsi="方正仿宋_GBK" w:eastAsia="方正仿宋_GBK" w:cs="方正仿宋_GBK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（以下简称“兴源”）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、海翔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电气分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公司</w:t>
      </w:r>
      <w:r>
        <w:rPr>
          <w:rFonts w:hint="eastAsia" w:ascii="方正仿宋_GBK" w:hAnsi="方正仿宋_GBK" w:eastAsia="方正仿宋_GBK" w:cs="方正仿宋_GBK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（以下简称“海翔”）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等配电自动化调试工作，至今深耕该项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配套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业务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已满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5年。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5年来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盐开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始终秉持大局意识，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按照江苏怡宁能源实业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集团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有限公司（</w:t>
      </w:r>
      <w:r>
        <w:rPr>
          <w:rFonts w:hint="eastAsia" w:ascii="方正仿宋_GBK" w:hAnsi="方正仿宋_GBK" w:eastAsia="方正仿宋_GBK" w:cs="方正仿宋_GBK"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以下简称“集团”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整体工作部署，无条件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支撑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兄弟单位各项施工、抢修及专项保障工作，全力托举集团配网自动化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整体板块业务有序推进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。</w:t>
      </w:r>
    </w:p>
    <w:p w14:paraId="46E6D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目前，盐开在调试业务方面经营形势严峻，存在结算依据不明确、结算流程滞后、成本开销巨大等突出问题。具体情况如下：</w:t>
      </w:r>
    </w:p>
    <w:p w14:paraId="4A5FC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一、结算依据不明确</w:t>
      </w:r>
    </w:p>
    <w:p w14:paraId="6B23D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（一）工程定额价格</w:t>
      </w:r>
    </w:p>
    <w:p w14:paraId="1824E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根据2022年国家能源局发布的《20kV及以下配电网工程预算定额 第五册 通信及自动化》，1台FTU调试费用测算为1085.91元、1台DTU调试费用测算为1459.58元。（具体测算过程见附录表1）</w:t>
      </w:r>
    </w:p>
    <w:p w14:paraId="4F209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6F90A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28"/>
          <w:szCs w:val="28"/>
          <w:lang w:val="en-US" w:eastAsia="zh-CN"/>
        </w:rPr>
      </w:pPr>
    </w:p>
    <w:p w14:paraId="55E8C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方正仿宋_GBK" w:hAnsi="方正仿宋_GBK" w:eastAsia="方正仿宋_GBK" w:cs="方正仿宋_GBK"/>
          <w:sz w:val="28"/>
          <w:szCs w:val="28"/>
          <w:lang w:val="en-US" w:eastAsia="zh-CN"/>
        </w:rPr>
      </w:pPr>
    </w:p>
    <w:tbl>
      <w:tblPr>
        <w:tblStyle w:val="13"/>
        <w:tblW w:w="885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949"/>
        <w:gridCol w:w="1961"/>
        <w:gridCol w:w="1469"/>
        <w:gridCol w:w="2206"/>
      </w:tblGrid>
      <w:tr w14:paraId="2C452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856" w:type="dxa"/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A2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表1  1台FTU调试费用测算</w:t>
            </w:r>
          </w:p>
        </w:tc>
      </w:tr>
      <w:tr w14:paraId="5DA43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856" w:type="dxa"/>
            <w:gridSpan w:val="5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AF288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9BC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C2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编制依据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8D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定额名称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8F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定额基价（元）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6A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合计（元）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6BA5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滚费后总计（元）</w:t>
            </w:r>
          </w:p>
        </w:tc>
      </w:tr>
      <w:tr w14:paraId="03F9A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5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3FBB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4A8C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D8C32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02D9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B0D941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DF3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35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DA3F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8200B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D297C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A466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348FA7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2566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3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54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PX6-41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E0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配电装置系统调试 配电系统调试 10kV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4D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366.86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EF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534.09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61A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1085.91</w:t>
            </w:r>
          </w:p>
        </w:tc>
      </w:tr>
      <w:tr w14:paraId="32D15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35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3D700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PZ2-37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6F142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配电自动化系统调试 主（子）站与终端联调 线路回路 2以下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FE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167.23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E54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31F678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57C7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left"/>
        <w:textAlignment w:val="auto"/>
        <w:rPr>
          <w:rFonts w:hint="default" w:ascii="方正仿宋_GBK" w:hAnsi="方正仿宋_GBK" w:eastAsia="方正仿宋_GBK" w:cs="方正仿宋_GBK"/>
          <w:sz w:val="28"/>
          <w:szCs w:val="28"/>
          <w:lang w:val="en-US" w:eastAsia="zh-CN"/>
        </w:rPr>
      </w:pPr>
    </w:p>
    <w:tbl>
      <w:tblPr>
        <w:tblStyle w:val="13"/>
        <w:tblW w:w="885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2038"/>
        <w:gridCol w:w="1903"/>
        <w:gridCol w:w="1421"/>
        <w:gridCol w:w="2144"/>
      </w:tblGrid>
      <w:tr w14:paraId="0C16C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56" w:type="dxa"/>
            <w:gridSpan w:val="5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F6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表2  1台DTU调试费用测算</w:t>
            </w:r>
          </w:p>
        </w:tc>
      </w:tr>
      <w:tr w14:paraId="17561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856" w:type="dxa"/>
            <w:gridSpan w:val="5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15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70A9E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4B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编制依据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F3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定额名称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B6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定额基价（元）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2B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合计（元）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5E8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滚费后总计（元）</w:t>
            </w:r>
          </w:p>
        </w:tc>
      </w:tr>
      <w:tr w14:paraId="72887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35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8C3C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13CA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69BD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693F6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B8D038E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32A9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35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5FDAD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6092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18254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09665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BFA6E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4E6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3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B0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PZ2-38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49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配电自动化系统调试 主（子）站与终端联调 线路回路 6以下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4F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202.41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CE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699.7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5E427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1459.58</w:t>
            </w:r>
          </w:p>
        </w:tc>
      </w:tr>
      <w:tr w14:paraId="5A69F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35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1B8D5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PZ2-2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7E11A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配电自动化设备 配电自动化终端装置安装调测 站所终端（DTU） 线路回数 6以内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5E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497.29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61EF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00"/>
            <w:noWrap/>
            <w:vAlign w:val="center"/>
          </w:tcPr>
          <w:p w14:paraId="24B19B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A5B4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目前，华源签报中约定1台FTU调试费用为358.14元、1台DTU调试费用为484.01元，仅为权威机构发布价格的32.98%、33.16%，即仅为定额结算价格三分之一左右。</w:t>
      </w:r>
    </w:p>
    <w:p w14:paraId="3F410E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结算流程滞后</w:t>
      </w:r>
    </w:p>
    <w:p w14:paraId="071BA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目前，盐开仅与兴源结算2024年调试费用17.318674万元，结算流程因盐开与华源等单位结算依据分歧而无法推进。具体情况如下：</w:t>
      </w:r>
    </w:p>
    <w:p w14:paraId="60100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截至2025年底，盐开已完成亭湖、开发区、盐都、三新等市域范围内2530台FTU、965台DTU的调试、验收工作，全过程紧密配合华源、海翔等兄弟单位施工部署、工程攻坚及应急抢修工作，精准匹配项目建设节奏，有效保障了区域配网自动化建设项目按期落地、顺利投运。</w:t>
      </w:r>
    </w:p>
    <w:p w14:paraId="15B8210E">
      <w:pPr>
        <w:keepNext w:val="0"/>
        <w:keepLines w:val="0"/>
        <w:widowControl/>
        <w:suppressLineNumbers w:val="0"/>
        <w:jc w:val="center"/>
        <w:textAlignment w:val="center"/>
        <w:rPr>
          <w:rFonts w:hint="default" w:ascii="黑体" w:hAnsi="黑体" w:eastAsia="黑体" w:cs="黑体"/>
          <w:b/>
          <w:bCs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kern w:val="0"/>
          <w:sz w:val="32"/>
          <w:szCs w:val="32"/>
          <w:u w:val="none"/>
          <w:lang w:val="en-US" w:eastAsia="zh-CN" w:bidi="ar"/>
        </w:rPr>
        <w:t>表3 分年度调试完成情况</w:t>
      </w:r>
    </w:p>
    <w:tbl>
      <w:tblPr>
        <w:tblStyle w:val="13"/>
        <w:tblW w:w="5000" w:type="pct"/>
        <w:tblInd w:w="-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3"/>
        <w:gridCol w:w="2684"/>
        <w:gridCol w:w="2319"/>
      </w:tblGrid>
      <w:tr w14:paraId="24EDB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FF9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</w:rPr>
              <w:t>年份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726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</w:rPr>
              <w:t>FTU（台）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745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1"/>
                <w:szCs w:val="21"/>
              </w:rPr>
              <w:t>DTU（台）</w:t>
            </w:r>
          </w:p>
        </w:tc>
      </w:tr>
      <w:tr w14:paraId="52BE0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B49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2021年（5</w:t>
            </w: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  <w:lang w:eastAsia="zh-CN"/>
              </w:rPr>
              <w:t>—</w:t>
            </w: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12月）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24D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150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97C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35</w:t>
            </w:r>
          </w:p>
        </w:tc>
      </w:tr>
      <w:tr w14:paraId="10BA9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5D3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2022年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F6F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252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FFC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54</w:t>
            </w:r>
          </w:p>
        </w:tc>
      </w:tr>
      <w:tr w14:paraId="33467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185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2023年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057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336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077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134</w:t>
            </w:r>
          </w:p>
        </w:tc>
      </w:tr>
      <w:tr w14:paraId="1C315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794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2024年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9F7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625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D5A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184</w:t>
            </w:r>
          </w:p>
        </w:tc>
      </w:tr>
      <w:tr w14:paraId="2140D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4E4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2025年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A71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1167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C77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  <w:t>558</w:t>
            </w:r>
          </w:p>
        </w:tc>
      </w:tr>
      <w:tr w14:paraId="225D4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955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21"/>
                <w:szCs w:val="21"/>
              </w:rPr>
              <w:t>合计</w:t>
            </w:r>
          </w:p>
        </w:tc>
        <w:tc>
          <w:tcPr>
            <w:tcW w:w="1570" w:type="pc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6DB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21"/>
                <w:szCs w:val="21"/>
              </w:rPr>
              <w:t>2530</w:t>
            </w:r>
          </w:p>
        </w:tc>
        <w:tc>
          <w:tcPr>
            <w:tcW w:w="0" w:type="auto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843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line="360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21"/>
                <w:szCs w:val="21"/>
              </w:rPr>
              <w:t>965</w:t>
            </w:r>
          </w:p>
        </w:tc>
      </w:tr>
    </w:tbl>
    <w:p w14:paraId="19489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按照华源签报价、定额价50%、定额价70%，分别计算出年度收入，根据下游要求支出2021年—2025年分别为30.6万元、68.3550万元、77.854万元、100.647万元和1033.93万元。（详细过程见附录表2）具体收支统计如下表所示。</w:t>
      </w:r>
    </w:p>
    <w:p w14:paraId="501C5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06EE0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6FA6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16A63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3C07F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0B8BF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0A646228">
      <w:pPr>
        <w:keepNext/>
        <w:spacing w:after="120"/>
        <w:jc w:val="center"/>
        <w:rPr>
          <w:rFonts w:hint="eastAsia" w:eastAsiaTheme="minorEastAsia"/>
          <w:lang w:val="en-US" w:eastAsia="zh-CN"/>
        </w:rPr>
      </w:pPr>
      <w:r>
        <w:rPr>
          <w:b/>
          <w:color w:val="000000"/>
          <w:sz w:val="22"/>
        </w:rPr>
        <w:t>表</w:t>
      </w:r>
      <w:r>
        <w:rPr>
          <w:rFonts w:hint="eastAsia"/>
          <w:b/>
          <w:color w:val="000000"/>
          <w:sz w:val="22"/>
          <w:lang w:val="en-US" w:eastAsia="zh-CN"/>
        </w:rPr>
        <w:t>4</w:t>
      </w:r>
      <w:r>
        <w:rPr>
          <w:b/>
          <w:color w:val="000000"/>
          <w:sz w:val="22"/>
        </w:rPr>
        <w:t xml:space="preserve">  2021—2025年自动化调试</w:t>
      </w:r>
      <w:r>
        <w:rPr>
          <w:rFonts w:hint="eastAsia"/>
          <w:b/>
          <w:color w:val="000000"/>
          <w:sz w:val="22"/>
          <w:lang w:val="en-US" w:eastAsia="zh-CN"/>
        </w:rPr>
        <w:t>专业</w:t>
      </w:r>
      <w:r>
        <w:rPr>
          <w:b/>
          <w:color w:val="000000"/>
          <w:sz w:val="22"/>
        </w:rPr>
        <w:t>收支</w:t>
      </w:r>
      <w:r>
        <w:rPr>
          <w:rFonts w:hint="eastAsia"/>
          <w:b/>
          <w:color w:val="000000"/>
          <w:sz w:val="22"/>
          <w:lang w:val="en-US" w:eastAsia="zh-CN"/>
        </w:rPr>
        <w:t>统计表</w:t>
      </w:r>
    </w:p>
    <w:p w14:paraId="54CA393D">
      <w:pPr>
        <w:spacing w:after="120"/>
        <w:jc w:val="center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 w:val="0"/>
          <w:color w:val="000000"/>
          <w:sz w:val="18"/>
        </w:rPr>
        <w:t>单位：元。单元格“收入 / 盈亏”沿用原表口径；2021年为5—12月。</w:t>
      </w:r>
    </w:p>
    <w:tbl>
      <w:tblPr>
        <w:tblStyle w:val="13"/>
        <w:tblW w:w="81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5"/>
        <w:gridCol w:w="1560"/>
        <w:gridCol w:w="1650"/>
        <w:gridCol w:w="1740"/>
        <w:gridCol w:w="1980"/>
      </w:tblGrid>
      <w:tr w14:paraId="3137F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1255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899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年份</w:t>
            </w:r>
          </w:p>
        </w:tc>
        <w:tc>
          <w:tcPr>
            <w:tcW w:w="156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F0E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下游支出</w:t>
            </w:r>
          </w:p>
        </w:tc>
        <w:tc>
          <w:tcPr>
            <w:tcW w:w="165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337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华源签报价</w:t>
            </w: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收入 / 盈亏</w:t>
            </w:r>
          </w:p>
        </w:tc>
        <w:tc>
          <w:tcPr>
            <w:tcW w:w="174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AF16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  <w:lang w:val="en-US" w:eastAsia="zh-CN"/>
              </w:rPr>
              <w:t>定额</w:t>
            </w: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价50%</w:t>
            </w: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收入 / 盈亏</w:t>
            </w:r>
          </w:p>
        </w:tc>
        <w:tc>
          <w:tcPr>
            <w:tcW w:w="198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AD6A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  <w:lang w:val="en-US" w:eastAsia="zh-CN"/>
              </w:rPr>
              <w:t>定额</w:t>
            </w: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价70%</w:t>
            </w: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收入 / 盈亏</w:t>
            </w:r>
          </w:p>
        </w:tc>
      </w:tr>
      <w:tr w14:paraId="4E819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255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F92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2021（5-12月）</w:t>
            </w:r>
          </w:p>
        </w:tc>
        <w:tc>
          <w:tcPr>
            <w:tcW w:w="156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5B1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300,600</w:t>
            </w:r>
          </w:p>
        </w:tc>
        <w:tc>
          <w:tcPr>
            <w:tcW w:w="165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892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70,661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-229,939</w:t>
            </w:r>
          </w:p>
        </w:tc>
        <w:tc>
          <w:tcPr>
            <w:tcW w:w="174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DFB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106,986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-193,614</w:t>
            </w:r>
          </w:p>
        </w:tc>
        <w:tc>
          <w:tcPr>
            <w:tcW w:w="198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655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149,780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-150,820</w:t>
            </w:r>
          </w:p>
        </w:tc>
      </w:tr>
      <w:tr w14:paraId="59B89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255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591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2022</w:t>
            </w:r>
          </w:p>
        </w:tc>
        <w:tc>
          <w:tcPr>
            <w:tcW w:w="156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76FB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683,550</w:t>
            </w:r>
          </w:p>
        </w:tc>
        <w:tc>
          <w:tcPr>
            <w:tcW w:w="165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92E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116,388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-567,162</w:t>
            </w:r>
          </w:p>
        </w:tc>
        <w:tc>
          <w:tcPr>
            <w:tcW w:w="174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3492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176,233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-507,317</w:t>
            </w:r>
          </w:p>
        </w:tc>
        <w:tc>
          <w:tcPr>
            <w:tcW w:w="198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81A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246,727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-436,823</w:t>
            </w:r>
          </w:p>
        </w:tc>
      </w:tr>
      <w:tr w14:paraId="7D1C8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255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744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2023</w:t>
            </w:r>
          </w:p>
        </w:tc>
        <w:tc>
          <w:tcPr>
            <w:tcW w:w="156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4F1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778,540</w:t>
            </w:r>
          </w:p>
        </w:tc>
        <w:tc>
          <w:tcPr>
            <w:tcW w:w="165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50E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185,192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-593,348</w:t>
            </w:r>
          </w:p>
        </w:tc>
        <w:tc>
          <w:tcPr>
            <w:tcW w:w="174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42A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280,225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-498,315</w:t>
            </w:r>
          </w:p>
        </w:tc>
        <w:tc>
          <w:tcPr>
            <w:tcW w:w="198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EA50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392,315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-386,225</w:t>
            </w:r>
          </w:p>
        </w:tc>
      </w:tr>
      <w:tr w14:paraId="70EDD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255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F5A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2024</w:t>
            </w:r>
          </w:p>
        </w:tc>
        <w:tc>
          <w:tcPr>
            <w:tcW w:w="156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B42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1,006,470</w:t>
            </w:r>
          </w:p>
        </w:tc>
        <w:tc>
          <w:tcPr>
            <w:tcW w:w="165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0875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312,895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-693,575</w:t>
            </w:r>
          </w:p>
        </w:tc>
        <w:tc>
          <w:tcPr>
            <w:tcW w:w="174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CC5C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384,456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-622,014</w:t>
            </w:r>
          </w:p>
        </w:tc>
        <w:tc>
          <w:tcPr>
            <w:tcW w:w="198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C2C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468,964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-537,506</w:t>
            </w:r>
          </w:p>
        </w:tc>
      </w:tr>
      <w:tr w14:paraId="6302B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255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28E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2025</w:t>
            </w:r>
          </w:p>
        </w:tc>
        <w:tc>
          <w:tcPr>
            <w:tcW w:w="156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3DA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>1,033,930</w:t>
            </w:r>
          </w:p>
        </w:tc>
        <w:tc>
          <w:tcPr>
            <w:tcW w:w="165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1307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688,027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-345,903</w:t>
            </w:r>
          </w:p>
        </w:tc>
        <w:tc>
          <w:tcPr>
            <w:tcW w:w="174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657F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1,040,851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+6,921</w:t>
            </w:r>
          </w:p>
        </w:tc>
        <w:tc>
          <w:tcPr>
            <w:tcW w:w="198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DFB9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 w:val="0"/>
                <w:kern w:val="0"/>
                <w:sz w:val="18"/>
                <w:szCs w:val="18"/>
              </w:rPr>
              <w:t xml:space="preserve">1,457,192 / </w:t>
            </w:r>
            <w:r>
              <w:rPr>
                <w:rFonts w:hint="eastAsia" w:ascii="宋体" w:hAnsi="宋体" w:eastAsia="宋体" w:cs="方正仿宋_GB2312"/>
                <w:b w:val="0"/>
                <w:bCs/>
                <w:kern w:val="0"/>
                <w:sz w:val="18"/>
                <w:szCs w:val="18"/>
              </w:rPr>
              <w:t>+423,262</w:t>
            </w:r>
          </w:p>
        </w:tc>
      </w:tr>
      <w:tr w14:paraId="3AF96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255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96AD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五年累计盈亏</w:t>
            </w:r>
          </w:p>
        </w:tc>
        <w:tc>
          <w:tcPr>
            <w:tcW w:w="156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2574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3,803,090</w:t>
            </w:r>
          </w:p>
        </w:tc>
        <w:tc>
          <w:tcPr>
            <w:tcW w:w="165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051E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-2,429,926</w:t>
            </w:r>
          </w:p>
        </w:tc>
        <w:tc>
          <w:tcPr>
            <w:tcW w:w="174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2823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-1,814,339</w:t>
            </w:r>
          </w:p>
        </w:tc>
        <w:tc>
          <w:tcPr>
            <w:tcW w:w="1980" w:type="dxa"/>
            <w:tcBorders>
              <w:top w:val="single" w:color="B8C1CA" w:sz="4" w:space="0"/>
              <w:left w:val="single" w:color="B8C1CA" w:sz="4" w:space="0"/>
              <w:bottom w:val="single" w:color="B8C1CA" w:sz="4" w:space="0"/>
              <w:right w:val="single" w:color="B8C1CA" w:sz="4" w:space="0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2918">
            <w:pPr>
              <w:keepNext w:val="0"/>
              <w:keepLines w:val="0"/>
              <w:widowControl/>
              <w:suppressLineNumbers w:val="0"/>
              <w:autoSpaceDE w:val="0"/>
              <w:autoSpaceDN/>
              <w:spacing w:before="120" w:after="120" w:line="264" w:lineRule="auto"/>
              <w:jc w:val="center"/>
              <w:rPr>
                <w:rFonts w:hint="eastAsia" w:ascii="方正仿宋_GB2312" w:hAnsi="方正仿宋_GB2312" w:eastAsia="方正仿宋_GB2312" w:cs="方正仿宋_GB2312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方正仿宋_GB2312"/>
                <w:b/>
                <w:bCs/>
                <w:kern w:val="0"/>
                <w:sz w:val="18"/>
                <w:szCs w:val="18"/>
              </w:rPr>
              <w:t>-1,088,113</w:t>
            </w:r>
          </w:p>
        </w:tc>
      </w:tr>
    </w:tbl>
    <w:p w14:paraId="1448BC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</w:p>
    <w:p w14:paraId="61B8F3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3" w:firstLineChars="200"/>
        <w:textAlignment w:val="auto"/>
        <w:outlineLvl w:val="2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  <w:t>（一）按华源签报价格：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五年累计</w:t>
      </w: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  <w:t>亏损242.99万元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，且各年份全部亏损，收入远不能覆盖支出，该价格口径严重偏离实际成本。</w:t>
      </w:r>
    </w:p>
    <w:p w14:paraId="4BF624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560" w:lineRule="exact"/>
        <w:ind w:right="0" w:rightChars="0" w:firstLine="643" w:firstLineChars="200"/>
        <w:textAlignment w:val="auto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  <w:t>（二）按定额价50%结算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：五年累计</w:t>
      </w: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  <w:t>亏损181.43万元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，仅2025年在业务量大幅上升后勉强持平（+0.69万元）。</w:t>
      </w:r>
    </w:p>
    <w:p w14:paraId="5F9F9D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560" w:lineRule="exact"/>
        <w:ind w:right="0" w:rightChars="0" w:firstLine="643" w:firstLineChars="200"/>
        <w:textAlignment w:val="auto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  <w:t>（三）按定额价70%结算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：五年累计</w:t>
      </w: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  <w:t>亏损108.81万元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，其中2025年盈利42.33万元，但前四年亏损仍无法弥补。</w:t>
      </w:r>
    </w:p>
    <w:p w14:paraId="6B28A028">
      <w:pPr>
        <w:pStyle w:val="3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  <w:t>结论：无论何种结算口径，盐开调试业务五年整体均为亏损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。</w:t>
      </w:r>
    </w:p>
    <w:p w14:paraId="486A7E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成本支出巨大</w:t>
      </w:r>
    </w:p>
    <w:p w14:paraId="71F11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2026年，面对逐年提档的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配网自动化技术标准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与持续激增的业务体量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盐开补强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作业力量，将原有1组2人的作业团队扩充至5组标准化作业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团队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，同步配齐调试设备、UKEY、作业车辆等配套物资，月调试能力从初期10台提升至峰值250余台，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每年支出总成本约84.4万元（不含2人名金力员工与1辆自有车辆）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。</w:t>
      </w:r>
    </w:p>
    <w:p w14:paraId="5C2A6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车辆总计成本10万元，人员成本情况如下：</w:t>
      </w:r>
    </w:p>
    <w:p w14:paraId="101FA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江苏兰克电力技术有限公司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人员总包9万每年，6人累计54万元。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江苏安智吉电力技术有限公司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人员每年总包为10.8万元和9.6万元。协作单位人员每年工资累计为74.4万元。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"/>
        <w:gridCol w:w="1320"/>
        <w:gridCol w:w="795"/>
        <w:gridCol w:w="1440"/>
        <w:gridCol w:w="990"/>
        <w:gridCol w:w="2700"/>
      </w:tblGrid>
      <w:tr w14:paraId="4D0A1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3C81E3B6">
            <w:pPr>
              <w:rPr>
                <w:rFonts w:hint="eastAsia" w:ascii="黑体" w:hAnsi="黑体" w:eastAsia="黑体" w:cs="黑体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序号</w:t>
            </w:r>
          </w:p>
        </w:tc>
        <w:tc>
          <w:tcPr>
            <w:tcW w:w="1320" w:type="dxa"/>
          </w:tcPr>
          <w:p w14:paraId="03A05990">
            <w:pPr>
              <w:rPr>
                <w:rFonts w:hint="eastAsia" w:ascii="黑体" w:hAnsi="黑体" w:eastAsia="黑体" w:cs="黑体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姓名</w:t>
            </w:r>
          </w:p>
        </w:tc>
        <w:tc>
          <w:tcPr>
            <w:tcW w:w="795" w:type="dxa"/>
          </w:tcPr>
          <w:p w14:paraId="67196342">
            <w:pPr>
              <w:rPr>
                <w:rFonts w:hint="eastAsia" w:ascii="黑体" w:hAnsi="黑体" w:eastAsia="黑体" w:cs="黑体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年龄</w:t>
            </w:r>
          </w:p>
        </w:tc>
        <w:tc>
          <w:tcPr>
            <w:tcW w:w="1440" w:type="dxa"/>
          </w:tcPr>
          <w:p w14:paraId="62BE4094">
            <w:pPr>
              <w:rPr>
                <w:rFonts w:hint="eastAsia" w:ascii="黑体" w:hAnsi="黑体" w:eastAsia="黑体" w:cs="黑体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角色</w:t>
            </w:r>
          </w:p>
        </w:tc>
        <w:tc>
          <w:tcPr>
            <w:tcW w:w="990" w:type="dxa"/>
          </w:tcPr>
          <w:p w14:paraId="49C97063">
            <w:pPr>
              <w:rPr>
                <w:rFonts w:hint="eastAsia" w:ascii="黑体" w:hAnsi="黑体" w:eastAsia="黑体" w:cs="黑体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年限</w:t>
            </w:r>
          </w:p>
        </w:tc>
        <w:tc>
          <w:tcPr>
            <w:tcW w:w="2700" w:type="dxa"/>
          </w:tcPr>
          <w:p w14:paraId="514D80FA">
            <w:pPr>
              <w:rPr>
                <w:rFonts w:hint="eastAsia" w:ascii="黑体" w:hAnsi="黑体" w:eastAsia="黑体" w:cs="黑体"/>
                <w:sz w:val="28"/>
                <w:szCs w:val="28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单位</w:t>
            </w:r>
          </w:p>
        </w:tc>
      </w:tr>
      <w:tr w14:paraId="2A97A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0ABA7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1</w:t>
            </w:r>
          </w:p>
        </w:tc>
        <w:tc>
          <w:tcPr>
            <w:tcW w:w="1320" w:type="dxa"/>
          </w:tcPr>
          <w:p w14:paraId="563C3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顾坚</w:t>
            </w:r>
          </w:p>
        </w:tc>
        <w:tc>
          <w:tcPr>
            <w:tcW w:w="795" w:type="dxa"/>
          </w:tcPr>
          <w:p w14:paraId="240D7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49</w:t>
            </w:r>
          </w:p>
        </w:tc>
        <w:tc>
          <w:tcPr>
            <w:tcW w:w="1440" w:type="dxa"/>
          </w:tcPr>
          <w:p w14:paraId="58180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调试人员</w:t>
            </w:r>
          </w:p>
        </w:tc>
        <w:tc>
          <w:tcPr>
            <w:tcW w:w="990" w:type="dxa"/>
          </w:tcPr>
          <w:p w14:paraId="01F35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5年</w:t>
            </w:r>
          </w:p>
        </w:tc>
        <w:tc>
          <w:tcPr>
            <w:tcW w:w="2700" w:type="dxa"/>
          </w:tcPr>
          <w:p w14:paraId="51131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盐城市金力外包服务有限公司</w:t>
            </w:r>
          </w:p>
        </w:tc>
      </w:tr>
      <w:tr w14:paraId="517F7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5C6E4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2</w:t>
            </w:r>
          </w:p>
        </w:tc>
        <w:tc>
          <w:tcPr>
            <w:tcW w:w="1320" w:type="dxa"/>
          </w:tcPr>
          <w:p w14:paraId="1CF03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孙厚民</w:t>
            </w:r>
          </w:p>
        </w:tc>
        <w:tc>
          <w:tcPr>
            <w:tcW w:w="795" w:type="dxa"/>
          </w:tcPr>
          <w:p w14:paraId="6DA80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30</w:t>
            </w:r>
          </w:p>
        </w:tc>
        <w:tc>
          <w:tcPr>
            <w:tcW w:w="1440" w:type="dxa"/>
          </w:tcPr>
          <w:p w14:paraId="0169A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调试人员</w:t>
            </w:r>
          </w:p>
        </w:tc>
        <w:tc>
          <w:tcPr>
            <w:tcW w:w="990" w:type="dxa"/>
          </w:tcPr>
          <w:p w14:paraId="0FF4C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9年</w:t>
            </w:r>
          </w:p>
        </w:tc>
        <w:tc>
          <w:tcPr>
            <w:tcW w:w="2700" w:type="dxa"/>
          </w:tcPr>
          <w:p w14:paraId="0A8E1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江苏安智吉电力技术有限公司</w:t>
            </w:r>
          </w:p>
        </w:tc>
      </w:tr>
      <w:tr w14:paraId="0959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1ACEB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3</w:t>
            </w:r>
          </w:p>
        </w:tc>
        <w:tc>
          <w:tcPr>
            <w:tcW w:w="1320" w:type="dxa"/>
          </w:tcPr>
          <w:p w14:paraId="442AD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卫勇</w:t>
            </w:r>
          </w:p>
        </w:tc>
        <w:tc>
          <w:tcPr>
            <w:tcW w:w="795" w:type="dxa"/>
          </w:tcPr>
          <w:p w14:paraId="68C7B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37</w:t>
            </w:r>
          </w:p>
        </w:tc>
        <w:tc>
          <w:tcPr>
            <w:tcW w:w="1440" w:type="dxa"/>
          </w:tcPr>
          <w:p w14:paraId="17842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调试人员</w:t>
            </w:r>
          </w:p>
        </w:tc>
        <w:tc>
          <w:tcPr>
            <w:tcW w:w="990" w:type="dxa"/>
          </w:tcPr>
          <w:p w14:paraId="2A73F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9年</w:t>
            </w:r>
          </w:p>
        </w:tc>
        <w:tc>
          <w:tcPr>
            <w:tcW w:w="2700" w:type="dxa"/>
          </w:tcPr>
          <w:p w14:paraId="2A206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江苏安智吉电力技术有限公司</w:t>
            </w:r>
          </w:p>
        </w:tc>
      </w:tr>
      <w:tr w14:paraId="74CE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58386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4</w:t>
            </w:r>
          </w:p>
        </w:tc>
        <w:tc>
          <w:tcPr>
            <w:tcW w:w="1320" w:type="dxa"/>
          </w:tcPr>
          <w:p w14:paraId="5C084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徐航</w:t>
            </w:r>
          </w:p>
        </w:tc>
        <w:tc>
          <w:tcPr>
            <w:tcW w:w="795" w:type="dxa"/>
          </w:tcPr>
          <w:p w14:paraId="74457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23</w:t>
            </w:r>
          </w:p>
        </w:tc>
        <w:tc>
          <w:tcPr>
            <w:tcW w:w="1440" w:type="dxa"/>
          </w:tcPr>
          <w:p w14:paraId="09B30F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调试人员</w:t>
            </w:r>
          </w:p>
        </w:tc>
        <w:tc>
          <w:tcPr>
            <w:tcW w:w="990" w:type="dxa"/>
          </w:tcPr>
          <w:p w14:paraId="7DD1E8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9年</w:t>
            </w:r>
          </w:p>
        </w:tc>
        <w:tc>
          <w:tcPr>
            <w:tcW w:w="2700" w:type="dxa"/>
          </w:tcPr>
          <w:p w14:paraId="45DB1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江苏安智吉电力技术有限公司</w:t>
            </w:r>
          </w:p>
        </w:tc>
      </w:tr>
      <w:tr w14:paraId="75ED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5ACA6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5</w:t>
            </w:r>
          </w:p>
        </w:tc>
        <w:tc>
          <w:tcPr>
            <w:tcW w:w="1320" w:type="dxa"/>
          </w:tcPr>
          <w:p w14:paraId="400AD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商连滔</w:t>
            </w:r>
          </w:p>
        </w:tc>
        <w:tc>
          <w:tcPr>
            <w:tcW w:w="795" w:type="dxa"/>
          </w:tcPr>
          <w:p w14:paraId="055EB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27</w:t>
            </w:r>
          </w:p>
        </w:tc>
        <w:tc>
          <w:tcPr>
            <w:tcW w:w="1440" w:type="dxa"/>
          </w:tcPr>
          <w:p w14:paraId="5DBF4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调试人员</w:t>
            </w:r>
          </w:p>
        </w:tc>
        <w:tc>
          <w:tcPr>
            <w:tcW w:w="990" w:type="dxa"/>
          </w:tcPr>
          <w:p w14:paraId="01099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1年</w:t>
            </w:r>
          </w:p>
        </w:tc>
        <w:tc>
          <w:tcPr>
            <w:tcW w:w="2700" w:type="dxa"/>
          </w:tcPr>
          <w:p w14:paraId="28E80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江苏兰克电力技术有限公司</w:t>
            </w:r>
          </w:p>
        </w:tc>
      </w:tr>
      <w:tr w14:paraId="04A7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205F4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6</w:t>
            </w:r>
          </w:p>
        </w:tc>
        <w:tc>
          <w:tcPr>
            <w:tcW w:w="1320" w:type="dxa"/>
          </w:tcPr>
          <w:p w14:paraId="2D071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吴庭军</w:t>
            </w:r>
          </w:p>
        </w:tc>
        <w:tc>
          <w:tcPr>
            <w:tcW w:w="795" w:type="dxa"/>
          </w:tcPr>
          <w:p w14:paraId="75F15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37</w:t>
            </w:r>
          </w:p>
        </w:tc>
        <w:tc>
          <w:tcPr>
            <w:tcW w:w="1440" w:type="dxa"/>
          </w:tcPr>
          <w:p w14:paraId="0470B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调试人员</w:t>
            </w:r>
          </w:p>
        </w:tc>
        <w:tc>
          <w:tcPr>
            <w:tcW w:w="990" w:type="dxa"/>
          </w:tcPr>
          <w:p w14:paraId="5B659D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1年</w:t>
            </w:r>
          </w:p>
        </w:tc>
        <w:tc>
          <w:tcPr>
            <w:tcW w:w="2700" w:type="dxa"/>
          </w:tcPr>
          <w:p w14:paraId="3ADEE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江苏兰克电力技术有限公司</w:t>
            </w:r>
          </w:p>
        </w:tc>
      </w:tr>
      <w:tr w14:paraId="1805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75672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7</w:t>
            </w:r>
          </w:p>
        </w:tc>
        <w:tc>
          <w:tcPr>
            <w:tcW w:w="1320" w:type="dxa"/>
          </w:tcPr>
          <w:p w14:paraId="3B6DF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张明义</w:t>
            </w:r>
          </w:p>
        </w:tc>
        <w:tc>
          <w:tcPr>
            <w:tcW w:w="795" w:type="dxa"/>
          </w:tcPr>
          <w:p w14:paraId="0CE09C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24</w:t>
            </w:r>
          </w:p>
        </w:tc>
        <w:tc>
          <w:tcPr>
            <w:tcW w:w="1440" w:type="dxa"/>
          </w:tcPr>
          <w:p w14:paraId="3DF26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调试人员</w:t>
            </w:r>
          </w:p>
        </w:tc>
        <w:tc>
          <w:tcPr>
            <w:tcW w:w="990" w:type="dxa"/>
          </w:tcPr>
          <w:p w14:paraId="3A8DA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1年</w:t>
            </w:r>
          </w:p>
        </w:tc>
        <w:tc>
          <w:tcPr>
            <w:tcW w:w="2700" w:type="dxa"/>
          </w:tcPr>
          <w:p w14:paraId="3887A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江苏兰克电力技术有限公司</w:t>
            </w:r>
          </w:p>
        </w:tc>
      </w:tr>
      <w:tr w14:paraId="6AEBC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2D905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8</w:t>
            </w:r>
          </w:p>
        </w:tc>
        <w:tc>
          <w:tcPr>
            <w:tcW w:w="1320" w:type="dxa"/>
          </w:tcPr>
          <w:p w14:paraId="6B40F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陈存贵</w:t>
            </w:r>
          </w:p>
        </w:tc>
        <w:tc>
          <w:tcPr>
            <w:tcW w:w="795" w:type="dxa"/>
          </w:tcPr>
          <w:p w14:paraId="0EB4E1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30</w:t>
            </w:r>
          </w:p>
        </w:tc>
        <w:tc>
          <w:tcPr>
            <w:tcW w:w="1440" w:type="dxa"/>
          </w:tcPr>
          <w:p w14:paraId="3F942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调试人员</w:t>
            </w:r>
          </w:p>
        </w:tc>
        <w:tc>
          <w:tcPr>
            <w:tcW w:w="990" w:type="dxa"/>
          </w:tcPr>
          <w:p w14:paraId="71A40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2年</w:t>
            </w:r>
          </w:p>
        </w:tc>
        <w:tc>
          <w:tcPr>
            <w:tcW w:w="2700" w:type="dxa"/>
          </w:tcPr>
          <w:p w14:paraId="7694B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江苏兰克电力技术有限公司</w:t>
            </w:r>
          </w:p>
        </w:tc>
      </w:tr>
      <w:tr w14:paraId="0C92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69B2E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9</w:t>
            </w:r>
          </w:p>
        </w:tc>
        <w:tc>
          <w:tcPr>
            <w:tcW w:w="1320" w:type="dxa"/>
          </w:tcPr>
          <w:p w14:paraId="619D7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陈存富</w:t>
            </w:r>
          </w:p>
        </w:tc>
        <w:tc>
          <w:tcPr>
            <w:tcW w:w="795" w:type="dxa"/>
          </w:tcPr>
          <w:p w14:paraId="0A0AB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34</w:t>
            </w:r>
          </w:p>
        </w:tc>
        <w:tc>
          <w:tcPr>
            <w:tcW w:w="1440" w:type="dxa"/>
          </w:tcPr>
          <w:p w14:paraId="0D917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调试人员</w:t>
            </w:r>
          </w:p>
        </w:tc>
        <w:tc>
          <w:tcPr>
            <w:tcW w:w="990" w:type="dxa"/>
          </w:tcPr>
          <w:p w14:paraId="4A998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1年</w:t>
            </w:r>
          </w:p>
        </w:tc>
        <w:tc>
          <w:tcPr>
            <w:tcW w:w="2700" w:type="dxa"/>
          </w:tcPr>
          <w:p w14:paraId="4932A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江苏兰克电力技术有限公司</w:t>
            </w:r>
          </w:p>
        </w:tc>
      </w:tr>
      <w:tr w14:paraId="7718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8" w:type="dxa"/>
          </w:tcPr>
          <w:p w14:paraId="6F3D3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10</w:t>
            </w:r>
          </w:p>
        </w:tc>
        <w:tc>
          <w:tcPr>
            <w:tcW w:w="1320" w:type="dxa"/>
          </w:tcPr>
          <w:p w14:paraId="4C440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孙红燕</w:t>
            </w:r>
          </w:p>
        </w:tc>
        <w:tc>
          <w:tcPr>
            <w:tcW w:w="795" w:type="dxa"/>
          </w:tcPr>
          <w:p w14:paraId="622BE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47</w:t>
            </w:r>
          </w:p>
        </w:tc>
        <w:tc>
          <w:tcPr>
            <w:tcW w:w="1440" w:type="dxa"/>
          </w:tcPr>
          <w:p w14:paraId="0848C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资料员</w:t>
            </w:r>
          </w:p>
        </w:tc>
        <w:tc>
          <w:tcPr>
            <w:tcW w:w="990" w:type="dxa"/>
          </w:tcPr>
          <w:p w14:paraId="739D7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1.5年</w:t>
            </w:r>
          </w:p>
        </w:tc>
        <w:tc>
          <w:tcPr>
            <w:tcW w:w="2700" w:type="dxa"/>
          </w:tcPr>
          <w:p w14:paraId="4CF60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方正仿宋_GB2312" w:hAnsi="方正仿宋_GB2312" w:eastAsia="方正仿宋_GB2312" w:cs="方正仿宋_GB2312"/>
                <w:sz w:val="28"/>
                <w:szCs w:val="28"/>
                <w:vertAlign w:val="baseline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8"/>
                <w:szCs w:val="28"/>
              </w:rPr>
              <w:t>盐城市金力外包服务有限公司</w:t>
            </w:r>
          </w:p>
        </w:tc>
      </w:tr>
    </w:tbl>
    <w:p w14:paraId="304EB2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left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管理支撑角色错位</w:t>
      </w:r>
    </w:p>
    <w:p w14:paraId="739BFF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调试工作作为衔接安装与运维的关键中间环节，业务对接链条冗长、涉及主体繁杂，需常态化协调配网部、信通、供电服务指挥中心等多个上级主业部门，同时对接华源、海翔、设计院3家甲方单位，亭湖、开发区、盐都、三新4个业主单位，以及10余家下游施工单位。盐开公司作为配电自动化调试业务的实际承揽实施主体，现阶段却承担着该项业务的管理职能，打破了“主站通知、现场执行”的标准化工作流程。管理角色与实施角色错位混淆，导致多方沟通协调成本高、推进效率低、落地效果差，严重制约FTU、DTU设备投运进度。</w:t>
      </w:r>
    </w:p>
    <w:p w14:paraId="28FD51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现场隐性工作量激增</w:t>
      </w:r>
    </w:p>
    <w:p w14:paraId="6A6E58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配电自动化调试为送电前最后一道关键工序，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易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受设备质量参差、软硬件不兼容、厂家售后薄弱、施工计划调整、现场信号不稳定、天气变化、多部门衔接繁琐等多重因素影响，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盐开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实际调试总量增加25%、单台调试工作量增加20%，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同时，约10%已完成的调试工作因各类工程变更被迫作废。上述新增增量工作量及无效损耗工作量均为现场实际人力、物力投入，未纳入原有计价结算体系，存在工作量与计价不匹配的问题。</w:t>
      </w:r>
    </w:p>
    <w:p w14:paraId="745E0A6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rightChars="0"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人力资源配置不合理</w:t>
      </w:r>
    </w:p>
    <w:p w14:paraId="63F313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line="560" w:lineRule="exact"/>
        <w:ind w:firstLine="640" w:firstLineChars="200"/>
        <w:jc w:val="left"/>
        <w:textAlignment w:val="auto"/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目前调试人员均为全职在岗配置，但整体调试计划排布不够紧凑合理，导致人员频繁往返作业现场、现场无效等待时间过长，造成人力、车辆等核心资源的闲置与浪费。</w:t>
      </w:r>
    </w:p>
    <w:p w14:paraId="411F66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line="560" w:lineRule="exact"/>
        <w:ind w:firstLine="640" w:firstLineChars="200"/>
        <w:jc w:val="left"/>
        <w:textAlignment w:val="auto"/>
        <w:rPr>
          <w:rFonts w:hint="default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为实现人力和车辆的最优化配置，建议</w:t>
      </w: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  <w:t>调试模式转为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施工安装、现场调试一体化作业模式，同一组人现场安装FTU和DTU设备完工即调试，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kern w:val="2"/>
          <w:sz w:val="32"/>
          <w:szCs w:val="32"/>
          <w:lang w:val="en-US" w:eastAsia="zh-CN" w:bidi="ar-SA"/>
        </w:rPr>
        <w:t>盐开不再承揽FTU设备和DTU设备调试业务，将业务和人员整体划拨至集团施工类兄弟单位。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同时，</w:t>
      </w:r>
      <w:r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  <w:t>恳请集团</w:t>
      </w:r>
      <w:r>
        <w:rPr>
          <w:rFonts w:hint="eastAsia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  <w:t>统筹协调相关单位，加快款项清理结算，营造稳定正向的经营氛围。</w:t>
      </w:r>
      <w:bookmarkStart w:id="0" w:name="_GoBack"/>
      <w:bookmarkEnd w:id="0"/>
    </w:p>
    <w:p w14:paraId="7E07C0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line="560" w:lineRule="exact"/>
        <w:ind w:firstLine="643" w:firstLineChars="200"/>
        <w:jc w:val="left"/>
        <w:textAlignment w:val="auto"/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116105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line="560" w:lineRule="exact"/>
        <w:ind w:firstLine="643" w:firstLineChars="200"/>
        <w:jc w:val="left"/>
        <w:textAlignment w:val="auto"/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26BB39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line="560" w:lineRule="exact"/>
        <w:ind w:firstLine="643" w:firstLineChars="200"/>
        <w:jc w:val="left"/>
        <w:textAlignment w:val="auto"/>
        <w:rPr>
          <w:rFonts w:hint="eastAsia" w:ascii="方正仿宋_GBK" w:hAnsi="方正仿宋_GBK" w:eastAsia="方正仿宋_GBK" w:cs="方正仿宋_GBK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05E735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line="560" w:lineRule="exact"/>
        <w:ind w:firstLine="640" w:firstLineChars="200"/>
        <w:jc w:val="left"/>
        <w:textAlignment w:val="auto"/>
        <w:rPr>
          <w:rFonts w:hint="default" w:ascii="方正仿宋_GBK" w:hAnsi="方正仿宋_GBK" w:eastAsia="方正仿宋_GBK" w:cs="方正仿宋_GBK"/>
          <w:color w:val="auto"/>
          <w:kern w:val="2"/>
          <w:sz w:val="32"/>
          <w:szCs w:val="3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904C29"/>
    <w:multiLevelType w:val="singleLevel"/>
    <w:tmpl w:val="73904C2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960"/>
    <w:rsid w:val="000A03B5"/>
    <w:rsid w:val="00117B44"/>
    <w:rsid w:val="0012796B"/>
    <w:rsid w:val="00130B1B"/>
    <w:rsid w:val="00191F9E"/>
    <w:rsid w:val="001B36E0"/>
    <w:rsid w:val="00243414"/>
    <w:rsid w:val="00373D2E"/>
    <w:rsid w:val="00393139"/>
    <w:rsid w:val="003C28DE"/>
    <w:rsid w:val="0041147A"/>
    <w:rsid w:val="004A4761"/>
    <w:rsid w:val="004E031A"/>
    <w:rsid w:val="00511316"/>
    <w:rsid w:val="00574DD4"/>
    <w:rsid w:val="005873A3"/>
    <w:rsid w:val="005D2486"/>
    <w:rsid w:val="006026FA"/>
    <w:rsid w:val="00632DAD"/>
    <w:rsid w:val="00795E20"/>
    <w:rsid w:val="007C02A8"/>
    <w:rsid w:val="00840960"/>
    <w:rsid w:val="008678E7"/>
    <w:rsid w:val="008C372B"/>
    <w:rsid w:val="00903823"/>
    <w:rsid w:val="009078A0"/>
    <w:rsid w:val="009C2242"/>
    <w:rsid w:val="009C62B0"/>
    <w:rsid w:val="009F633F"/>
    <w:rsid w:val="009F7984"/>
    <w:rsid w:val="00BA0CA5"/>
    <w:rsid w:val="00CE060C"/>
    <w:rsid w:val="00CE29E6"/>
    <w:rsid w:val="00D92C43"/>
    <w:rsid w:val="00EB586B"/>
    <w:rsid w:val="00EC5B42"/>
    <w:rsid w:val="00F05CF7"/>
    <w:rsid w:val="00FB4068"/>
    <w:rsid w:val="00FC65A7"/>
    <w:rsid w:val="0256755B"/>
    <w:rsid w:val="025F1F4F"/>
    <w:rsid w:val="02DC2156"/>
    <w:rsid w:val="03432227"/>
    <w:rsid w:val="047D34C5"/>
    <w:rsid w:val="07E63586"/>
    <w:rsid w:val="090B4D3A"/>
    <w:rsid w:val="095A19AF"/>
    <w:rsid w:val="095C0D49"/>
    <w:rsid w:val="0A0B50CF"/>
    <w:rsid w:val="0C3A4CBD"/>
    <w:rsid w:val="0C44787A"/>
    <w:rsid w:val="0C831E9D"/>
    <w:rsid w:val="0CB63A18"/>
    <w:rsid w:val="0FB2759B"/>
    <w:rsid w:val="11424B3C"/>
    <w:rsid w:val="12333415"/>
    <w:rsid w:val="128D0D77"/>
    <w:rsid w:val="130D46AC"/>
    <w:rsid w:val="13317592"/>
    <w:rsid w:val="13E76BAD"/>
    <w:rsid w:val="15787ABD"/>
    <w:rsid w:val="157F630E"/>
    <w:rsid w:val="15EA18A1"/>
    <w:rsid w:val="180A5B96"/>
    <w:rsid w:val="182067E3"/>
    <w:rsid w:val="193B4AC7"/>
    <w:rsid w:val="1A9F7F98"/>
    <w:rsid w:val="1BB9498B"/>
    <w:rsid w:val="1CF3211F"/>
    <w:rsid w:val="1D4D5914"/>
    <w:rsid w:val="1E7B2F86"/>
    <w:rsid w:val="1EB1403F"/>
    <w:rsid w:val="1F034A48"/>
    <w:rsid w:val="20C32FFC"/>
    <w:rsid w:val="21F659EF"/>
    <w:rsid w:val="25552F51"/>
    <w:rsid w:val="26555BF8"/>
    <w:rsid w:val="27BD1CA7"/>
    <w:rsid w:val="27F136FF"/>
    <w:rsid w:val="2A8820F8"/>
    <w:rsid w:val="2C002162"/>
    <w:rsid w:val="2C491D5B"/>
    <w:rsid w:val="2C6223F8"/>
    <w:rsid w:val="31A4715F"/>
    <w:rsid w:val="31BC4D7D"/>
    <w:rsid w:val="3364747B"/>
    <w:rsid w:val="33B31F78"/>
    <w:rsid w:val="34BB131C"/>
    <w:rsid w:val="351B7034"/>
    <w:rsid w:val="35E0427F"/>
    <w:rsid w:val="35ED7BFB"/>
    <w:rsid w:val="36EE25F7"/>
    <w:rsid w:val="38286CC9"/>
    <w:rsid w:val="3AF67C62"/>
    <w:rsid w:val="3B2E39A5"/>
    <w:rsid w:val="3DAA0CF8"/>
    <w:rsid w:val="406C796F"/>
    <w:rsid w:val="40C63523"/>
    <w:rsid w:val="419C7ECA"/>
    <w:rsid w:val="421F113C"/>
    <w:rsid w:val="423B3A9C"/>
    <w:rsid w:val="435677C0"/>
    <w:rsid w:val="439B2A45"/>
    <w:rsid w:val="4521341D"/>
    <w:rsid w:val="45617CBE"/>
    <w:rsid w:val="460E4D13"/>
    <w:rsid w:val="46113492"/>
    <w:rsid w:val="47B42327"/>
    <w:rsid w:val="49B85A25"/>
    <w:rsid w:val="4A443E36"/>
    <w:rsid w:val="4AAE6F66"/>
    <w:rsid w:val="4D834C75"/>
    <w:rsid w:val="4DDC25D7"/>
    <w:rsid w:val="514F27EB"/>
    <w:rsid w:val="51F078F4"/>
    <w:rsid w:val="5266774B"/>
    <w:rsid w:val="52860D64"/>
    <w:rsid w:val="52D4387D"/>
    <w:rsid w:val="52FB012C"/>
    <w:rsid w:val="53267713"/>
    <w:rsid w:val="54410CAC"/>
    <w:rsid w:val="54FA74E2"/>
    <w:rsid w:val="55CF646E"/>
    <w:rsid w:val="57911D3D"/>
    <w:rsid w:val="5846521D"/>
    <w:rsid w:val="5F385194"/>
    <w:rsid w:val="5F8B0EE6"/>
    <w:rsid w:val="5F8E3006"/>
    <w:rsid w:val="60326087"/>
    <w:rsid w:val="604C539B"/>
    <w:rsid w:val="610E7EA6"/>
    <w:rsid w:val="61C70E9E"/>
    <w:rsid w:val="63613B5C"/>
    <w:rsid w:val="63DD23E0"/>
    <w:rsid w:val="63E13995"/>
    <w:rsid w:val="63FF2724"/>
    <w:rsid w:val="643C03E2"/>
    <w:rsid w:val="65CD0D2C"/>
    <w:rsid w:val="66364E1F"/>
    <w:rsid w:val="68A53A10"/>
    <w:rsid w:val="68FA2651"/>
    <w:rsid w:val="6DAF7323"/>
    <w:rsid w:val="6F377216"/>
    <w:rsid w:val="7021172E"/>
    <w:rsid w:val="717C7B03"/>
    <w:rsid w:val="71823596"/>
    <w:rsid w:val="7242593C"/>
    <w:rsid w:val="72A077AF"/>
    <w:rsid w:val="753164B5"/>
    <w:rsid w:val="757E573B"/>
    <w:rsid w:val="77425A2E"/>
    <w:rsid w:val="78234247"/>
    <w:rsid w:val="789C0BD6"/>
    <w:rsid w:val="796E1A86"/>
    <w:rsid w:val="7B737828"/>
    <w:rsid w:val="7C346788"/>
    <w:rsid w:val="7C885555"/>
    <w:rsid w:val="7DC91981"/>
    <w:rsid w:val="7E9559B6"/>
    <w:rsid w:val="7F196938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4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2d87f2df-4c69-4134-9b0e-de94f69b9370</errorID>
      <errorWord>繁琐</errorWord>
      <group>L1_Word</group>
      <groupName>字词问题</groupName>
      <ability>L2_Typo</ability>
      <abilityName>字词错误</abilityName>
      <candidateList>
        <item>烦琐</item>
      </candidateList>
      <explain/>
      <paraID>19E1CBAE</paraID>
      <start>128</start>
      <end>130</end>
      <status>ignored</status>
      <modifiedWord/>
      <trackRevisions>false</trackRevisions>
    </reviewItem>
  </reviewItems>
  <config/>
</contractReview>
</file>

<file path=customXml/item2.xml><?xml version="1.0" encoding="utf-8"?>
<Properties>
  <DataSet Characteristic="{b662c80d-b00c-4135-ab33-0bb1c1a88881}">
    <Data data="gksBBAoKAAoOAAYLGEcIBB1WDh4CCQEJCxhHAQsMQVk="/>
  </DataSet>
</Properties>
</file>

<file path=customXml/itemProps1.xml><?xml version="1.0" encoding="utf-8"?>
<ds:datastoreItem xmlns:ds="http://schemas.openxmlformats.org/officeDocument/2006/customXml" ds:itemID="{1a91dbff-1052-40ea-82b7-fe40353e9747}">
  <ds:schemaRefs/>
</ds:datastoreItem>
</file>

<file path=customXml/itemProps2.xml><?xml version="1.0" encoding="utf-8"?>
<ds:datastoreItem xmlns:ds="http://schemas.openxmlformats.org/officeDocument/2006/customXml" ds:itemID="{b662c80d-b00c-4135-ab33-0bb1c1a888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888</Words>
  <Characters>1046</Characters>
  <Lines>8</Lines>
  <Paragraphs>2</Paragraphs>
  <TotalTime>8</TotalTime>
  <ScaleCrop>false</ScaleCrop>
  <LinksUpToDate>false</LinksUpToDate>
  <CharactersWithSpaces>1065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2026-05-17T08:27:00Z</dcterms:created>
  <dc:creator>Administrator</dc:creator>
  <cp:lastModifiedBy>黄蓉</cp:lastModifiedBy>
  <dcterms:modified xsi:type="dcterms:W3CDTF">2026-09-22T00:45:29Z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eyJoZGlkIjoiMDQ5Y2RkYmZlOWQ5ODY5ZjM2NzU4NWFhZjRlNTdkNmMiLCJ1c2VySWQiOiIzODczMjExNDAifQ==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A8854E7356474B3DBA7E4B9A52873D58_13</vt:lpwstr>
  </property>
</Properties>
</file>