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DC5F7">
      <w:pPr>
        <w:spacing w:before="156" w:beforeLines="50" w:after="312" w:afterLines="100" w:line="560" w:lineRule="exact"/>
        <w:jc w:val="center"/>
        <w:rPr>
          <w:rFonts w:ascii="方正小标宋_GBK" w:hAnsi="方正小标宋_GBK" w:eastAsia="方正小标宋_GBK" w:cs="方正小标宋_GBK"/>
          <w:color w:val="000000"/>
          <w:sz w:val="52"/>
          <w:szCs w:val="52"/>
        </w:rPr>
      </w:pPr>
      <w:r>
        <w:rPr>
          <w:rFonts w:hint="eastAsia" w:ascii="方正小标宋_GBK" w:hAnsi="方正小标宋_GBK" w:eastAsia="方正小标宋_GBK" w:cs="方正小标宋_GBK"/>
          <w:color w:val="000000"/>
          <w:sz w:val="52"/>
          <w:szCs w:val="52"/>
        </w:rPr>
        <w:t>项 目 建 议 书</w:t>
      </w:r>
    </w:p>
    <w:tbl>
      <w:tblPr>
        <w:tblStyle w:val="6"/>
        <w:tblpPr w:leftFromText="180" w:rightFromText="180" w:vertAnchor="text" w:tblpXSpec="center" w:tblpY="1"/>
        <w:tblW w:w="93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1935"/>
        <w:gridCol w:w="346"/>
        <w:gridCol w:w="1535"/>
        <w:gridCol w:w="1499"/>
        <w:gridCol w:w="86"/>
        <w:gridCol w:w="1407"/>
        <w:gridCol w:w="1714"/>
      </w:tblGrid>
      <w:tr w14:paraId="00F8F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7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6E8646">
            <w:pPr>
              <w:widowControl/>
              <w:adjustRightInd w:val="0"/>
              <w:snapToGrid w:val="0"/>
              <w:spacing w:before="100" w:beforeAutospacing="1" w:after="100" w:afterAutospacing="1"/>
              <w:ind w:firstLine="420"/>
              <w:jc w:val="center"/>
              <w:rPr>
                <w:rFonts w:ascii="宋体" w:hAnsi="宋体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仿宋_GB2312"/>
                <w:b/>
                <w:bCs/>
                <w:kern w:val="0"/>
                <w:sz w:val="24"/>
              </w:rPr>
              <w:t>项目名称</w:t>
            </w:r>
          </w:p>
        </w:tc>
        <w:tc>
          <w:tcPr>
            <w:tcW w:w="658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3F28D6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仿宋_GB2312"/>
                <w:kern w:val="0"/>
                <w:szCs w:val="21"/>
              </w:rPr>
            </w:pPr>
            <w:r>
              <w:rPr>
                <w:rFonts w:hint="eastAsia" w:ascii="宋体" w:hAnsi="宋体" w:cs="仿宋_GB2312"/>
                <w:kern w:val="0"/>
                <w:szCs w:val="21"/>
                <w:highlight w:val="none"/>
              </w:rPr>
              <w:t>2026年盐城配网杆塔钢筋强度检测运维项目</w:t>
            </w:r>
          </w:p>
        </w:tc>
      </w:tr>
      <w:tr w14:paraId="71AC2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7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43578A">
            <w:pPr>
              <w:widowControl/>
              <w:adjustRightInd w:val="0"/>
              <w:snapToGrid w:val="0"/>
              <w:spacing w:before="100" w:beforeAutospacing="1" w:after="100" w:afterAutospacing="1"/>
              <w:ind w:firstLine="420"/>
              <w:jc w:val="center"/>
              <w:rPr>
                <w:rFonts w:ascii="宋体" w:hAnsi="宋体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仿宋_GB2312"/>
                <w:b/>
                <w:bCs/>
                <w:kern w:val="0"/>
                <w:sz w:val="24"/>
              </w:rPr>
              <w:t>项目单位</w:t>
            </w:r>
          </w:p>
        </w:tc>
        <w:tc>
          <w:tcPr>
            <w:tcW w:w="658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996623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仿宋_GB2312"/>
                <w:kern w:val="0"/>
                <w:szCs w:val="21"/>
              </w:rPr>
            </w:pPr>
            <w:r>
              <w:rPr>
                <w:rFonts w:hint="eastAsia" w:ascii="宋体" w:hAnsi="宋体" w:cs="仿宋_GB2312"/>
                <w:kern w:val="0"/>
                <w:szCs w:val="21"/>
              </w:rPr>
              <w:t>国网盐城供电公司</w:t>
            </w:r>
          </w:p>
        </w:tc>
      </w:tr>
      <w:tr w14:paraId="002B2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7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429998">
            <w:pPr>
              <w:widowControl/>
              <w:adjustRightInd w:val="0"/>
              <w:snapToGrid w:val="0"/>
              <w:spacing w:before="100" w:beforeAutospacing="1" w:after="100" w:afterAutospacing="1"/>
              <w:ind w:firstLine="420"/>
              <w:jc w:val="center"/>
              <w:rPr>
                <w:rFonts w:ascii="宋体" w:hAnsi="宋体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仿宋_GB2312"/>
                <w:b/>
                <w:bCs/>
                <w:kern w:val="0"/>
                <w:sz w:val="24"/>
              </w:rPr>
              <w:t>项目实施起止时间</w:t>
            </w:r>
          </w:p>
        </w:tc>
        <w:tc>
          <w:tcPr>
            <w:tcW w:w="658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7E970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仿宋_GB2312"/>
                <w:kern w:val="0"/>
                <w:szCs w:val="21"/>
              </w:rPr>
            </w:pPr>
            <w:r>
              <w:rPr>
                <w:rFonts w:hint="eastAsia" w:ascii="宋体" w:hAnsi="宋体" w:cs="仿宋_GB2312"/>
                <w:kern w:val="0"/>
                <w:szCs w:val="21"/>
              </w:rPr>
              <w:t xml:space="preserve">2026 年 </w:t>
            </w:r>
            <w:r>
              <w:rPr>
                <w:rFonts w:hint="eastAsia" w:ascii="宋体" w:hAnsi="宋体" w:cs="仿宋_GB2312"/>
                <w:kern w:val="0"/>
                <w:szCs w:val="21"/>
                <w:lang w:val="en-US" w:eastAsia="zh-CN"/>
              </w:rPr>
              <w:t>9</w:t>
            </w:r>
            <w:r>
              <w:rPr>
                <w:rFonts w:hint="eastAsia" w:ascii="宋体" w:hAnsi="宋体" w:cs="仿宋_GB2312"/>
                <w:kern w:val="0"/>
                <w:szCs w:val="21"/>
              </w:rPr>
              <w:t>月</w:t>
            </w:r>
            <w:r>
              <w:rPr>
                <w:rFonts w:hint="eastAsia" w:ascii="宋体" w:hAnsi="宋体" w:cs="仿宋_GB2312"/>
                <w:kern w:val="0"/>
                <w:szCs w:val="21"/>
                <w:lang w:val="en-US" w:eastAsia="zh-CN"/>
              </w:rPr>
              <w:t>20</w:t>
            </w:r>
            <w:r>
              <w:rPr>
                <w:rFonts w:hint="eastAsia" w:ascii="宋体" w:hAnsi="宋体" w:cs="仿宋_GB2312"/>
                <w:kern w:val="0"/>
                <w:szCs w:val="21"/>
              </w:rPr>
              <w:t>日至 202</w:t>
            </w:r>
            <w:r>
              <w:rPr>
                <w:rFonts w:hint="eastAsia" w:ascii="宋体" w:hAnsi="宋体" w:cs="仿宋_GB2312"/>
                <w:kern w:val="0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cs="仿宋_GB2312"/>
                <w:kern w:val="0"/>
                <w:szCs w:val="21"/>
              </w:rPr>
              <w:t xml:space="preserve"> 年 </w:t>
            </w:r>
            <w:r>
              <w:rPr>
                <w:rFonts w:hint="eastAsia" w:ascii="宋体" w:hAnsi="宋体" w:cs="仿宋_GB2312"/>
                <w:kern w:val="0"/>
                <w:szCs w:val="21"/>
                <w:lang w:val="en-US" w:eastAsia="zh-CN"/>
              </w:rPr>
              <w:t>12</w:t>
            </w:r>
            <w:r>
              <w:rPr>
                <w:rFonts w:hint="eastAsia" w:ascii="宋体" w:hAnsi="宋体" w:cs="仿宋_GB2312"/>
                <w:kern w:val="0"/>
                <w:szCs w:val="21"/>
              </w:rPr>
              <w:t>月 31 日</w:t>
            </w:r>
          </w:p>
        </w:tc>
      </w:tr>
      <w:tr w14:paraId="5F8AA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4" w:hRule="atLeast"/>
          <w:jc w:val="center"/>
        </w:trPr>
        <w:tc>
          <w:tcPr>
            <w:tcW w:w="839" w:type="dxa"/>
            <w:vMerge w:val="restart"/>
            <w:textDirection w:val="tbRlV"/>
            <w:vAlign w:val="center"/>
          </w:tcPr>
          <w:p w14:paraId="1B457374">
            <w:pPr>
              <w:widowControl/>
              <w:spacing w:before="100" w:beforeAutospacing="1" w:after="100" w:afterAutospacing="1"/>
              <w:ind w:right="113" w:firstLine="420"/>
              <w:jc w:val="center"/>
              <w:rPr>
                <w:rFonts w:ascii="宋体" w:hAnsi="宋体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仿宋_GB2312"/>
                <w:b/>
                <w:bCs/>
                <w:kern w:val="0"/>
                <w:sz w:val="24"/>
              </w:rPr>
              <w:t>项目必要性</w:t>
            </w:r>
          </w:p>
        </w:tc>
        <w:tc>
          <w:tcPr>
            <w:tcW w:w="1935" w:type="dxa"/>
            <w:vAlign w:val="center"/>
          </w:tcPr>
          <w:p w14:paraId="1163CC7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仿宋_GB2312"/>
                <w:b/>
                <w:bCs/>
                <w:kern w:val="0"/>
                <w:sz w:val="24"/>
              </w:rPr>
              <w:t>设备基本情况</w:t>
            </w:r>
          </w:p>
        </w:tc>
        <w:tc>
          <w:tcPr>
            <w:tcW w:w="6587" w:type="dxa"/>
            <w:gridSpan w:val="6"/>
            <w:vAlign w:val="center"/>
          </w:tcPr>
          <w:p w14:paraId="357CA111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仿宋_GB2312"/>
                <w:kern w:val="0"/>
                <w:szCs w:val="21"/>
              </w:rPr>
            </w:pPr>
            <w:r>
              <w:rPr>
                <w:rFonts w:hint="eastAsia" w:ascii="宋体" w:hAnsi="宋体" w:cs="仿宋_GB2312"/>
                <w:kern w:val="0"/>
                <w:szCs w:val="21"/>
              </w:rPr>
              <w:t>随着配电网投运年限持续增长，辖区内架空线路存量混凝土电杆基数大、建设周期跨度长，电杆型号繁杂，现场普遍存在预应力、部分预应力、非预应力混凝土电杆混用架设的情况。</w:t>
            </w:r>
          </w:p>
        </w:tc>
      </w:tr>
      <w:tr w14:paraId="4D23A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4" w:hRule="atLeast"/>
          <w:jc w:val="center"/>
        </w:trPr>
        <w:tc>
          <w:tcPr>
            <w:tcW w:w="839" w:type="dxa"/>
            <w:vMerge w:val="continue"/>
            <w:textDirection w:val="tbRlV"/>
            <w:vAlign w:val="center"/>
          </w:tcPr>
          <w:p w14:paraId="773161FE">
            <w:pPr>
              <w:widowControl/>
              <w:spacing w:before="100" w:beforeAutospacing="1" w:after="100" w:afterAutospacing="1"/>
              <w:ind w:right="113" w:firstLine="420"/>
              <w:jc w:val="center"/>
              <w:rPr>
                <w:rFonts w:ascii="宋体" w:hAnsi="宋体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935" w:type="dxa"/>
            <w:vAlign w:val="center"/>
          </w:tcPr>
          <w:p w14:paraId="046AD7BF">
            <w:pPr>
              <w:widowControl/>
              <w:adjustRightInd w:val="0"/>
              <w:snapToGrid w:val="0"/>
              <w:spacing w:before="100" w:beforeAutospacing="1" w:after="100" w:afterAutospacing="1" w:line="240" w:lineRule="exact"/>
              <w:jc w:val="left"/>
              <w:rPr>
                <w:rFonts w:ascii="宋体" w:hAnsi="宋体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仿宋_GB2312"/>
                <w:b/>
                <w:bCs/>
                <w:kern w:val="0"/>
                <w:sz w:val="24"/>
              </w:rPr>
              <w:t>存在问题及实施必要性</w:t>
            </w:r>
          </w:p>
        </w:tc>
        <w:tc>
          <w:tcPr>
            <w:tcW w:w="6587" w:type="dxa"/>
            <w:gridSpan w:val="6"/>
            <w:vAlign w:val="center"/>
          </w:tcPr>
          <w:p w14:paraId="3C6B64BF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仿宋_GB2312"/>
                <w:kern w:val="0"/>
                <w:szCs w:val="21"/>
              </w:rPr>
            </w:pPr>
            <w:r>
              <w:rPr>
                <w:rFonts w:hint="eastAsia" w:ascii="宋体" w:hAnsi="宋体" w:cs="仿宋_GB2312"/>
                <w:kern w:val="0"/>
                <w:szCs w:val="21"/>
              </w:rPr>
              <w:t>依据现行国家标准及国网企业标准，三类电杆在钢筋材质、主筋直径、配筋数量、结构受力特性、抗裂性能、服役寿命及缺陷评判阈值上存在明显差异。但在现场运维工作中，仅依靠外观检查无法有效区分电杆类型</w:t>
            </w:r>
            <w:r>
              <w:rPr>
                <w:rFonts w:hint="eastAsia" w:ascii="宋体" w:hAnsi="宋体" w:cs="仿宋_GB2312"/>
                <w:kern w:val="0"/>
                <w:szCs w:val="21"/>
                <w:lang w:eastAsia="zh-CN"/>
              </w:rPr>
              <w:t>。</w:t>
            </w:r>
            <w:r>
              <w:rPr>
                <w:rFonts w:hint="eastAsia" w:ascii="宋体" w:hAnsi="宋体" w:cs="仿宋_GB2312"/>
                <w:kern w:val="0"/>
                <w:szCs w:val="21"/>
              </w:rPr>
              <w:t>现有常规巡视检测手段仅能检查电杆表面裂纹、混凝土剥落、露筋、倾斜等外观缺陷，不能获取电杆内部钢筋直径、根数、排布形式等核心结构参数，不能实现杆型准确甄别。为补齐存量电杆基础数据短板，需要引入无损检测技术，对存量混架电杆开展专项检测工作。</w:t>
            </w:r>
          </w:p>
        </w:tc>
      </w:tr>
      <w:tr w14:paraId="4A1B8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" w:hRule="atLeast"/>
          <w:jc w:val="center"/>
        </w:trPr>
        <w:tc>
          <w:tcPr>
            <w:tcW w:w="839" w:type="dxa"/>
            <w:vMerge w:val="continue"/>
            <w:textDirection w:val="tbRlV"/>
            <w:vAlign w:val="center"/>
          </w:tcPr>
          <w:p w14:paraId="3A3065D9">
            <w:pPr>
              <w:widowControl/>
              <w:spacing w:before="100" w:beforeAutospacing="1" w:after="100" w:afterAutospacing="1"/>
              <w:ind w:right="113" w:firstLine="420"/>
              <w:jc w:val="center"/>
              <w:rPr>
                <w:rFonts w:ascii="宋体" w:hAnsi="宋体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935" w:type="dxa"/>
            <w:vAlign w:val="center"/>
          </w:tcPr>
          <w:p w14:paraId="60B6723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仿宋_GB2312"/>
                <w:b/>
                <w:bCs/>
                <w:kern w:val="0"/>
                <w:sz w:val="24"/>
              </w:rPr>
              <w:t>立项依据</w:t>
            </w:r>
          </w:p>
        </w:tc>
        <w:tc>
          <w:tcPr>
            <w:tcW w:w="6587" w:type="dxa"/>
            <w:gridSpan w:val="6"/>
            <w:vAlign w:val="center"/>
          </w:tcPr>
          <w:p w14:paraId="31616F8F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仿宋_GB2312"/>
                <w:kern w:val="0"/>
                <w:szCs w:val="21"/>
              </w:rPr>
            </w:pPr>
            <w:r>
              <w:rPr>
                <w:rFonts w:hint="eastAsia" w:ascii="宋体" w:hAnsi="宋体" w:cs="仿宋_GB2312"/>
                <w:kern w:val="0"/>
                <w:szCs w:val="21"/>
              </w:rPr>
              <w:t>对目标范围内架空线路存量混凝土电杆开展无损检测，在不破坏电杆本体结构前提下，探测电杆内部钢筋直径</w:t>
            </w:r>
            <w:r>
              <w:rPr>
                <w:rFonts w:hint="eastAsia" w:ascii="宋体" w:hAnsi="宋体" w:cs="仿宋_GB2312"/>
                <w:kern w:val="0"/>
                <w:szCs w:val="21"/>
                <w:lang w:val="en-US" w:eastAsia="zh-CN"/>
              </w:rPr>
              <w:t>；</w:t>
            </w:r>
            <w:r>
              <w:rPr>
                <w:rFonts w:hint="eastAsia" w:ascii="宋体" w:hAnsi="宋体" w:cs="仿宋_GB2312"/>
                <w:kern w:val="0"/>
                <w:szCs w:val="21"/>
              </w:rPr>
              <w:t>结合标准图集、产品技术条件甄别电杆类型（非预应力、部分预应力、全预应力）；完善设备台账基础数据，输出单杆检测报告与项目总报告，为盐城地区配电网规划、改造、运行管理提供针对性技术支撑和科学决策依据。</w:t>
            </w:r>
          </w:p>
        </w:tc>
      </w:tr>
      <w:tr w14:paraId="21E8E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6" w:hRule="atLeast"/>
          <w:jc w:val="center"/>
        </w:trPr>
        <w:tc>
          <w:tcPr>
            <w:tcW w:w="839" w:type="dxa"/>
            <w:vMerge w:val="restart"/>
            <w:textDirection w:val="tbRlV"/>
            <w:vAlign w:val="center"/>
          </w:tcPr>
          <w:p w14:paraId="77C03EB1">
            <w:pPr>
              <w:widowControl/>
              <w:spacing w:before="100" w:beforeAutospacing="1" w:after="100" w:afterAutospacing="1"/>
              <w:ind w:right="113" w:firstLine="420"/>
              <w:jc w:val="center"/>
              <w:rPr>
                <w:rFonts w:ascii="宋体" w:hAnsi="宋体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仿宋_GB2312"/>
                <w:b/>
                <w:bCs/>
                <w:kern w:val="0"/>
                <w:sz w:val="24"/>
              </w:rPr>
              <w:t>项目方案</w:t>
            </w:r>
          </w:p>
        </w:tc>
        <w:tc>
          <w:tcPr>
            <w:tcW w:w="1935" w:type="dxa"/>
            <w:vAlign w:val="center"/>
          </w:tcPr>
          <w:p w14:paraId="6CE04C7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仿宋_GB2312"/>
                <w:b/>
                <w:bCs/>
                <w:kern w:val="0"/>
                <w:sz w:val="24"/>
              </w:rPr>
              <w:t>技术实施方案</w:t>
            </w:r>
          </w:p>
        </w:tc>
        <w:tc>
          <w:tcPr>
            <w:tcW w:w="6587" w:type="dxa"/>
            <w:gridSpan w:val="6"/>
            <w:vAlign w:val="center"/>
          </w:tcPr>
          <w:p w14:paraId="008C1184">
            <w:pPr>
              <w:widowControl/>
              <w:spacing w:line="240" w:lineRule="atLeas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（1）前期资料收集</w:t>
            </w:r>
          </w:p>
          <w:p w14:paraId="61F09BFB">
            <w:pPr>
              <w:widowControl/>
              <w:spacing w:line="240" w:lineRule="atLeast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收集目标线路台账：</w:t>
            </w:r>
            <w:r>
              <w:rPr>
                <w:rFonts w:hint="eastAsia"/>
                <w:lang w:val="en-US" w:eastAsia="zh-CN"/>
              </w:rPr>
              <w:t>线路名称、</w:t>
            </w:r>
            <w:r>
              <w:rPr>
                <w:rFonts w:hint="eastAsia"/>
              </w:rPr>
              <w:t>杆号、投运时间</w:t>
            </w:r>
            <w:r>
              <w:rPr>
                <w:rFonts w:hint="eastAsia"/>
                <w:lang w:val="en-US" w:eastAsia="zh-CN"/>
              </w:rPr>
              <w:t>等信息</w:t>
            </w:r>
          </w:p>
          <w:p w14:paraId="5E3326FD">
            <w:pPr>
              <w:widowControl/>
              <w:spacing w:line="240" w:lineRule="atLeast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（2）现场踏勘及安全交底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培训</w:t>
            </w:r>
          </w:p>
          <w:p w14:paraId="7F4896D8">
            <w:pPr>
              <w:widowControl/>
              <w:spacing w:line="240" w:lineRule="atLeast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结合带电作业要求，完成现场通道、作业条件排查；</w:t>
            </w:r>
            <w:r>
              <w:rPr>
                <w:rFonts w:hint="eastAsia"/>
                <w:lang w:val="en-US" w:eastAsia="zh-CN"/>
              </w:rPr>
              <w:t>制定检测标准化工作流程，开展多轮次仪器使用和现场检测实操培训。</w:t>
            </w:r>
          </w:p>
          <w:p w14:paraId="653CF92B">
            <w:pPr>
              <w:widowControl/>
              <w:spacing w:line="240" w:lineRule="atLeas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（3）现场无损检测作业</w:t>
            </w:r>
          </w:p>
          <w:p w14:paraId="23544CBA">
            <w:pPr>
              <w:widowControl/>
              <w:spacing w:line="240" w:lineRule="atLeas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1）检测位置：选取电杆关键检测断面，避开杆段接头、埋深出土位置、拉线抱箍、预埋件等金属干扰区域；</w:t>
            </w:r>
          </w:p>
          <w:p w14:paraId="7FE4D0E7">
            <w:pPr>
              <w:widowControl/>
              <w:spacing w:line="240" w:lineRule="atLeast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2）检测内容：测定主筋直径、钢筋圆周分布位置</w:t>
            </w:r>
            <w:r>
              <w:rPr>
                <w:rFonts w:hint="eastAsia"/>
                <w:lang w:val="en-US" w:eastAsia="zh-CN"/>
              </w:rPr>
              <w:t>；</w:t>
            </w:r>
          </w:p>
          <w:p w14:paraId="35EB3E90">
            <w:pPr>
              <w:widowControl/>
              <w:spacing w:line="240" w:lineRule="atLeas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3）检测原始数据做好留存，每基电杆留存检测现场照片，保证检测可追溯。</w:t>
            </w:r>
          </w:p>
          <w:p w14:paraId="545D078F">
            <w:pPr>
              <w:widowControl/>
              <w:spacing w:line="240" w:lineRule="atLeas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注意：现场仅做无损探测，不破坏电杆混凝土结构，不损伤原有钢筋。</w:t>
            </w:r>
          </w:p>
          <w:p w14:paraId="6C3594B6">
            <w:pPr>
              <w:widowControl/>
              <w:spacing w:line="240" w:lineRule="atLeas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（4）数据解析与杆型甄别</w:t>
            </w:r>
          </w:p>
          <w:p w14:paraId="66209169">
            <w:pPr>
              <w:widowControl/>
              <w:spacing w:line="240" w:lineRule="atLeas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将实测钢筋数量、直径、排布形式，对照 GB/T4623‑2025、Q/GDW11256‑2025 及 26G445 图集的标准配筋参数进行比对：</w:t>
            </w:r>
          </w:p>
          <w:p w14:paraId="20756F0E">
            <w:pPr>
              <w:widowControl/>
              <w:spacing w:line="240" w:lineRule="atLeas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1）结合钢筋材质特征、配筋配置区分：普通非预应力混凝土电杆、部分预应力混凝土电杆、全预应力混凝土电杆；</w:t>
            </w:r>
          </w:p>
          <w:p w14:paraId="038A32B7">
            <w:pPr>
              <w:widowControl/>
              <w:spacing w:line="240" w:lineRule="atLeas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2）标注实测与标准配筋存在明显偏差的电杆，作为重点关注对象；</w:t>
            </w:r>
          </w:p>
          <w:p w14:paraId="750A721B">
            <w:pPr>
              <w:widowControl/>
              <w:spacing w:line="240" w:lineRule="atLeas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3）将甄别结果、钢筋检测参数同步录入台账字段。</w:t>
            </w:r>
          </w:p>
          <w:p w14:paraId="7FB8E4C6">
            <w:pPr>
              <w:widowControl/>
              <w:spacing w:line="240" w:lineRule="atLeas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（5）成果输出</w:t>
            </w:r>
          </w:p>
          <w:p w14:paraId="4384FD97">
            <w:pPr>
              <w:widowControl/>
              <w:spacing w:line="240" w:lineRule="atLeas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1）单基电杆检测记录表：杆号、位置、直径、</w:t>
            </w:r>
            <w:r>
              <w:rPr>
                <w:rFonts w:hint="eastAsia"/>
                <w:highlight w:val="none"/>
              </w:rPr>
              <w:t>甄别杆型，</w:t>
            </w:r>
            <w:r>
              <w:rPr>
                <w:rFonts w:hint="eastAsia"/>
              </w:rPr>
              <w:t>外观缺陷情况；</w:t>
            </w:r>
          </w:p>
          <w:p w14:paraId="63A1AA22">
            <w:pPr>
              <w:widowControl/>
              <w:spacing w:line="240" w:lineRule="atLeas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2）分项检测报告：说明检测方法、判别依据，统计各类电杆数量分布，标注存在异常配筋、外观缺陷的电杆清单；</w:t>
            </w:r>
            <w:bookmarkStart w:id="0" w:name="_GoBack"/>
            <w:bookmarkEnd w:id="0"/>
          </w:p>
          <w:p w14:paraId="58988C22">
            <w:pPr>
              <w:widowControl/>
              <w:spacing w:line="240" w:lineRule="atLeast"/>
              <w:jc w:val="left"/>
            </w:pPr>
            <w:r>
              <w:rPr>
                <w:rFonts w:hint="eastAsia"/>
              </w:rPr>
              <w:t>3）项目总报告：总结存量电杆整体现状，结合 Q/GDW 645‑2011 状态评价导则，给出运维管控建议、电杆加固或更换改造建议清单。</w:t>
            </w:r>
          </w:p>
        </w:tc>
      </w:tr>
      <w:tr w14:paraId="7DF6D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839" w:type="dxa"/>
            <w:vMerge w:val="continue"/>
            <w:textDirection w:val="tbRlV"/>
            <w:vAlign w:val="center"/>
          </w:tcPr>
          <w:p w14:paraId="258E237B">
            <w:pPr>
              <w:widowControl/>
              <w:spacing w:before="100" w:beforeAutospacing="1" w:after="100" w:afterAutospacing="1"/>
              <w:ind w:right="113" w:firstLine="420"/>
              <w:jc w:val="center"/>
              <w:rPr>
                <w:rFonts w:ascii="宋体" w:hAnsi="宋体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935" w:type="dxa"/>
            <w:vAlign w:val="center"/>
          </w:tcPr>
          <w:p w14:paraId="192387D8">
            <w:pPr>
              <w:widowControl/>
              <w:adjustRightInd w:val="0"/>
              <w:snapToGrid w:val="0"/>
              <w:spacing w:before="100" w:beforeAutospacing="1" w:after="100" w:afterAutospacing="1" w:line="240" w:lineRule="exact"/>
              <w:rPr>
                <w:rFonts w:ascii="宋体" w:hAnsi="宋体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仿宋_GB2312"/>
                <w:b/>
                <w:bCs/>
                <w:kern w:val="0"/>
                <w:sz w:val="24"/>
              </w:rPr>
              <w:t>停电施工方案</w:t>
            </w:r>
          </w:p>
        </w:tc>
        <w:tc>
          <w:tcPr>
            <w:tcW w:w="6587" w:type="dxa"/>
            <w:gridSpan w:val="6"/>
            <w:vAlign w:val="center"/>
          </w:tcPr>
          <w:p w14:paraId="52AA6A82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仿宋_GB2312"/>
                <w:kern w:val="0"/>
                <w:szCs w:val="21"/>
              </w:rPr>
            </w:pPr>
            <w:r>
              <w:rPr>
                <w:rFonts w:hint="eastAsia" w:ascii="宋体" w:hAnsi="宋体" w:cs="仿宋_GB2312"/>
                <w:kern w:val="0"/>
                <w:szCs w:val="21"/>
              </w:rPr>
              <w:t>无</w:t>
            </w:r>
          </w:p>
        </w:tc>
      </w:tr>
      <w:tr w14:paraId="48590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839" w:type="dxa"/>
            <w:vMerge w:val="continue"/>
            <w:textDirection w:val="tbRlV"/>
            <w:vAlign w:val="center"/>
          </w:tcPr>
          <w:p w14:paraId="656A386F">
            <w:pPr>
              <w:widowControl/>
              <w:spacing w:before="100" w:beforeAutospacing="1" w:after="100" w:afterAutospacing="1"/>
              <w:ind w:right="113" w:firstLine="420"/>
              <w:jc w:val="center"/>
              <w:rPr>
                <w:rFonts w:ascii="宋体" w:hAnsi="宋体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935" w:type="dxa"/>
            <w:vAlign w:val="center"/>
          </w:tcPr>
          <w:p w14:paraId="2FAB88FE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仿宋_GB2312"/>
                <w:b/>
                <w:bCs/>
                <w:kern w:val="0"/>
                <w:sz w:val="24"/>
              </w:rPr>
              <w:t>拆除方案</w:t>
            </w:r>
          </w:p>
        </w:tc>
        <w:tc>
          <w:tcPr>
            <w:tcW w:w="6587" w:type="dxa"/>
            <w:gridSpan w:val="6"/>
            <w:vAlign w:val="center"/>
          </w:tcPr>
          <w:p w14:paraId="05876AE9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仿宋_GB2312"/>
                <w:kern w:val="0"/>
                <w:szCs w:val="21"/>
              </w:rPr>
            </w:pPr>
            <w:r>
              <w:rPr>
                <w:rFonts w:hint="eastAsia" w:ascii="宋体" w:hAnsi="宋体" w:cs="仿宋_GB2312"/>
                <w:kern w:val="0"/>
                <w:szCs w:val="21"/>
              </w:rPr>
              <w:t>无</w:t>
            </w:r>
          </w:p>
        </w:tc>
      </w:tr>
      <w:tr w14:paraId="5840C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39" w:type="dxa"/>
            <w:vMerge w:val="continue"/>
            <w:textDirection w:val="tbRlV"/>
            <w:vAlign w:val="center"/>
          </w:tcPr>
          <w:p w14:paraId="783991C3">
            <w:pPr>
              <w:widowControl/>
              <w:spacing w:before="100" w:beforeAutospacing="1" w:after="100" w:afterAutospacing="1"/>
              <w:ind w:right="113" w:firstLine="420"/>
              <w:jc w:val="center"/>
              <w:rPr>
                <w:rFonts w:ascii="宋体" w:hAnsi="宋体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935" w:type="dxa"/>
            <w:vAlign w:val="center"/>
          </w:tcPr>
          <w:p w14:paraId="3866697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仿宋_GB2312"/>
                <w:b/>
                <w:bCs/>
                <w:kern w:val="0"/>
                <w:sz w:val="24"/>
              </w:rPr>
              <w:t>总投资（万元）</w:t>
            </w:r>
          </w:p>
        </w:tc>
        <w:tc>
          <w:tcPr>
            <w:tcW w:w="1881" w:type="dxa"/>
            <w:gridSpan w:val="2"/>
            <w:vAlign w:val="center"/>
          </w:tcPr>
          <w:p w14:paraId="3AAD880A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仿宋_GB2312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仿宋_GB2312"/>
                <w:b/>
                <w:bCs/>
                <w:kern w:val="0"/>
                <w:szCs w:val="21"/>
                <w:highlight w:val="none"/>
              </w:rPr>
              <w:t>含税金额</w:t>
            </w:r>
            <w:r>
              <w:rPr>
                <w:rFonts w:hint="eastAsia" w:ascii="宋体" w:hAnsi="宋体" w:cs="仿宋_GB2312"/>
                <w:kern w:val="0"/>
                <w:szCs w:val="21"/>
                <w:highlight w:val="none"/>
              </w:rPr>
              <w:t>：</w:t>
            </w:r>
          </w:p>
        </w:tc>
        <w:tc>
          <w:tcPr>
            <w:tcW w:w="1499" w:type="dxa"/>
            <w:vAlign w:val="center"/>
          </w:tcPr>
          <w:p w14:paraId="4F3091AC">
            <w:pPr>
              <w:widowControl/>
              <w:spacing w:before="100" w:beforeAutospacing="1" w:after="100" w:afterAutospacing="1"/>
              <w:ind w:firstLine="420"/>
              <w:jc w:val="left"/>
              <w:rPr>
                <w:rFonts w:hint="default" w:ascii="宋体" w:hAnsi="宋体" w:eastAsia="宋体" w:cs="仿宋_GB2312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仿宋_GB2312"/>
                <w:kern w:val="0"/>
                <w:szCs w:val="21"/>
                <w:highlight w:val="none"/>
                <w:lang w:val="en-US" w:eastAsia="zh-CN"/>
              </w:rPr>
              <w:t>109.73</w:t>
            </w:r>
          </w:p>
        </w:tc>
        <w:tc>
          <w:tcPr>
            <w:tcW w:w="1493" w:type="dxa"/>
            <w:gridSpan w:val="2"/>
            <w:vAlign w:val="center"/>
          </w:tcPr>
          <w:p w14:paraId="31B9530B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仿宋_GB2312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仿宋_GB2312"/>
                <w:b/>
                <w:bCs/>
                <w:kern w:val="0"/>
                <w:szCs w:val="21"/>
                <w:highlight w:val="none"/>
              </w:rPr>
              <w:t>不含税金额</w:t>
            </w:r>
            <w:r>
              <w:rPr>
                <w:rFonts w:hint="eastAsia" w:ascii="宋体" w:hAnsi="宋体" w:cs="仿宋_GB2312"/>
                <w:kern w:val="0"/>
                <w:szCs w:val="21"/>
                <w:highlight w:val="none"/>
              </w:rPr>
              <w:t>：</w:t>
            </w:r>
          </w:p>
        </w:tc>
        <w:tc>
          <w:tcPr>
            <w:tcW w:w="1714" w:type="dxa"/>
            <w:vAlign w:val="center"/>
          </w:tcPr>
          <w:p w14:paraId="1D6D44E7">
            <w:pPr>
              <w:widowControl/>
              <w:spacing w:before="100" w:beforeAutospacing="1" w:after="100" w:afterAutospacing="1"/>
              <w:jc w:val="left"/>
              <w:rPr>
                <w:rFonts w:hint="default" w:ascii="宋体" w:hAnsi="宋体" w:eastAsia="宋体" w:cs="仿宋_GB2312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仿宋_GB2312"/>
                <w:kern w:val="0"/>
                <w:szCs w:val="21"/>
                <w:highlight w:val="none"/>
                <w:lang w:val="en-US" w:eastAsia="zh-CN"/>
              </w:rPr>
              <w:t>103.52</w:t>
            </w:r>
          </w:p>
        </w:tc>
      </w:tr>
      <w:tr w14:paraId="3B3A9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2" w:hRule="exact"/>
          <w:jc w:val="center"/>
        </w:trPr>
        <w:tc>
          <w:tcPr>
            <w:tcW w:w="839" w:type="dxa"/>
            <w:vAlign w:val="center"/>
          </w:tcPr>
          <w:p w14:paraId="4E57F501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仿宋_GB2312"/>
                <w:kern w:val="0"/>
                <w:szCs w:val="21"/>
              </w:rPr>
            </w:pPr>
            <w:r>
              <w:rPr>
                <w:rFonts w:hint="eastAsia" w:ascii="宋体" w:hAnsi="宋体" w:cs="仿宋_GB2312"/>
                <w:b/>
                <w:bCs/>
                <w:kern w:val="0"/>
                <w:sz w:val="18"/>
                <w:szCs w:val="18"/>
              </w:rPr>
              <w:t>费用测算依据</w:t>
            </w:r>
          </w:p>
        </w:tc>
        <w:tc>
          <w:tcPr>
            <w:tcW w:w="8522" w:type="dxa"/>
            <w:gridSpan w:val="7"/>
            <w:vAlign w:val="center"/>
          </w:tcPr>
          <w:p w14:paraId="5CF9A53E">
            <w:pPr>
              <w:widowControl/>
              <w:spacing w:line="240" w:lineRule="atLeast"/>
              <w:jc w:val="left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  <w:lang w:val="en-US" w:eastAsia="zh-CN"/>
              </w:rPr>
              <w:t>总工作量：对68582</w:t>
            </w:r>
            <w:r>
              <w:rPr>
                <w:rFonts w:hint="eastAsia" w:eastAsia="宋体" w:cs="Times New Roman"/>
              </w:rPr>
              <w:t>根</w:t>
            </w:r>
            <w:r>
              <w:rPr>
                <w:rFonts w:hint="eastAsia" w:eastAsia="宋体" w:cs="Times New Roman"/>
                <w:lang w:val="en-US" w:eastAsia="zh-CN"/>
              </w:rPr>
              <w:t>配</w:t>
            </w:r>
            <w:r>
              <w:rPr>
                <w:rFonts w:hint="eastAsia" w:eastAsia="宋体" w:cs="Times New Roman"/>
              </w:rPr>
              <w:t>电</w:t>
            </w:r>
            <w:r>
              <w:rPr>
                <w:rFonts w:hint="eastAsia" w:eastAsia="宋体" w:cs="Times New Roman"/>
                <w:lang w:val="en-US" w:eastAsia="zh-CN"/>
              </w:rPr>
              <w:t>杆开展电杆预应力及非预应力类型检测，</w:t>
            </w:r>
            <w:r>
              <w:rPr>
                <w:rFonts w:hint="eastAsia" w:eastAsia="宋体" w:cs="Times New Roman"/>
              </w:rPr>
              <w:t>出具检测试验报告，并开展检测</w:t>
            </w:r>
            <w:r>
              <w:rPr>
                <w:rFonts w:hint="eastAsia" w:eastAsia="宋体" w:cs="Times New Roman"/>
                <w:lang w:val="en-US" w:eastAsia="zh-CN"/>
              </w:rPr>
              <w:t>统计</w:t>
            </w:r>
            <w:r>
              <w:rPr>
                <w:rFonts w:hint="eastAsia" w:eastAsia="宋体" w:cs="Times New Roman"/>
              </w:rPr>
              <w:t>分析工作。</w:t>
            </w:r>
          </w:p>
          <w:p w14:paraId="1739C25F">
            <w:pPr>
              <w:widowControl/>
              <w:spacing w:line="240" w:lineRule="atLeast"/>
              <w:jc w:val="left"/>
              <w:rPr>
                <w:rFonts w:hint="default" w:ascii="宋体" w:hAnsi="宋体" w:eastAsia="宋体" w:cs="仿宋_GB2312"/>
                <w:b/>
                <w:bCs/>
                <w:kern w:val="0"/>
                <w:sz w:val="32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lang w:val="en-US" w:eastAsia="zh-CN"/>
              </w:rPr>
              <w:t>假定每根检测工作单价按</w:t>
            </w:r>
            <w:r>
              <w:rPr>
                <w:rFonts w:hint="eastAsia" w:cs="Times New Roman"/>
                <w:highlight w:val="none"/>
                <w:lang w:val="en-US" w:eastAsia="zh-CN"/>
              </w:rPr>
              <w:t>16元</w:t>
            </w:r>
            <w:r>
              <w:rPr>
                <w:rFonts w:hint="eastAsia" w:eastAsia="宋体" w:cs="Times New Roman"/>
                <w:lang w:val="en-US" w:eastAsia="zh-CN"/>
              </w:rPr>
              <w:t>单价计算，项目总费用为103</w:t>
            </w:r>
            <w:r>
              <w:rPr>
                <w:rFonts w:hint="eastAsia" w:cs="Times New Roman"/>
                <w:lang w:val="en-US" w:eastAsia="zh-CN"/>
              </w:rPr>
              <w:t>5200</w:t>
            </w:r>
            <w:r>
              <w:rPr>
                <w:rFonts w:hint="eastAsia" w:eastAsia="宋体" w:cs="Times New Roman"/>
                <w:lang w:val="en-US" w:eastAsia="zh-CN"/>
              </w:rPr>
              <w:t>元。</w:t>
            </w:r>
          </w:p>
        </w:tc>
      </w:tr>
      <w:tr w14:paraId="296A1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exact"/>
          <w:jc w:val="center"/>
        </w:trPr>
        <w:tc>
          <w:tcPr>
            <w:tcW w:w="3120" w:type="dxa"/>
            <w:gridSpan w:val="3"/>
            <w:vAlign w:val="center"/>
          </w:tcPr>
          <w:p w14:paraId="7D0E9846">
            <w:pPr>
              <w:widowControl/>
              <w:adjustRightInd w:val="0"/>
              <w:snapToGrid w:val="0"/>
              <w:spacing w:before="100" w:beforeAutospacing="1" w:after="100" w:afterAutospacing="1" w:line="240" w:lineRule="exact"/>
              <w:ind w:firstLine="420"/>
              <w:rPr>
                <w:rFonts w:ascii="宋体" w:hAnsi="宋体" w:cs="仿宋_GB2312"/>
                <w:kern w:val="0"/>
                <w:szCs w:val="21"/>
              </w:rPr>
            </w:pPr>
            <w:r>
              <w:rPr>
                <w:rFonts w:hint="eastAsia" w:ascii="宋体" w:hAnsi="宋体" w:cs="仿宋_GB2312"/>
                <w:b/>
                <w:bCs/>
                <w:kern w:val="0"/>
                <w:szCs w:val="21"/>
              </w:rPr>
              <w:t>编制</w:t>
            </w:r>
            <w:r>
              <w:rPr>
                <w:rFonts w:hint="eastAsia" w:ascii="宋体" w:hAnsi="宋体" w:cs="仿宋_GB2312"/>
                <w:kern w:val="0"/>
                <w:szCs w:val="21"/>
              </w:rPr>
              <w:t>：</w:t>
            </w:r>
          </w:p>
          <w:p w14:paraId="41AE6B09">
            <w:pPr>
              <w:widowControl/>
              <w:adjustRightInd w:val="0"/>
              <w:snapToGrid w:val="0"/>
              <w:spacing w:before="100" w:beforeAutospacing="1" w:after="100" w:afterAutospacing="1" w:line="240" w:lineRule="exact"/>
              <w:ind w:firstLine="420"/>
              <w:rPr>
                <w:rFonts w:hint="default" w:ascii="宋体" w:hAnsi="宋体" w:eastAsia="宋体" w:cs="仿宋_GB2312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仿宋_GB2312"/>
                <w:b/>
                <w:bCs/>
                <w:kern w:val="0"/>
                <w:szCs w:val="21"/>
              </w:rPr>
              <w:t>时间</w:t>
            </w:r>
            <w:r>
              <w:rPr>
                <w:rFonts w:hint="eastAsia" w:ascii="宋体" w:hAnsi="宋体" w:cs="仿宋_GB2312"/>
                <w:kern w:val="0"/>
                <w:szCs w:val="21"/>
              </w:rPr>
              <w:t>：2026-</w:t>
            </w:r>
            <w:r>
              <w:rPr>
                <w:rFonts w:hint="eastAsia" w:ascii="宋体" w:hAnsi="宋体" w:cs="仿宋_GB2312"/>
                <w:kern w:val="0"/>
                <w:szCs w:val="21"/>
                <w:lang w:val="en-US" w:eastAsia="zh-CN"/>
              </w:rPr>
              <w:t>08</w:t>
            </w:r>
            <w:r>
              <w:rPr>
                <w:rFonts w:hint="eastAsia" w:ascii="宋体" w:hAnsi="宋体" w:cs="仿宋_GB2312"/>
                <w:kern w:val="0"/>
                <w:szCs w:val="21"/>
              </w:rPr>
              <w:t>-</w:t>
            </w:r>
            <w:r>
              <w:rPr>
                <w:rFonts w:hint="eastAsia" w:ascii="宋体" w:hAnsi="宋体" w:cs="仿宋_GB2312"/>
                <w:kern w:val="0"/>
                <w:szCs w:val="21"/>
                <w:lang w:val="en-US" w:eastAsia="zh-CN"/>
              </w:rPr>
              <w:t>28</w:t>
            </w:r>
          </w:p>
        </w:tc>
        <w:tc>
          <w:tcPr>
            <w:tcW w:w="3120" w:type="dxa"/>
            <w:gridSpan w:val="3"/>
            <w:vAlign w:val="center"/>
          </w:tcPr>
          <w:p w14:paraId="64AB22B2">
            <w:pPr>
              <w:widowControl/>
              <w:adjustRightInd w:val="0"/>
              <w:snapToGrid w:val="0"/>
              <w:spacing w:before="100" w:beforeAutospacing="1" w:after="100" w:afterAutospacing="1" w:line="240" w:lineRule="exact"/>
              <w:ind w:firstLine="420"/>
              <w:rPr>
                <w:rFonts w:ascii="宋体" w:hAnsi="宋体" w:cs="仿宋_GB2312"/>
                <w:kern w:val="0"/>
                <w:szCs w:val="21"/>
              </w:rPr>
            </w:pPr>
            <w:r>
              <w:rPr>
                <w:rFonts w:hint="eastAsia" w:ascii="宋体" w:hAnsi="宋体" w:cs="仿宋_GB2312"/>
                <w:b/>
                <w:bCs/>
                <w:kern w:val="0"/>
                <w:szCs w:val="21"/>
              </w:rPr>
              <w:t>审核</w:t>
            </w:r>
            <w:r>
              <w:rPr>
                <w:rFonts w:hint="eastAsia" w:ascii="宋体" w:hAnsi="宋体" w:cs="仿宋_GB2312"/>
                <w:kern w:val="0"/>
                <w:szCs w:val="21"/>
              </w:rPr>
              <w:t>：</w:t>
            </w:r>
          </w:p>
          <w:p w14:paraId="6C301881">
            <w:pPr>
              <w:widowControl/>
              <w:adjustRightInd w:val="0"/>
              <w:snapToGrid w:val="0"/>
              <w:spacing w:before="100" w:beforeAutospacing="1" w:after="100" w:afterAutospacing="1" w:line="240" w:lineRule="exact"/>
              <w:ind w:firstLine="420"/>
              <w:rPr>
                <w:rFonts w:ascii="宋体" w:hAnsi="宋体" w:cs="仿宋_GB2312"/>
                <w:kern w:val="0"/>
                <w:szCs w:val="21"/>
              </w:rPr>
            </w:pPr>
            <w:r>
              <w:rPr>
                <w:rFonts w:hint="eastAsia" w:ascii="宋体" w:hAnsi="宋体" w:cs="仿宋_GB2312"/>
                <w:b/>
                <w:bCs/>
                <w:kern w:val="0"/>
                <w:szCs w:val="21"/>
              </w:rPr>
              <w:t>时间</w:t>
            </w:r>
            <w:r>
              <w:rPr>
                <w:rFonts w:hint="eastAsia" w:ascii="宋体" w:hAnsi="宋体" w:cs="仿宋_GB2312"/>
                <w:kern w:val="0"/>
                <w:szCs w:val="21"/>
              </w:rPr>
              <w:t>：</w:t>
            </w:r>
          </w:p>
        </w:tc>
        <w:tc>
          <w:tcPr>
            <w:tcW w:w="3121" w:type="dxa"/>
            <w:gridSpan w:val="2"/>
            <w:vAlign w:val="center"/>
          </w:tcPr>
          <w:p w14:paraId="79356495">
            <w:pPr>
              <w:widowControl/>
              <w:adjustRightInd w:val="0"/>
              <w:snapToGrid w:val="0"/>
              <w:spacing w:before="100" w:beforeAutospacing="1" w:after="100" w:afterAutospacing="1" w:line="240" w:lineRule="exact"/>
              <w:ind w:firstLine="420"/>
              <w:rPr>
                <w:rFonts w:ascii="宋体" w:hAnsi="宋体" w:cs="仿宋_GB2312"/>
                <w:kern w:val="0"/>
                <w:szCs w:val="21"/>
              </w:rPr>
            </w:pPr>
            <w:r>
              <w:rPr>
                <w:rFonts w:hint="eastAsia" w:ascii="宋体" w:hAnsi="宋体" w:cs="仿宋_GB2312"/>
                <w:b/>
                <w:bCs/>
                <w:kern w:val="0"/>
                <w:szCs w:val="21"/>
              </w:rPr>
              <w:t>批准</w:t>
            </w:r>
            <w:r>
              <w:rPr>
                <w:rFonts w:hint="eastAsia" w:ascii="宋体" w:hAnsi="宋体" w:cs="仿宋_GB2312"/>
                <w:kern w:val="0"/>
                <w:szCs w:val="21"/>
              </w:rPr>
              <w:t>：</w:t>
            </w:r>
          </w:p>
          <w:p w14:paraId="3C51A1C7">
            <w:pPr>
              <w:widowControl/>
              <w:adjustRightInd w:val="0"/>
              <w:snapToGrid w:val="0"/>
              <w:spacing w:before="100" w:beforeAutospacing="1" w:after="100" w:afterAutospacing="1" w:line="240" w:lineRule="exact"/>
              <w:ind w:firstLine="420"/>
              <w:rPr>
                <w:rFonts w:ascii="宋体" w:hAnsi="宋体" w:cs="仿宋_GB2312"/>
                <w:kern w:val="0"/>
                <w:szCs w:val="21"/>
              </w:rPr>
            </w:pPr>
            <w:r>
              <w:rPr>
                <w:rFonts w:hint="eastAsia" w:ascii="宋体" w:hAnsi="宋体" w:cs="仿宋_GB2312"/>
                <w:b/>
                <w:bCs/>
                <w:kern w:val="0"/>
                <w:szCs w:val="21"/>
              </w:rPr>
              <w:t>时间</w:t>
            </w:r>
            <w:r>
              <w:rPr>
                <w:rFonts w:hint="eastAsia" w:ascii="宋体" w:hAnsi="宋体" w:cs="仿宋_GB2312"/>
                <w:kern w:val="0"/>
                <w:szCs w:val="21"/>
              </w:rPr>
              <w:t>：</w:t>
            </w:r>
          </w:p>
        </w:tc>
      </w:tr>
    </w:tbl>
    <w:p w14:paraId="282CA2E0">
      <w:pPr>
        <w:ind w:left="-20"/>
      </w:pPr>
    </w:p>
    <w:p w14:paraId="156AF58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5F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GB2312">
    <w:altName w:val="仿宋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1" w:fontKey="{8722E25C-E10B-4674-A273-42BBECC8480D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4137FC39-98B2-4070-A271-F2DD099CC023}"/>
  </w:font>
  <w:font w:name="WPSEMBED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4E097C"/>
    <w:rsid w:val="000B20C8"/>
    <w:rsid w:val="00175290"/>
    <w:rsid w:val="00323DEB"/>
    <w:rsid w:val="003911C2"/>
    <w:rsid w:val="003C13BD"/>
    <w:rsid w:val="004F212E"/>
    <w:rsid w:val="004F7126"/>
    <w:rsid w:val="006352A0"/>
    <w:rsid w:val="00690FBA"/>
    <w:rsid w:val="007E6ACE"/>
    <w:rsid w:val="007F69CB"/>
    <w:rsid w:val="00E34456"/>
    <w:rsid w:val="00E40A3F"/>
    <w:rsid w:val="00E932B5"/>
    <w:rsid w:val="00E94639"/>
    <w:rsid w:val="00EF5CE7"/>
    <w:rsid w:val="00F54FF8"/>
    <w:rsid w:val="00FF0AD7"/>
    <w:rsid w:val="01622566"/>
    <w:rsid w:val="01EC021F"/>
    <w:rsid w:val="05D50F91"/>
    <w:rsid w:val="06892AC8"/>
    <w:rsid w:val="068B35E4"/>
    <w:rsid w:val="06A16472"/>
    <w:rsid w:val="06AE402A"/>
    <w:rsid w:val="06E5427B"/>
    <w:rsid w:val="073466EA"/>
    <w:rsid w:val="07411F63"/>
    <w:rsid w:val="0743620F"/>
    <w:rsid w:val="07680B4C"/>
    <w:rsid w:val="084E0F02"/>
    <w:rsid w:val="087F00DF"/>
    <w:rsid w:val="08BA5800"/>
    <w:rsid w:val="08E46C58"/>
    <w:rsid w:val="09955177"/>
    <w:rsid w:val="0A150847"/>
    <w:rsid w:val="0A5F710C"/>
    <w:rsid w:val="0B460AB5"/>
    <w:rsid w:val="0B6F3630"/>
    <w:rsid w:val="0D1F53C0"/>
    <w:rsid w:val="0D2C056B"/>
    <w:rsid w:val="0DAF72F9"/>
    <w:rsid w:val="0DB86D25"/>
    <w:rsid w:val="0DDE3A15"/>
    <w:rsid w:val="0E64730F"/>
    <w:rsid w:val="0EF31494"/>
    <w:rsid w:val="0F1B7916"/>
    <w:rsid w:val="0F204934"/>
    <w:rsid w:val="0FC71581"/>
    <w:rsid w:val="10162FD9"/>
    <w:rsid w:val="102B2DC6"/>
    <w:rsid w:val="10E45E97"/>
    <w:rsid w:val="112A6783"/>
    <w:rsid w:val="116222C4"/>
    <w:rsid w:val="11D82506"/>
    <w:rsid w:val="13B9456B"/>
    <w:rsid w:val="13BF31B2"/>
    <w:rsid w:val="14B101EC"/>
    <w:rsid w:val="15BB67AF"/>
    <w:rsid w:val="15C7384F"/>
    <w:rsid w:val="15F55FDF"/>
    <w:rsid w:val="168E713D"/>
    <w:rsid w:val="17713800"/>
    <w:rsid w:val="178466E5"/>
    <w:rsid w:val="17D50B82"/>
    <w:rsid w:val="194F6418"/>
    <w:rsid w:val="19826D84"/>
    <w:rsid w:val="19C74CC2"/>
    <w:rsid w:val="1A3D776B"/>
    <w:rsid w:val="1A6A37E2"/>
    <w:rsid w:val="1B504440"/>
    <w:rsid w:val="1C1E7761"/>
    <w:rsid w:val="1C5E2B74"/>
    <w:rsid w:val="1D0059D8"/>
    <w:rsid w:val="1DAE0817"/>
    <w:rsid w:val="1DF46DF0"/>
    <w:rsid w:val="1E4C1AE3"/>
    <w:rsid w:val="1F5C06A4"/>
    <w:rsid w:val="1F613E07"/>
    <w:rsid w:val="1FDD7214"/>
    <w:rsid w:val="20AF7F8C"/>
    <w:rsid w:val="213B6EAB"/>
    <w:rsid w:val="245242FF"/>
    <w:rsid w:val="24CA1CB7"/>
    <w:rsid w:val="24E05686"/>
    <w:rsid w:val="26B422EE"/>
    <w:rsid w:val="26B87654"/>
    <w:rsid w:val="27D85223"/>
    <w:rsid w:val="28CA6450"/>
    <w:rsid w:val="28D73FE3"/>
    <w:rsid w:val="29204E33"/>
    <w:rsid w:val="29574AD1"/>
    <w:rsid w:val="29782B38"/>
    <w:rsid w:val="2A2B7F9D"/>
    <w:rsid w:val="2A3603CB"/>
    <w:rsid w:val="2A402F11"/>
    <w:rsid w:val="2AA10C86"/>
    <w:rsid w:val="2B3D60BE"/>
    <w:rsid w:val="2C2C4D84"/>
    <w:rsid w:val="2C9951EB"/>
    <w:rsid w:val="2D35620B"/>
    <w:rsid w:val="2D86584B"/>
    <w:rsid w:val="2E4E6B94"/>
    <w:rsid w:val="3035780B"/>
    <w:rsid w:val="30440ABE"/>
    <w:rsid w:val="30557032"/>
    <w:rsid w:val="3099347B"/>
    <w:rsid w:val="309966BC"/>
    <w:rsid w:val="32054B12"/>
    <w:rsid w:val="324F1477"/>
    <w:rsid w:val="325668CB"/>
    <w:rsid w:val="332503BE"/>
    <w:rsid w:val="33414E6A"/>
    <w:rsid w:val="341344FC"/>
    <w:rsid w:val="34225673"/>
    <w:rsid w:val="34D91985"/>
    <w:rsid w:val="34F0133A"/>
    <w:rsid w:val="352C4491"/>
    <w:rsid w:val="356942AA"/>
    <w:rsid w:val="35896FFA"/>
    <w:rsid w:val="363775C6"/>
    <w:rsid w:val="36A66476"/>
    <w:rsid w:val="379B3A67"/>
    <w:rsid w:val="37A811E7"/>
    <w:rsid w:val="37BF00A4"/>
    <w:rsid w:val="38C02D8D"/>
    <w:rsid w:val="38CC65EF"/>
    <w:rsid w:val="39B13CFB"/>
    <w:rsid w:val="3AB47D60"/>
    <w:rsid w:val="3B32037C"/>
    <w:rsid w:val="3C991245"/>
    <w:rsid w:val="3D3A4AE7"/>
    <w:rsid w:val="3D71162F"/>
    <w:rsid w:val="3E111679"/>
    <w:rsid w:val="3E1B661A"/>
    <w:rsid w:val="3E57675A"/>
    <w:rsid w:val="3ED44836"/>
    <w:rsid w:val="3EE94BC1"/>
    <w:rsid w:val="3F0175A7"/>
    <w:rsid w:val="40331A86"/>
    <w:rsid w:val="405311F9"/>
    <w:rsid w:val="407A10B7"/>
    <w:rsid w:val="40AE378F"/>
    <w:rsid w:val="40E44D45"/>
    <w:rsid w:val="41220E40"/>
    <w:rsid w:val="41B27A91"/>
    <w:rsid w:val="424C3064"/>
    <w:rsid w:val="4313647B"/>
    <w:rsid w:val="45856BC2"/>
    <w:rsid w:val="45F274C5"/>
    <w:rsid w:val="46A97FD0"/>
    <w:rsid w:val="46D52877"/>
    <w:rsid w:val="47BD4F78"/>
    <w:rsid w:val="48403FFC"/>
    <w:rsid w:val="48D5501A"/>
    <w:rsid w:val="49C30FBB"/>
    <w:rsid w:val="4AB66EE5"/>
    <w:rsid w:val="4AF81C13"/>
    <w:rsid w:val="4BBC39FD"/>
    <w:rsid w:val="4BF8380A"/>
    <w:rsid w:val="4CB103AD"/>
    <w:rsid w:val="4D91126D"/>
    <w:rsid w:val="4DAE2408"/>
    <w:rsid w:val="4E0C752D"/>
    <w:rsid w:val="4E7E12B0"/>
    <w:rsid w:val="4F3D4A31"/>
    <w:rsid w:val="4FA559C1"/>
    <w:rsid w:val="51306A07"/>
    <w:rsid w:val="519D4154"/>
    <w:rsid w:val="52EA2E4D"/>
    <w:rsid w:val="53250D70"/>
    <w:rsid w:val="53870B1E"/>
    <w:rsid w:val="543F69F0"/>
    <w:rsid w:val="555D0A65"/>
    <w:rsid w:val="55E473DE"/>
    <w:rsid w:val="564E097C"/>
    <w:rsid w:val="56FB78B0"/>
    <w:rsid w:val="585746BB"/>
    <w:rsid w:val="58776075"/>
    <w:rsid w:val="58B3027F"/>
    <w:rsid w:val="59386B3B"/>
    <w:rsid w:val="5A3327F5"/>
    <w:rsid w:val="5AEA7DAE"/>
    <w:rsid w:val="5B006722"/>
    <w:rsid w:val="5C167C64"/>
    <w:rsid w:val="5C21440F"/>
    <w:rsid w:val="5C2B2F9C"/>
    <w:rsid w:val="5C594DF3"/>
    <w:rsid w:val="5CC668F5"/>
    <w:rsid w:val="5D126D85"/>
    <w:rsid w:val="5DDC32E2"/>
    <w:rsid w:val="5EDF75C3"/>
    <w:rsid w:val="5F272AC7"/>
    <w:rsid w:val="5F977795"/>
    <w:rsid w:val="5FA70B9E"/>
    <w:rsid w:val="5FEF789A"/>
    <w:rsid w:val="60186780"/>
    <w:rsid w:val="60547330"/>
    <w:rsid w:val="615B1AA0"/>
    <w:rsid w:val="61624053"/>
    <w:rsid w:val="61CE0CDA"/>
    <w:rsid w:val="61ED6C70"/>
    <w:rsid w:val="624B21C4"/>
    <w:rsid w:val="625B7430"/>
    <w:rsid w:val="62EF4226"/>
    <w:rsid w:val="62F6048F"/>
    <w:rsid w:val="638434EC"/>
    <w:rsid w:val="652C1AC5"/>
    <w:rsid w:val="66076627"/>
    <w:rsid w:val="667B27D5"/>
    <w:rsid w:val="67235A7F"/>
    <w:rsid w:val="67627BA0"/>
    <w:rsid w:val="67D6539C"/>
    <w:rsid w:val="67FB193C"/>
    <w:rsid w:val="69AD0207"/>
    <w:rsid w:val="69CF41E4"/>
    <w:rsid w:val="6A376850"/>
    <w:rsid w:val="6BD572FF"/>
    <w:rsid w:val="6CA92180"/>
    <w:rsid w:val="6DC63E3F"/>
    <w:rsid w:val="6DD642C5"/>
    <w:rsid w:val="6DE06175"/>
    <w:rsid w:val="6DEE3F03"/>
    <w:rsid w:val="6EA9653B"/>
    <w:rsid w:val="6F033EDF"/>
    <w:rsid w:val="6FAE6D2A"/>
    <w:rsid w:val="709312E3"/>
    <w:rsid w:val="70B04A24"/>
    <w:rsid w:val="71937B42"/>
    <w:rsid w:val="71C4461B"/>
    <w:rsid w:val="71C60CEE"/>
    <w:rsid w:val="71E511AB"/>
    <w:rsid w:val="72425A9A"/>
    <w:rsid w:val="724276FB"/>
    <w:rsid w:val="7286456D"/>
    <w:rsid w:val="72EC4D88"/>
    <w:rsid w:val="7357076D"/>
    <w:rsid w:val="73A26C6F"/>
    <w:rsid w:val="745D2B6B"/>
    <w:rsid w:val="74C20E29"/>
    <w:rsid w:val="74FD404D"/>
    <w:rsid w:val="752801A0"/>
    <w:rsid w:val="75B21774"/>
    <w:rsid w:val="76415A22"/>
    <w:rsid w:val="76C809CF"/>
    <w:rsid w:val="76FA363C"/>
    <w:rsid w:val="77331BFF"/>
    <w:rsid w:val="77542679"/>
    <w:rsid w:val="77974C20"/>
    <w:rsid w:val="780E4CF8"/>
    <w:rsid w:val="783A0EAA"/>
    <w:rsid w:val="78823581"/>
    <w:rsid w:val="79382F94"/>
    <w:rsid w:val="79466CB0"/>
    <w:rsid w:val="79531807"/>
    <w:rsid w:val="79965242"/>
    <w:rsid w:val="79AA23A8"/>
    <w:rsid w:val="7A083D3F"/>
    <w:rsid w:val="7AAE39C8"/>
    <w:rsid w:val="7B3A7EE7"/>
    <w:rsid w:val="7BA6766F"/>
    <w:rsid w:val="7BF16D21"/>
    <w:rsid w:val="7CD8354B"/>
    <w:rsid w:val="7CDF0D87"/>
    <w:rsid w:val="7D3D69B6"/>
    <w:rsid w:val="7DC126E3"/>
    <w:rsid w:val="7E5C31C5"/>
    <w:rsid w:val="7E884A41"/>
    <w:rsid w:val="7F9E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3"/>
    <w:qFormat/>
    <w:uiPriority w:val="0"/>
    <w:pPr>
      <w:ind w:firstLine="420"/>
    </w:pPr>
  </w:style>
  <w:style w:type="paragraph" w:styleId="3">
    <w:name w:val="Body Text"/>
    <w:basedOn w:val="1"/>
    <w:next w:val="1"/>
    <w:qFormat/>
    <w:uiPriority w:val="0"/>
    <w:pPr>
      <w:spacing w:before="120" w:after="120" w:line="360" w:lineRule="auto"/>
      <w:ind w:firstLine="480" w:firstLineChars="200"/>
    </w:pPr>
    <w:rPr>
      <w:rFonts w:ascii="宋体" w:hAnsi="宋体"/>
      <w:color w:val="000000"/>
      <w:sz w:val="24"/>
      <w:szCs w:val="24"/>
    </w:r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Strong"/>
    <w:basedOn w:val="7"/>
    <w:qFormat/>
    <w:uiPriority w:val="0"/>
    <w:rPr>
      <w:b/>
    </w:rPr>
  </w:style>
  <w:style w:type="paragraph" w:customStyle="1" w:styleId="9">
    <w:name w:val="普通(网站)1"/>
    <w:basedOn w:val="1"/>
    <w:qFormat/>
    <w:uiPriority w:val="0"/>
    <w:pPr>
      <w:widowControl/>
      <w:spacing w:before="100" w:beforeAutospacing="1" w:after="100" w:afterAutospacing="1" w:line="600" w:lineRule="exact"/>
      <w:ind w:firstLine="200"/>
      <w:jc w:val="left"/>
    </w:pPr>
    <w:rPr>
      <w:rFonts w:ascii="仿宋GB2312" w:hAnsi="仿宋GB2312" w:eastAsia="仿宋GB2312" w:cs="仿宋GB2312"/>
      <w:kern w:val="0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character" w:customStyle="1" w:styleId="11">
    <w:name w:val="页眉 字符"/>
    <w:basedOn w:val="7"/>
    <w:link w:val="5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2">
    <w:name w:val="页脚 字符"/>
    <w:basedOn w:val="7"/>
    <w:link w:val="4"/>
    <w:qFormat/>
    <w:uiPriority w:val="0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Properties>
  <DataSet Characteristic="{b35f3b1d-33c1-4ae4-89f8-8c0b954d4c90}">
    <Data data="gkkBDA0FAwoPAAYLGEcIBB1WDhQKAwsYRwELDEFZ"/>
  </DataSet>
</Properties>
</file>

<file path=customXml/itemProps1.xml><?xml version="1.0" encoding="utf-8"?>
<ds:datastoreItem xmlns:ds="http://schemas.openxmlformats.org/officeDocument/2006/customXml" ds:itemID="{B35F3B1D-33C1-4AE4-89F8-8C0B954D4C9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1348</Words>
  <Characters>1418</Characters>
  <Lines>5</Lines>
  <Paragraphs>1</Paragraphs>
  <TotalTime>1</TotalTime>
  <ScaleCrop>false</ScaleCrop>
  <LinksUpToDate>false</LinksUpToDate>
  <CharactersWithSpaces>1436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2024-09-30T02:01:00Z</dcterms:created>
  <dc:creator>Administrator</dc:creator>
  <cp:lastModifiedBy>kid</cp:lastModifiedBy>
  <cp:lastPrinted>2026-08-26T07:25:00Z</cp:lastPrinted>
  <dcterms:modified xsi:type="dcterms:W3CDTF">2026-09-02T09:11:54Z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C36C50962CB14BEA8CFCBF36E9F08861_13</vt:lpwstr>
  </property>
  <property fmtid="{D5CDD505-2E9C-101B-9397-08002B2CF9AE}" pid="4" name="KSOTemplateDocerSaveRecord">
    <vt:lpwstr>eyJoZGlkIjoiN2UwNzM3Y2RkOTlhMjRmZmIyYzk2NTEyNTliYjAyMWYiLCJ1c2VySWQiOiIyOTE0ODA0NDgifQ==</vt:lpwstr>
  </property>
</Properties>
</file>