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2.B – Creating a Learning Project</w:t>
      </w:r>
    </w:p>
    <w:p>
      <w:r>
        <w:t>The persistent instructions significantly influenced the response by ensuring the explanation was tailored for a beginner level. Instead of a complex statistical definition, the AI provided a simple explanation using clear language and a small-number example, making it easier to understand. The instructions also guided the AI to include a follow-up question, which helped reinforce learning and encouraged active thinking. Overall, the response became more structured, interactive, and aligned with a learning-focused approach rather than just providing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