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Summary of Content and Main Arguments</w:t>
      </w:r>
    </w:p>
    <w:p>
      <w:r>
        <w:t>Perlstein frames Before the Storm as a chronological narrative that begins in the post-Eisenhower era, when moderate Republicans such as Nelson Rockefeller held influence within the party and a broad liberal consensus appeared unassailable. The book begins with a representation of 1950s America: in this society, the majority of citizens, irrespective of political party, acknowledge the fundamental principles of the New Deal welfare state and Cold War containment strategy. In this environment of stagnation, Perlstein presents an array of conservative rebels: intellectuals such as William F. Buckley Jr. and the National Review crowd, the local activists in the up-and-coming Sunbelt, the big money donors, and the young kids coming up with the same small government, anti-communist vision. The narrative progresses to the 1964 Republican National Convention in San Francisco, during which Goldwater emerged as the nominee through what Perlstein describes as a conservative takeover of the party establishment. the author provides a backstage account of the internecine battles between factions within the republican party, as well as the machinations of campaign operatives and the ideological debates that fuelled conservative circles. Perlstein emphasizes Goldwaters assertion that extremism in the defense of liberty is no vice, framing it as a defining statement that captures the movement s readiness to prioritize ideological purity over electoral pragmatism. The general election campaign is covered extensively, with Perlstein both chronicling the strategic missteps that resulted in Goldwaters overwhelming loss and illustrating the underlying dynamics that would ultimately be more influential. Lyndon Johnson's big win is shown not as proof that the left was right, but as a short loss for a cause that kept changing the way people think about politics in the U.S. Perlstein's main point is that the 1964 race set the stage for later wins by the right: it built ways to get things done, found groups who could vote, figured out how to talk to people, and, most of all, showed that clear belief in ideas could help people stay involved in politics for years, even if they did not win at first. Perlstein documents several interrelated phenomena throughout the book: the expansion of a conservative media infrastructure, the recruitment of affluent donors, the activation of religious conservatives, the targeting of middle-class fears of societal upheaval, and the strategic employment of anti-elitism and anti-intellectualism. He contends that the Goldwater campaign initiated a period of ideological division in American politics and concluded the bipartisan consensus that had been prevalent during the postwar era. Perlstein posits that the movement's emphasis on individual liberty, state sovereignty, and anti-communism would, in the end, appeal to voters who identified as outcasts within the bureaucratic liberalism of the era and perceived the rapid changes occurring in American society as threatening.</w:t>
      </w:r>
    </w:p>
    <w:p/>
    <w:p>
      <w:r>
        <w:t>Analysis of Sources and Methodology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