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Summary of Content and Main Arguments</w:t>
      </w:r>
    </w:p>
    <w:p>
      <w:r>
        <w:t>Perlstein frames Before the Storm as a chronological account starting in the post-Eisenhower era, when moderate Republicans such as Nelson Rockefeller held sway within the party and a widespread liberal consensus appeared inviolable. The book begins with a depiction of 1950s America in which the majority of the population, irrespective of party affiliation, endorsed the fundamental principles of the New Deal welfare state and Cold War containment strategy. This is the setting that Perlstein introduces us to his cast of conservative insurgents, including intellectuals such as William F. Buckley Jr and the National Review crowd, the grass roots in the new Sunbelt, the big donors, and the young organizers who believed in small government and anti-communism with a vengeance. The story culminates in the 1964 Republican National Convention held in San Francisco, where Goldwater emerged as the nominee by what Perlstein describes as a conservative takeover of the party establishment. The writer gives full details on fights inside the Republican Party. They talk about how workers plan moves for the campaign. The writer also tells how groups that lean right talk about their ideas. Perlstein highlights Goldwaters famous statement that extremism in the defense of liberty is no vice as illustrative of the movement, which prioritized ideological purity over electoral viability. The campaign for the presidential election is covered with great detail, as Perlstein records the tactical errors which resulted in Goldwaters crushing loss and the underlying trends that would have a lasting impact. The landslide victory for Lyndon Johnson is not here presented as a victory for liberalism but as a setback for a movement whose purpose was to change the fundamental character of the American political system. Perlstein’s main idea is that the campaign in 1964 gave a plan for winning by right-leaning groups in years to come. It built up ways for them to set up their teams, find people who would stand with them, and get these folks involved. They also tested how to talk to the crowds, and most of all, they showed that deep-held beliefs could drive people to stay strong in politics, even when they did not win at the polls. Book by Perlstein describes the following interconnected phenomena: the emergence of a conservative media environment, the generation of wealthy donors, the mobilization of religious conservatives, the exploitation of middle class concerns about social change, and the strategic deployment of anti-elitism and anti-intellectualism. He contends that the Goldwater campaign initiates the period of ideological division in American political history and concludes the bipartisan consensus of the postwar era. Perlstein posits that the movement 's emphasis on individual freedom, state autonomy, and anti-communism would eventually resonate with voters increasingly perceiving liberal bureaucrats as oppressive and witnessing significant societal transformations.</w:t>
      </w:r>
    </w:p>
    <w:p/>
    <w:p>
      <w:r>
        <w:t>Analysis of Sources and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