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72"/>
        </w:rPr>
        <w:t>SolarGuard</w:t>
      </w:r>
    </w:p>
    <w:p>
      <w:pPr>
        <w:jc w:val="center"/>
      </w:pPr>
      <w:r>
        <w:rPr>
          <w:color w:val="646464"/>
          <w:sz w:val="32"/>
        </w:rPr>
        <w:t>AI-Powered Solar Smart Home Security &amp; Energy Management</w:t>
      </w:r>
    </w:p>
    <w:p/>
    <w:p>
      <w:pPr>
        <w:jc w:val="center"/>
      </w:pPr>
      <w:r>
        <w:rPr>
          <w:sz w:val="24"/>
        </w:rPr>
        <w:t>An IoT + Machine Learning Final Year Engineering Project</w:t>
      </w:r>
    </w:p>
    <w:p>
      <w:pPr>
        <w:jc w:val="center"/>
      </w:pPr>
      <w:r>
        <w:rPr>
          <w:sz w:val="24"/>
        </w:rPr>
      </w:r>
    </w:p>
    <w:p>
      <w:pPr>
        <w:jc w:val="center"/>
      </w:pPr>
      <w:r>
        <w:rPr>
          <w:sz w:val="24"/>
        </w:rPr>
        <w:t>Team Members: Abdul Hadi (Team Lead)  ·  Rehan  ·  M Sajid</w:t>
      </w:r>
    </w:p>
    <w:p>
      <w:pPr>
        <w:jc w:val="center"/>
      </w:pPr>
      <w:r>
        <w:rPr>
          <w:sz w:val="24"/>
        </w:rPr>
        <w:t>Competition / Venue: URIC 2026 — Abu Dhabi University</w:t>
      </w:r>
    </w:p>
    <w:p>
      <w:pPr>
        <w:jc w:val="center"/>
      </w:pPr>
      <w:r>
        <w:rPr>
          <w:sz w:val="24"/>
        </w:rPr>
        <w:t>SDGs Addressed: Goal 7 (Clean Energy) · Goal 9 (Innovation) · Goal 11 (Sustainable Cities)</w:t>
      </w:r>
    </w:p>
    <w:p>
      <w:pPr>
        <w:jc w:val="center"/>
      </w:pPr>
      <w:r>
        <w:rPr>
          <w:sz w:val="24"/>
        </w:rPr>
        <w:t>Date: April 2026</w:t>
      </w:r>
    </w:p>
    <w:p>
      <w:r>
        <w:br w:type="page"/>
      </w:r>
    </w:p>
    <w:p>
      <w:pPr>
        <w:pStyle w:val="Heading1"/>
      </w:pPr>
      <w:r>
        <w:t>Declaration</w:t>
      </w:r>
    </w:p>
    <w:p>
      <w:pPr>
        <w:spacing w:after="120" w:line="276" w:lineRule="auto"/>
      </w:pPr>
      <w:r>
        <w:rPr>
          <w:rFonts w:ascii="Calibri" w:hAnsi="Calibri"/>
          <w:sz w:val="22"/>
        </w:rPr>
        <w:t>We declare that this report is entirely our own work, produced collaboratively by the named team members. It has not been submitted for any other module or institution. All sources used have been properly referenced using the Harvard referencing style. The code, datasets, and circuit designs presented herein are original works of the team, produced specifically for this project.</w:t>
      </w:r>
    </w:p>
    <w:p>
      <w:pPr>
        <w:spacing w:after="120" w:line="276" w:lineRule="auto"/>
      </w:pPr>
      <w:r>
        <w:rPr>
          <w:rFonts w:ascii="Calibri" w:hAnsi="Calibri"/>
          <w:sz w:val="22"/>
        </w:rPr>
        <w:t>Signatures:</w:t>
      </w:r>
    </w:p>
    <w:p>
      <w:pPr>
        <w:spacing w:after="120" w:line="276" w:lineRule="auto"/>
      </w:pPr>
      <w:r>
        <w:rPr>
          <w:rFonts w:ascii="Calibri" w:hAnsi="Calibri"/>
          <w:sz w:val="22"/>
        </w:rPr>
        <w:t>Rehan: _________________________    Date: ___________</w:t>
      </w:r>
    </w:p>
    <w:p>
      <w:pPr>
        <w:spacing w:after="120" w:line="276" w:lineRule="auto"/>
      </w:pPr>
      <w:r>
        <w:rPr>
          <w:rFonts w:ascii="Calibri" w:hAnsi="Calibri"/>
          <w:sz w:val="22"/>
        </w:rPr>
        <w:t>Abdul Hadi: _________________________    Date: ___________</w:t>
      </w:r>
    </w:p>
    <w:p>
      <w:pPr>
        <w:spacing w:after="120" w:line="276" w:lineRule="auto"/>
      </w:pPr>
      <w:r>
        <w:rPr>
          <w:rFonts w:ascii="Calibri" w:hAnsi="Calibri"/>
          <w:sz w:val="22"/>
        </w:rPr>
        <w:t>M Sajid: _________________________    Date: ___________</w:t>
      </w:r>
    </w:p>
    <w:p>
      <w:r>
        <w:br w:type="page"/>
      </w:r>
    </w:p>
    <w:p>
      <w:pPr>
        <w:pStyle w:val="Heading1"/>
      </w:pPr>
      <w:r>
        <w:t>Acknowledgements</w:t>
      </w:r>
    </w:p>
    <w:p>
      <w:pPr>
        <w:spacing w:after="120" w:line="276" w:lineRule="auto"/>
      </w:pPr>
      <w:r>
        <w:rPr>
          <w:rFonts w:ascii="Calibri" w:hAnsi="Calibri"/>
          <w:sz w:val="22"/>
        </w:rPr>
        <w:t>We would like to express our sincere gratitude to the faculty and supervisors at Abu Dhabi University for their continuous support and guidance throughout this project. The weekly feedback sessions were invaluable in shaping the direction and depth of our technical decisions.</w:t>
      </w:r>
    </w:p>
    <w:p>
      <w:pPr>
        <w:spacing w:after="120" w:line="276" w:lineRule="auto"/>
      </w:pPr>
      <w:r>
        <w:rPr>
          <w:rFonts w:ascii="Calibri" w:hAnsi="Calibri"/>
          <w:sz w:val="22"/>
        </w:rPr>
        <w:t>We thank the Engineering faculty for providing access to lab equipment and hardware components, and the university library for access to academic journals that informed our literature review. Special thanks to the URIC 2026 committee for providing the competition platform that motivated us to push the quality of this project to the level it has reached.</w:t>
      </w:r>
    </w:p>
    <w:p>
      <w:pPr>
        <w:spacing w:after="120" w:line="276" w:lineRule="auto"/>
      </w:pPr>
      <w:r>
        <w:rPr>
          <w:rFonts w:ascii="Calibri" w:hAnsi="Calibri"/>
          <w:sz w:val="22"/>
        </w:rPr>
        <w:t>Finally, we acknowledge our families and peers for their patience and encouragement during the intensive development and testing phases of this project.</w:t>
      </w:r>
    </w:p>
    <w:p>
      <w:r>
        <w:br w:type="page"/>
      </w:r>
    </w:p>
    <w:p>
      <w:pPr>
        <w:pStyle w:val="Heading1"/>
      </w:pPr>
      <w:r>
        <w:t>Table of Contents</w:t>
      </w:r>
    </w:p>
    <w:p>
      <w:pPr>
        <w:jc w:val="center"/>
      </w:pPr>
      <w:r>
        <w:rPr>
          <w:b/>
          <w:color w:val="FF0000"/>
        </w:rPr>
        <w:t>--- TABLE OF CONTENTS ---</w:t>
        <w:br/>
        <w:t>[Please generate native Table of Contents here using Word: References -&gt; Table of Contents]</w:t>
      </w:r>
    </w:p>
    <w:p>
      <w:r>
        <w:br w:type="page"/>
      </w:r>
    </w:p>
    <w:p>
      <w:pPr>
        <w:pStyle w:val="Heading1"/>
      </w:pPr>
      <w:r>
        <w:t>List of Figures</w:t>
      </w:r>
    </w:p>
    <w:p>
      <w:pPr>
        <w:spacing w:after="40"/>
      </w:pPr>
      <w:r>
        <w:rPr>
          <w:sz w:val="20"/>
        </w:rPr>
        <w:t>Figure 1 — Step 1: Data Collection Output</w:t>
      </w:r>
    </w:p>
    <w:p>
      <w:pPr>
        <w:spacing w:after="40"/>
      </w:pPr>
      <w:r>
        <w:rPr>
          <w:sz w:val="20"/>
        </w:rPr>
        <w:t>Figure 2 — Step 2: Data Cleaning &amp; Preprocessing Output</w:t>
      </w:r>
    </w:p>
    <w:p>
      <w:pPr>
        <w:spacing w:after="40"/>
      </w:pPr>
      <w:r>
        <w:rPr>
          <w:sz w:val="20"/>
        </w:rPr>
        <w:t>Figure 3 — EDA: Target Variable Distributions</w:t>
      </w:r>
    </w:p>
    <w:p>
      <w:pPr>
        <w:spacing w:after="40"/>
      </w:pPr>
      <w:r>
        <w:rPr>
          <w:sz w:val="20"/>
        </w:rPr>
        <w:t>Figure 4 — EDA: Temporal Patterns (Dubai Lifestyle)</w:t>
      </w:r>
    </w:p>
    <w:p>
      <w:pPr>
        <w:spacing w:after="40"/>
      </w:pPr>
      <w:r>
        <w:rPr>
          <w:sz w:val="20"/>
        </w:rPr>
        <w:t>Figure 5 — EDA: Feature Distributions (Occupied vs Vacant)</w:t>
      </w:r>
    </w:p>
    <w:p>
      <w:pPr>
        <w:spacing w:after="40"/>
      </w:pPr>
      <w:r>
        <w:rPr>
          <w:sz w:val="20"/>
        </w:rPr>
        <w:t>Figure 6 — EDA: Scatter Analysis (Light vs Time, Temperature vs CO2)</w:t>
      </w:r>
    </w:p>
    <w:p>
      <w:pPr>
        <w:spacing w:after="40"/>
      </w:pPr>
      <w:r>
        <w:rPr>
          <w:sz w:val="20"/>
        </w:rPr>
        <w:t>Figure 7 — EDA: Correlation Heatmap &amp; Feature Correlation</w:t>
      </w:r>
    </w:p>
    <w:p>
      <w:pPr>
        <w:spacing w:after="40"/>
      </w:pPr>
      <w:r>
        <w:rPr>
          <w:sz w:val="20"/>
        </w:rPr>
        <w:t>Figure 8 — EDA: Boxplot Analysis by Occupancy Status</w:t>
      </w:r>
    </w:p>
    <w:p>
      <w:pPr>
        <w:spacing w:after="40"/>
      </w:pPr>
      <w:r>
        <w:rPr>
          <w:sz w:val="20"/>
        </w:rPr>
        <w:t>Figure 9 — Step 4: Feature Engineering &amp; Selection</w:t>
      </w:r>
    </w:p>
    <w:p>
      <w:pPr>
        <w:spacing w:after="40"/>
      </w:pPr>
      <w:r>
        <w:rPr>
          <w:sz w:val="20"/>
        </w:rPr>
        <w:t>Figure 10 — Step 5: Model Training Results Table</w:t>
      </w:r>
    </w:p>
    <w:p>
      <w:pPr>
        <w:spacing w:after="40"/>
      </w:pPr>
      <w:r>
        <w:rPr>
          <w:sz w:val="20"/>
        </w:rPr>
        <w:t>Figure 11 — Step 6: Model Comparison — All Metrics</w:t>
      </w:r>
    </w:p>
    <w:p>
      <w:pPr>
        <w:spacing w:after="40"/>
      </w:pPr>
      <w:r>
        <w:rPr>
          <w:sz w:val="20"/>
        </w:rPr>
        <w:t>Figure 12 — Confusion Matrices — All 5 Models</w:t>
      </w:r>
    </w:p>
    <w:p>
      <w:pPr>
        <w:spacing w:after="40"/>
      </w:pPr>
      <w:r>
        <w:rPr>
          <w:sz w:val="20"/>
        </w:rPr>
        <w:t>Figure 13 — Classification Report (Random Forest) &amp; Comfort Score Regression</w:t>
      </w:r>
    </w:p>
    <w:p>
      <w:pPr>
        <w:spacing w:after="40"/>
      </w:pPr>
      <w:r>
        <w:rPr>
          <w:sz w:val="20"/>
        </w:rPr>
        <w:t>Figure 14 — Step 7: Feature Importance (Random Forest &amp; Gradient Boosting)</w:t>
      </w:r>
    </w:p>
    <w:p>
      <w:pPr>
        <w:spacing w:after="40"/>
      </w:pPr>
      <w:r>
        <w:rPr>
          <w:sz w:val="20"/>
        </w:rPr>
        <w:t>Figure 15 — Step 8: GridSearchCV — Hyperparameter Effect on F1</w:t>
      </w:r>
    </w:p>
    <w:p>
      <w:pPr>
        <w:spacing w:after="40"/>
      </w:pPr>
      <w:r>
        <w:rPr>
          <w:sz w:val="20"/>
        </w:rPr>
        <w:t>Figure 16 — Random Forest: Before vs After GridSearchCV</w:t>
      </w:r>
    </w:p>
    <w:p>
      <w:pPr>
        <w:spacing w:after="40"/>
      </w:pPr>
      <w:r>
        <w:rPr>
          <w:sz w:val="20"/>
        </w:rPr>
        <w:t>Figure 17 — Final Model Comparison Table</w:t>
      </w:r>
    </w:p>
    <w:p>
      <w:pPr>
        <w:spacing w:after="40"/>
      </w:pPr>
      <w:r>
        <w:rPr>
          <w:sz w:val="20"/>
        </w:rPr>
        <w:t>Figure 18 — UML Class Diagram</w:t>
      </w:r>
    </w:p>
    <w:p>
      <w:pPr>
        <w:spacing w:after="40"/>
      </w:pPr>
      <w:r>
        <w:rPr>
          <w:sz w:val="20"/>
        </w:rPr>
        <w:t>Figure 19 — UML Use Case Diagram</w:t>
      </w:r>
    </w:p>
    <w:p>
      <w:pPr>
        <w:spacing w:after="40"/>
      </w:pPr>
      <w:r>
        <w:rPr>
          <w:sz w:val="20"/>
        </w:rPr>
        <w:t>Figure 20 — ESP32 Activity Diagram</w:t>
      </w:r>
    </w:p>
    <w:p>
      <w:pPr>
        <w:spacing w:after="40"/>
      </w:pPr>
      <w:r>
        <w:rPr>
          <w:sz w:val="20"/>
        </w:rPr>
        <w:t>Figure 21 — System Sequence Diagram</w:t>
      </w:r>
    </w:p>
    <w:p>
      <w:pPr>
        <w:spacing w:after="40"/>
      </w:pPr>
      <w:r>
        <w:rPr>
          <w:sz w:val="20"/>
        </w:rPr>
        <w:t>Figure 22 — Timeline Gantt Chart</w:t>
      </w:r>
    </w:p>
    <w:p>
      <w:pPr>
        <w:spacing w:after="40"/>
      </w:pPr>
      <w:r>
        <w:rPr>
          <w:sz w:val="20"/>
        </w:rPr>
        <w:t>Figure 23 — Circuit Wiring &amp; Hardware Nodes</w:t>
      </w:r>
    </w:p>
    <w:p>
      <w:pPr>
        <w:spacing w:after="40"/>
      </w:pPr>
      <w:r>
        <w:rPr>
          <w:sz w:val="20"/>
        </w:rPr>
        <w:t>Figure 24 — System Architecture Diagram</w:t>
      </w:r>
    </w:p>
    <w:p>
      <w:pPr>
        <w:spacing w:after="40"/>
      </w:pPr>
      <w:r>
        <w:rPr>
          <w:sz w:val="20"/>
        </w:rPr>
        <w:t>Figure 25 — Firebase Data Flow Diagram</w:t>
      </w:r>
    </w:p>
    <w:p>
      <w:pPr>
        <w:spacing w:after="40"/>
      </w:pPr>
      <w:r>
        <w:rPr>
          <w:sz w:val="20"/>
        </w:rPr>
        <w:t>Figure 26 — Work Breakdown Structure (WBS)</w:t>
      </w:r>
    </w:p>
    <w:p>
      <w:pPr>
        <w:spacing w:after="40"/>
      </w:pPr>
      <w:r>
        <w:rPr>
          <w:sz w:val="20"/>
        </w:rPr>
        <w:t>Figure 27 — End-to-End IoT Lifecycle Process Flow</w:t>
      </w:r>
    </w:p>
    <w:p>
      <w:pPr>
        <w:spacing w:after="40"/>
      </w:pPr>
      <w:r>
        <w:rPr>
          <w:sz w:val="20"/>
        </w:rPr>
        <w:t>Figure 28 — MQTT Publish/Subscribe Communication Model</w:t>
      </w:r>
    </w:p>
    <w:p>
      <w:r>
        <w:br w:type="page"/>
      </w:r>
    </w:p>
    <w:p>
      <w:pPr>
        <w:pStyle w:val="Heading1"/>
      </w:pPr>
      <w:r>
        <w:t>List of Abbreviations</w:t>
      </w:r>
    </w:p>
    <w:tbl>
      <w:tblPr>
        <w:tblW w:type="auto" w:w="0"/>
        <w:jc w:val="center"/>
        <w:tblLook w:firstColumn="1" w:firstRow="1" w:lastColumn="0" w:lastRow="0" w:noHBand="0" w:noVBand="1" w:val="04A0"/>
      </w:tblPr>
      <w:tblGrid>
        <w:gridCol w:w="4680"/>
        <w:gridCol w:w="4680"/>
      </w:tblGrid>
      <w:tr>
        <w:tc>
          <w:tcPr>
            <w:tcW w:type="dxa" w:w="4680"/>
            <w:shd w:fill="1F3864"/>
          </w:tcPr>
          <w:p>
            <w:r>
              <w:rPr>
                <w:b/>
                <w:color w:val="FFFFFF"/>
                <w:sz w:val="18"/>
              </w:rPr>
              <w:t>Abbreviation</w:t>
            </w:r>
          </w:p>
        </w:tc>
        <w:tc>
          <w:tcPr>
            <w:tcW w:type="dxa" w:w="4680"/>
            <w:shd w:fill="1F3864"/>
          </w:tcPr>
          <w:p>
            <w:r>
              <w:rPr>
                <w:b/>
                <w:color w:val="FFFFFF"/>
                <w:sz w:val="18"/>
              </w:rPr>
              <w:t>Full Form</w:t>
            </w:r>
          </w:p>
        </w:tc>
      </w:tr>
      <w:tr>
        <w:tc>
          <w:tcPr>
            <w:tcW w:type="dxa" w:w="4680"/>
          </w:tcPr>
          <w:p>
            <w:r>
              <w:rPr>
                <w:rFonts w:ascii="Calibri" w:hAnsi="Calibri"/>
                <w:sz w:val="18"/>
              </w:rPr>
              <w:t>IoT</w:t>
            </w:r>
          </w:p>
        </w:tc>
        <w:tc>
          <w:tcPr>
            <w:tcW w:type="dxa" w:w="4680"/>
          </w:tcPr>
          <w:p>
            <w:r>
              <w:rPr>
                <w:rFonts w:ascii="Calibri" w:hAnsi="Calibri"/>
                <w:sz w:val="18"/>
              </w:rPr>
              <w:t>Internet of Things</w:t>
            </w:r>
          </w:p>
        </w:tc>
      </w:tr>
      <w:tr>
        <w:tc>
          <w:tcPr>
            <w:tcW w:type="dxa" w:w="4680"/>
          </w:tcPr>
          <w:p>
            <w:r>
              <w:rPr>
                <w:rFonts w:ascii="Calibri" w:hAnsi="Calibri"/>
                <w:sz w:val="18"/>
              </w:rPr>
              <w:t>ML</w:t>
            </w:r>
          </w:p>
        </w:tc>
        <w:tc>
          <w:tcPr>
            <w:tcW w:type="dxa" w:w="4680"/>
          </w:tcPr>
          <w:p>
            <w:r>
              <w:rPr>
                <w:rFonts w:ascii="Calibri" w:hAnsi="Calibri"/>
                <w:sz w:val="18"/>
              </w:rPr>
              <w:t>Machine Learning</w:t>
            </w:r>
          </w:p>
        </w:tc>
      </w:tr>
      <w:tr>
        <w:tc>
          <w:tcPr>
            <w:tcW w:type="dxa" w:w="4680"/>
          </w:tcPr>
          <w:p>
            <w:r>
              <w:rPr>
                <w:rFonts w:ascii="Calibri" w:hAnsi="Calibri"/>
                <w:sz w:val="18"/>
              </w:rPr>
              <w:t>PWA</w:t>
            </w:r>
          </w:p>
        </w:tc>
        <w:tc>
          <w:tcPr>
            <w:tcW w:type="dxa" w:w="4680"/>
          </w:tcPr>
          <w:p>
            <w:r>
              <w:rPr>
                <w:rFonts w:ascii="Calibri" w:hAnsi="Calibri"/>
                <w:sz w:val="18"/>
              </w:rPr>
              <w:t>Progressive Web App</w:t>
            </w:r>
          </w:p>
        </w:tc>
      </w:tr>
      <w:tr>
        <w:tc>
          <w:tcPr>
            <w:tcW w:type="dxa" w:w="4680"/>
          </w:tcPr>
          <w:p>
            <w:r>
              <w:rPr>
                <w:rFonts w:ascii="Calibri" w:hAnsi="Calibri"/>
                <w:sz w:val="18"/>
              </w:rPr>
              <w:t>ESP32</w:t>
            </w:r>
          </w:p>
        </w:tc>
        <w:tc>
          <w:tcPr>
            <w:tcW w:type="dxa" w:w="4680"/>
          </w:tcPr>
          <w:p>
            <w:r>
              <w:rPr>
                <w:rFonts w:ascii="Calibri" w:hAnsi="Calibri"/>
                <w:sz w:val="18"/>
              </w:rPr>
              <w:t>Espressif Systems 32-bit Microcontroller</w:t>
            </w:r>
          </w:p>
        </w:tc>
      </w:tr>
      <w:tr>
        <w:tc>
          <w:tcPr>
            <w:tcW w:type="dxa" w:w="4680"/>
          </w:tcPr>
          <w:p>
            <w:r>
              <w:rPr>
                <w:rFonts w:ascii="Calibri" w:hAnsi="Calibri"/>
                <w:sz w:val="18"/>
              </w:rPr>
              <w:t>LBPH</w:t>
            </w:r>
          </w:p>
        </w:tc>
        <w:tc>
          <w:tcPr>
            <w:tcW w:type="dxa" w:w="4680"/>
          </w:tcPr>
          <w:p>
            <w:r>
              <w:rPr>
                <w:rFonts w:ascii="Calibri" w:hAnsi="Calibri"/>
                <w:sz w:val="18"/>
              </w:rPr>
              <w:t>Local Binary Patterns Histograms</w:t>
            </w:r>
          </w:p>
        </w:tc>
      </w:tr>
      <w:tr>
        <w:tc>
          <w:tcPr>
            <w:tcW w:type="dxa" w:w="4680"/>
          </w:tcPr>
          <w:p>
            <w:r>
              <w:rPr>
                <w:rFonts w:ascii="Calibri" w:hAnsi="Calibri"/>
                <w:sz w:val="18"/>
              </w:rPr>
              <w:t>HOG</w:t>
            </w:r>
          </w:p>
        </w:tc>
        <w:tc>
          <w:tcPr>
            <w:tcW w:type="dxa" w:w="4680"/>
          </w:tcPr>
          <w:p>
            <w:r>
              <w:rPr>
                <w:rFonts w:ascii="Calibri" w:hAnsi="Calibri"/>
                <w:sz w:val="18"/>
              </w:rPr>
              <w:t>Histogram of Oriented Gradients</w:t>
            </w:r>
          </w:p>
        </w:tc>
      </w:tr>
      <w:tr>
        <w:tc>
          <w:tcPr>
            <w:tcW w:type="dxa" w:w="4680"/>
          </w:tcPr>
          <w:p>
            <w:r>
              <w:rPr>
                <w:rFonts w:ascii="Calibri" w:hAnsi="Calibri"/>
                <w:sz w:val="18"/>
              </w:rPr>
              <w:t>PIR</w:t>
            </w:r>
          </w:p>
        </w:tc>
        <w:tc>
          <w:tcPr>
            <w:tcW w:type="dxa" w:w="4680"/>
          </w:tcPr>
          <w:p>
            <w:r>
              <w:rPr>
                <w:rFonts w:ascii="Calibri" w:hAnsi="Calibri"/>
                <w:sz w:val="18"/>
              </w:rPr>
              <w:t>Passive Infrared Sensor</w:t>
            </w:r>
          </w:p>
        </w:tc>
      </w:tr>
      <w:tr>
        <w:tc>
          <w:tcPr>
            <w:tcW w:type="dxa" w:w="4680"/>
          </w:tcPr>
          <w:p>
            <w:r>
              <w:rPr>
                <w:rFonts w:ascii="Calibri" w:hAnsi="Calibri"/>
                <w:sz w:val="18"/>
              </w:rPr>
              <w:t>LDR</w:t>
            </w:r>
          </w:p>
        </w:tc>
        <w:tc>
          <w:tcPr>
            <w:tcW w:type="dxa" w:w="4680"/>
          </w:tcPr>
          <w:p>
            <w:r>
              <w:rPr>
                <w:rFonts w:ascii="Calibri" w:hAnsi="Calibri"/>
                <w:sz w:val="18"/>
              </w:rPr>
              <w:t>Light Dependent Resistor</w:t>
            </w:r>
          </w:p>
        </w:tc>
      </w:tr>
      <w:tr>
        <w:tc>
          <w:tcPr>
            <w:tcW w:type="dxa" w:w="4680"/>
          </w:tcPr>
          <w:p>
            <w:r>
              <w:rPr>
                <w:rFonts w:ascii="Calibri" w:hAnsi="Calibri"/>
                <w:sz w:val="18"/>
              </w:rPr>
              <w:t>DHT</w:t>
            </w:r>
          </w:p>
        </w:tc>
        <w:tc>
          <w:tcPr>
            <w:tcW w:type="dxa" w:w="4680"/>
          </w:tcPr>
          <w:p>
            <w:r>
              <w:rPr>
                <w:rFonts w:ascii="Calibri" w:hAnsi="Calibri"/>
                <w:sz w:val="18"/>
              </w:rPr>
              <w:t>Digital Humidity and Temperature Sensor</w:t>
            </w:r>
          </w:p>
        </w:tc>
      </w:tr>
      <w:tr>
        <w:tc>
          <w:tcPr>
            <w:tcW w:type="dxa" w:w="4680"/>
          </w:tcPr>
          <w:p>
            <w:r>
              <w:rPr>
                <w:rFonts w:ascii="Calibri" w:hAnsi="Calibri"/>
                <w:sz w:val="18"/>
              </w:rPr>
              <w:t>MQTT</w:t>
            </w:r>
          </w:p>
        </w:tc>
        <w:tc>
          <w:tcPr>
            <w:tcW w:type="dxa" w:w="4680"/>
          </w:tcPr>
          <w:p>
            <w:r>
              <w:rPr>
                <w:rFonts w:ascii="Calibri" w:hAnsi="Calibri"/>
                <w:sz w:val="18"/>
              </w:rPr>
              <w:t>Message Queuing Telemetry Transport</w:t>
            </w:r>
          </w:p>
        </w:tc>
      </w:tr>
      <w:tr>
        <w:tc>
          <w:tcPr>
            <w:tcW w:type="dxa" w:w="4680"/>
          </w:tcPr>
          <w:p>
            <w:r>
              <w:rPr>
                <w:rFonts w:ascii="Calibri" w:hAnsi="Calibri"/>
                <w:sz w:val="18"/>
              </w:rPr>
              <w:t>HTTPS</w:t>
            </w:r>
          </w:p>
        </w:tc>
        <w:tc>
          <w:tcPr>
            <w:tcW w:type="dxa" w:w="4680"/>
          </w:tcPr>
          <w:p>
            <w:r>
              <w:rPr>
                <w:rFonts w:ascii="Calibri" w:hAnsi="Calibri"/>
                <w:sz w:val="18"/>
              </w:rPr>
              <w:t>HyperText Transfer Protocol Secure</w:t>
            </w:r>
          </w:p>
        </w:tc>
      </w:tr>
      <w:tr>
        <w:tc>
          <w:tcPr>
            <w:tcW w:type="dxa" w:w="4680"/>
          </w:tcPr>
          <w:p>
            <w:r>
              <w:rPr>
                <w:rFonts w:ascii="Calibri" w:hAnsi="Calibri"/>
                <w:sz w:val="18"/>
              </w:rPr>
              <w:t>REST</w:t>
            </w:r>
          </w:p>
        </w:tc>
        <w:tc>
          <w:tcPr>
            <w:tcW w:type="dxa" w:w="4680"/>
          </w:tcPr>
          <w:p>
            <w:r>
              <w:rPr>
                <w:rFonts w:ascii="Calibri" w:hAnsi="Calibri"/>
                <w:sz w:val="18"/>
              </w:rPr>
              <w:t>Representational State Transfer</w:t>
            </w:r>
          </w:p>
        </w:tc>
      </w:tr>
      <w:tr>
        <w:tc>
          <w:tcPr>
            <w:tcW w:type="dxa" w:w="4680"/>
          </w:tcPr>
          <w:p>
            <w:r>
              <w:rPr>
                <w:rFonts w:ascii="Calibri" w:hAnsi="Calibri"/>
                <w:sz w:val="18"/>
              </w:rPr>
              <w:t>JSON</w:t>
            </w:r>
          </w:p>
        </w:tc>
        <w:tc>
          <w:tcPr>
            <w:tcW w:type="dxa" w:w="4680"/>
          </w:tcPr>
          <w:p>
            <w:r>
              <w:rPr>
                <w:rFonts w:ascii="Calibri" w:hAnsi="Calibri"/>
                <w:sz w:val="18"/>
              </w:rPr>
              <w:t>JavaScript Object Notation</w:t>
            </w:r>
          </w:p>
        </w:tc>
      </w:tr>
      <w:tr>
        <w:tc>
          <w:tcPr>
            <w:tcW w:type="dxa" w:w="4680"/>
          </w:tcPr>
          <w:p>
            <w:r>
              <w:rPr>
                <w:rFonts w:ascii="Calibri" w:hAnsi="Calibri"/>
                <w:sz w:val="18"/>
              </w:rPr>
              <w:t>API</w:t>
            </w:r>
          </w:p>
        </w:tc>
        <w:tc>
          <w:tcPr>
            <w:tcW w:type="dxa" w:w="4680"/>
          </w:tcPr>
          <w:p>
            <w:r>
              <w:rPr>
                <w:rFonts w:ascii="Calibri" w:hAnsi="Calibri"/>
                <w:sz w:val="18"/>
              </w:rPr>
              <w:t>Application Programming Interface</w:t>
            </w:r>
          </w:p>
        </w:tc>
      </w:tr>
      <w:tr>
        <w:tc>
          <w:tcPr>
            <w:tcW w:type="dxa" w:w="4680"/>
          </w:tcPr>
          <w:p>
            <w:r>
              <w:rPr>
                <w:rFonts w:ascii="Calibri" w:hAnsi="Calibri"/>
                <w:sz w:val="18"/>
              </w:rPr>
              <w:t>RF</w:t>
            </w:r>
          </w:p>
        </w:tc>
        <w:tc>
          <w:tcPr>
            <w:tcW w:type="dxa" w:w="4680"/>
          </w:tcPr>
          <w:p>
            <w:r>
              <w:rPr>
                <w:rFonts w:ascii="Calibri" w:hAnsi="Calibri"/>
                <w:sz w:val="18"/>
              </w:rPr>
              <w:t>Random Forest</w:t>
            </w:r>
          </w:p>
        </w:tc>
      </w:tr>
      <w:tr>
        <w:tc>
          <w:tcPr>
            <w:tcW w:type="dxa" w:w="4680"/>
          </w:tcPr>
          <w:p>
            <w:r>
              <w:rPr>
                <w:rFonts w:ascii="Calibri" w:hAnsi="Calibri"/>
                <w:sz w:val="18"/>
              </w:rPr>
              <w:t>SDG</w:t>
            </w:r>
          </w:p>
        </w:tc>
        <w:tc>
          <w:tcPr>
            <w:tcW w:type="dxa" w:w="4680"/>
          </w:tcPr>
          <w:p>
            <w:r>
              <w:rPr>
                <w:rFonts w:ascii="Calibri" w:hAnsi="Calibri"/>
                <w:sz w:val="18"/>
              </w:rPr>
              <w:t>Sustainable Development Goals</w:t>
            </w:r>
          </w:p>
        </w:tc>
      </w:tr>
      <w:tr>
        <w:tc>
          <w:tcPr>
            <w:tcW w:type="dxa" w:w="4680"/>
          </w:tcPr>
          <w:p>
            <w:r>
              <w:rPr>
                <w:rFonts w:ascii="Calibri" w:hAnsi="Calibri"/>
                <w:sz w:val="18"/>
              </w:rPr>
              <w:t>BOM</w:t>
            </w:r>
          </w:p>
        </w:tc>
        <w:tc>
          <w:tcPr>
            <w:tcW w:type="dxa" w:w="4680"/>
          </w:tcPr>
          <w:p>
            <w:r>
              <w:rPr>
                <w:rFonts w:ascii="Calibri" w:hAnsi="Calibri"/>
                <w:sz w:val="18"/>
              </w:rPr>
              <w:t>Bill of Materials</w:t>
            </w:r>
          </w:p>
        </w:tc>
      </w:tr>
      <w:tr>
        <w:tc>
          <w:tcPr>
            <w:tcW w:type="dxa" w:w="4680"/>
          </w:tcPr>
          <w:p>
            <w:r>
              <w:rPr>
                <w:rFonts w:ascii="Calibri" w:hAnsi="Calibri"/>
                <w:sz w:val="18"/>
              </w:rPr>
              <w:t>URIC</w:t>
            </w:r>
          </w:p>
        </w:tc>
        <w:tc>
          <w:tcPr>
            <w:tcW w:type="dxa" w:w="4680"/>
          </w:tcPr>
          <w:p>
            <w:r>
              <w:rPr>
                <w:rFonts w:ascii="Calibri" w:hAnsi="Calibri"/>
                <w:sz w:val="18"/>
              </w:rPr>
              <w:t>Undergraduate Research &amp; Innovation Conference</w:t>
            </w:r>
          </w:p>
        </w:tc>
      </w:tr>
      <w:tr>
        <w:tc>
          <w:tcPr>
            <w:tcW w:type="dxa" w:w="4680"/>
          </w:tcPr>
          <w:p>
            <w:r>
              <w:rPr>
                <w:rFonts w:ascii="Calibri" w:hAnsi="Calibri"/>
                <w:sz w:val="18"/>
              </w:rPr>
              <w:t>ADU</w:t>
            </w:r>
          </w:p>
        </w:tc>
        <w:tc>
          <w:tcPr>
            <w:tcW w:type="dxa" w:w="4680"/>
          </w:tcPr>
          <w:p>
            <w:r>
              <w:rPr>
                <w:rFonts w:ascii="Calibri" w:hAnsi="Calibri"/>
                <w:sz w:val="18"/>
              </w:rPr>
              <w:t>Abu Dhabi University</w:t>
            </w:r>
          </w:p>
        </w:tc>
      </w:tr>
      <w:tr>
        <w:tc>
          <w:tcPr>
            <w:tcW w:type="dxa" w:w="4680"/>
          </w:tcPr>
          <w:p>
            <w:r>
              <w:rPr>
                <w:rFonts w:ascii="Calibri" w:hAnsi="Calibri"/>
                <w:sz w:val="18"/>
              </w:rPr>
              <w:t>TLS</w:t>
            </w:r>
          </w:p>
        </w:tc>
        <w:tc>
          <w:tcPr>
            <w:tcW w:type="dxa" w:w="4680"/>
          </w:tcPr>
          <w:p>
            <w:r>
              <w:rPr>
                <w:rFonts w:ascii="Calibri" w:hAnsi="Calibri"/>
                <w:sz w:val="18"/>
              </w:rPr>
              <w:t>Transport Layer Security</w:t>
            </w:r>
          </w:p>
        </w:tc>
      </w:tr>
      <w:tr>
        <w:tc>
          <w:tcPr>
            <w:tcW w:type="dxa" w:w="4680"/>
          </w:tcPr>
          <w:p>
            <w:r>
              <w:rPr>
                <w:rFonts w:ascii="Calibri" w:hAnsi="Calibri"/>
                <w:sz w:val="18"/>
              </w:rPr>
              <w:t>WSS</w:t>
            </w:r>
          </w:p>
        </w:tc>
        <w:tc>
          <w:tcPr>
            <w:tcW w:type="dxa" w:w="4680"/>
          </w:tcPr>
          <w:p>
            <w:r>
              <w:rPr>
                <w:rFonts w:ascii="Calibri" w:hAnsi="Calibri"/>
                <w:sz w:val="18"/>
              </w:rPr>
              <w:t>WebSocket Secure</w:t>
            </w:r>
          </w:p>
        </w:tc>
      </w:tr>
      <w:tr>
        <w:tc>
          <w:tcPr>
            <w:tcW w:type="dxa" w:w="4680"/>
          </w:tcPr>
          <w:p>
            <w:r>
              <w:rPr>
                <w:rFonts w:ascii="Calibri" w:hAnsi="Calibri"/>
                <w:sz w:val="18"/>
              </w:rPr>
              <w:t>ADC</w:t>
            </w:r>
          </w:p>
        </w:tc>
        <w:tc>
          <w:tcPr>
            <w:tcW w:type="dxa" w:w="4680"/>
          </w:tcPr>
          <w:p>
            <w:r>
              <w:rPr>
                <w:rFonts w:ascii="Calibri" w:hAnsi="Calibri"/>
                <w:sz w:val="18"/>
              </w:rPr>
              <w:t>Analog-to-Digital Converter</w:t>
            </w:r>
          </w:p>
        </w:tc>
      </w:tr>
      <w:tr>
        <w:tc>
          <w:tcPr>
            <w:tcW w:type="dxa" w:w="4680"/>
          </w:tcPr>
          <w:p>
            <w:r>
              <w:rPr>
                <w:rFonts w:ascii="Calibri" w:hAnsi="Calibri"/>
                <w:sz w:val="18"/>
              </w:rPr>
              <w:t>GPIO</w:t>
            </w:r>
          </w:p>
        </w:tc>
        <w:tc>
          <w:tcPr>
            <w:tcW w:type="dxa" w:w="4680"/>
          </w:tcPr>
          <w:p>
            <w:r>
              <w:rPr>
                <w:rFonts w:ascii="Calibri" w:hAnsi="Calibri"/>
                <w:sz w:val="18"/>
              </w:rPr>
              <w:t>General Purpose Input/Output</w:t>
            </w:r>
          </w:p>
        </w:tc>
      </w:tr>
      <w:tr>
        <w:tc>
          <w:tcPr>
            <w:tcW w:type="dxa" w:w="4680"/>
          </w:tcPr>
          <w:p>
            <w:r>
              <w:rPr>
                <w:rFonts w:ascii="Calibri" w:hAnsi="Calibri"/>
                <w:sz w:val="18"/>
              </w:rPr>
              <w:t>SVM</w:t>
            </w:r>
          </w:p>
        </w:tc>
        <w:tc>
          <w:tcPr>
            <w:tcW w:type="dxa" w:w="4680"/>
          </w:tcPr>
          <w:p>
            <w:r>
              <w:rPr>
                <w:rFonts w:ascii="Calibri" w:hAnsi="Calibri"/>
                <w:sz w:val="18"/>
              </w:rPr>
              <w:t>Support Vector Machine</w:t>
            </w:r>
          </w:p>
        </w:tc>
      </w:tr>
      <w:tr>
        <w:tc>
          <w:tcPr>
            <w:tcW w:type="dxa" w:w="4680"/>
          </w:tcPr>
          <w:p>
            <w:r>
              <w:rPr>
                <w:rFonts w:ascii="Calibri" w:hAnsi="Calibri"/>
                <w:sz w:val="18"/>
              </w:rPr>
              <w:t>GBM</w:t>
            </w:r>
          </w:p>
        </w:tc>
        <w:tc>
          <w:tcPr>
            <w:tcW w:type="dxa" w:w="4680"/>
          </w:tcPr>
          <w:p>
            <w:r>
              <w:rPr>
                <w:rFonts w:ascii="Calibri" w:hAnsi="Calibri"/>
                <w:sz w:val="18"/>
              </w:rPr>
              <w:t>Gradient Boosting Machine</w:t>
            </w:r>
          </w:p>
        </w:tc>
      </w:tr>
      <w:tr>
        <w:tc>
          <w:tcPr>
            <w:tcW w:type="dxa" w:w="4680"/>
          </w:tcPr>
          <w:p>
            <w:r>
              <w:rPr>
                <w:rFonts w:ascii="Calibri" w:hAnsi="Calibri"/>
                <w:sz w:val="18"/>
              </w:rPr>
              <w:t>DT</w:t>
            </w:r>
          </w:p>
        </w:tc>
        <w:tc>
          <w:tcPr>
            <w:tcW w:type="dxa" w:w="4680"/>
          </w:tcPr>
          <w:p>
            <w:r>
              <w:rPr>
                <w:rFonts w:ascii="Calibri" w:hAnsi="Calibri"/>
                <w:sz w:val="18"/>
              </w:rPr>
              <w:t>Decision Tree</w:t>
            </w:r>
          </w:p>
        </w:tc>
      </w:tr>
      <w:tr>
        <w:tc>
          <w:tcPr>
            <w:tcW w:type="dxa" w:w="4680"/>
          </w:tcPr>
          <w:p>
            <w:r>
              <w:rPr>
                <w:rFonts w:ascii="Calibri" w:hAnsi="Calibri"/>
                <w:sz w:val="18"/>
              </w:rPr>
              <w:t>LR</w:t>
            </w:r>
          </w:p>
        </w:tc>
        <w:tc>
          <w:tcPr>
            <w:tcW w:type="dxa" w:w="4680"/>
          </w:tcPr>
          <w:p>
            <w:r>
              <w:rPr>
                <w:rFonts w:ascii="Calibri" w:hAnsi="Calibri"/>
                <w:sz w:val="18"/>
              </w:rPr>
              <w:t>Logistic Regression</w:t>
            </w:r>
          </w:p>
        </w:tc>
      </w:tr>
      <w:tr>
        <w:tc>
          <w:tcPr>
            <w:tcW w:type="dxa" w:w="4680"/>
          </w:tcPr>
          <w:p>
            <w:r>
              <w:rPr>
                <w:rFonts w:ascii="Calibri" w:hAnsi="Calibri"/>
                <w:sz w:val="18"/>
              </w:rPr>
              <w:t>CV</w:t>
            </w:r>
          </w:p>
        </w:tc>
        <w:tc>
          <w:tcPr>
            <w:tcW w:type="dxa" w:w="4680"/>
          </w:tcPr>
          <w:p>
            <w:r>
              <w:rPr>
                <w:rFonts w:ascii="Calibri" w:hAnsi="Calibri"/>
                <w:sz w:val="18"/>
              </w:rPr>
              <w:t>Cross-Validation</w:t>
            </w:r>
          </w:p>
        </w:tc>
      </w:tr>
      <w:tr>
        <w:tc>
          <w:tcPr>
            <w:tcW w:type="dxa" w:w="4680"/>
          </w:tcPr>
          <w:p>
            <w:r>
              <w:rPr>
                <w:rFonts w:ascii="Calibri" w:hAnsi="Calibri"/>
                <w:sz w:val="18"/>
              </w:rPr>
              <w:t>AUC</w:t>
            </w:r>
          </w:p>
        </w:tc>
        <w:tc>
          <w:tcPr>
            <w:tcW w:type="dxa" w:w="4680"/>
          </w:tcPr>
          <w:p>
            <w:r>
              <w:rPr>
                <w:rFonts w:ascii="Calibri" w:hAnsi="Calibri"/>
                <w:sz w:val="18"/>
              </w:rPr>
              <w:t>Area Under the Curve</w:t>
            </w:r>
          </w:p>
        </w:tc>
      </w:tr>
      <w:tr>
        <w:tc>
          <w:tcPr>
            <w:tcW w:type="dxa" w:w="4680"/>
          </w:tcPr>
          <w:p>
            <w:r>
              <w:rPr>
                <w:rFonts w:ascii="Calibri" w:hAnsi="Calibri"/>
                <w:sz w:val="18"/>
              </w:rPr>
              <w:t>ROC</w:t>
            </w:r>
          </w:p>
        </w:tc>
        <w:tc>
          <w:tcPr>
            <w:tcW w:type="dxa" w:w="4680"/>
          </w:tcPr>
          <w:p>
            <w:r>
              <w:rPr>
                <w:rFonts w:ascii="Calibri" w:hAnsi="Calibri"/>
                <w:sz w:val="18"/>
              </w:rPr>
              <w:t>Receiver Operating Characteristic</w:t>
            </w:r>
          </w:p>
        </w:tc>
      </w:tr>
      <w:tr>
        <w:tc>
          <w:tcPr>
            <w:tcW w:type="dxa" w:w="4680"/>
          </w:tcPr>
          <w:p>
            <w:r>
              <w:rPr>
                <w:rFonts w:ascii="Calibri" w:hAnsi="Calibri"/>
                <w:sz w:val="18"/>
              </w:rPr>
              <w:t>IQR</w:t>
            </w:r>
          </w:p>
        </w:tc>
        <w:tc>
          <w:tcPr>
            <w:tcW w:type="dxa" w:w="4680"/>
          </w:tcPr>
          <w:p>
            <w:r>
              <w:rPr>
                <w:rFonts w:ascii="Calibri" w:hAnsi="Calibri"/>
                <w:sz w:val="18"/>
              </w:rPr>
              <w:t>Interquartile Range</w:t>
            </w:r>
          </w:p>
        </w:tc>
      </w:tr>
      <w:tr>
        <w:tc>
          <w:tcPr>
            <w:tcW w:type="dxa" w:w="4680"/>
          </w:tcPr>
          <w:p>
            <w:r>
              <w:rPr>
                <w:rFonts w:ascii="Calibri" w:hAnsi="Calibri"/>
                <w:sz w:val="18"/>
              </w:rPr>
              <w:t>PCA</w:t>
            </w:r>
          </w:p>
        </w:tc>
        <w:tc>
          <w:tcPr>
            <w:tcW w:type="dxa" w:w="4680"/>
          </w:tcPr>
          <w:p>
            <w:r>
              <w:rPr>
                <w:rFonts w:ascii="Calibri" w:hAnsi="Calibri"/>
                <w:sz w:val="18"/>
              </w:rPr>
              <w:t>Principal Component Analysis</w:t>
            </w:r>
          </w:p>
        </w:tc>
      </w:tr>
      <w:tr>
        <w:tc>
          <w:tcPr>
            <w:tcW w:type="dxa" w:w="4680"/>
          </w:tcPr>
          <w:p>
            <w:r>
              <w:rPr>
                <w:rFonts w:ascii="Calibri" w:hAnsi="Calibri"/>
                <w:sz w:val="18"/>
              </w:rPr>
              <w:t>MI</w:t>
            </w:r>
          </w:p>
        </w:tc>
        <w:tc>
          <w:tcPr>
            <w:tcW w:type="dxa" w:w="4680"/>
          </w:tcPr>
          <w:p>
            <w:r>
              <w:rPr>
                <w:rFonts w:ascii="Calibri" w:hAnsi="Calibri"/>
                <w:sz w:val="18"/>
              </w:rPr>
              <w:t>Mutual Information</w:t>
            </w:r>
          </w:p>
        </w:tc>
      </w:tr>
    </w:tbl>
    <w:p>
      <w:r>
        <w:br w:type="page"/>
      </w:r>
    </w:p>
    <w:p>
      <w:pPr>
        <w:pStyle w:val="Heading1"/>
      </w:pPr>
      <w:r>
        <w:t>Chapter 1 — Abstract</w:t>
      </w:r>
    </w:p>
    <w:p>
      <w:pPr>
        <w:spacing w:after="120" w:line="276" w:lineRule="auto"/>
      </w:pPr>
      <w:r>
        <w:rPr>
          <w:rFonts w:ascii="Calibri" w:hAnsi="Calibri"/>
          <w:sz w:val="22"/>
        </w:rPr>
        <w:t>The accelerating adoption of smart home technology across the UAE and wider Gulf region demands innovations that are simultaneously energy-efficient, intelligent, and economically accessible. This report presents SolarGuard: a solar-powered smart home system integrating Internet of Things (IoT) hardware, a trained machine learning model, and a Progressive Web Application (PWA) to automate residential energy management and enhance home security.</w:t>
      </w:r>
    </w:p>
    <w:p>
      <w:pPr>
        <w:spacing w:after="120" w:line="276" w:lineRule="auto"/>
      </w:pPr>
      <w:r>
        <w:rPr>
          <w:rFonts w:ascii="Calibri" w:hAnsi="Calibri"/>
          <w:sz w:val="22"/>
        </w:rPr>
        <w:t>The project addresses two core residential challenges: unnecessary energy waste caused by devices operating in unoccupied rooms, and inadequate residential security through passive or manual-only monitoring. SolarGuard resolves both through an autonomous, data-driven system powered entirely by renewable solar energy.</w:t>
      </w:r>
    </w:p>
    <w:p>
      <w:pPr>
        <w:spacing w:after="120" w:line="276" w:lineRule="auto"/>
      </w:pPr>
      <w:r>
        <w:rPr>
          <w:rFonts w:ascii="Calibri" w:hAnsi="Calibri"/>
          <w:sz w:val="22"/>
        </w:rPr>
        <w:t>The hardware architecture on the ESP32 side comprises a PIR motion sensor, LDR light sensor, DHT22 temperature and humidity module, a three-channel relay board controlling a ceiling fan, room LED, and door electric lock, a servo motor for gate control, and a buzzer for audible security alerts — all powered through a solar panel, TP4056 charge controller, 18650 lithium-ion battery, and MT3608 boost converter delivering a regulated 5.1V rail. The Raspberry Pi subsystem adds AI-powered visual intelligence: LBPH-based face recognition, HOG-based fall detection, animal detection using Haar cascades and motion blob heuristics, and a live MJPEG camera stream to the PWA.</w:t>
      </w:r>
    </w:p>
    <w:p>
      <w:pPr>
        <w:spacing w:after="120" w:line="276" w:lineRule="auto"/>
      </w:pPr>
      <w:r>
        <w:rPr>
          <w:rFonts w:ascii="Calibri" w:hAnsi="Calibri"/>
          <w:sz w:val="22"/>
        </w:rPr>
        <w:t>Both subsystems communicate bidirectionally through a shared Firebase Realtime Database. The ESP32 reads sensor data every five seconds and publishes to Firebase and MQTT simultaneously. The PWA subscribes as a real-time Firebase client, rendering live dashboards, device controls, analytics charts, and security feeds.</w:t>
      </w:r>
    </w:p>
    <w:p>
      <w:pPr>
        <w:spacing w:after="120" w:line="276" w:lineRule="auto"/>
      </w:pPr>
      <w:r>
        <w:rPr>
          <w:rFonts w:ascii="Calibri" w:hAnsi="Calibri"/>
          <w:sz w:val="22"/>
        </w:rPr>
        <w:t>The machine learning component is an 8-step scikit-learn pipeline trained on a purpose-built 2,264-record Dubai smart-room dataset spanning January to December 2024. Five classifiers — Random Forest, SVM, Gradient Boosting, Decision Tree, and Logistic Regression — were compared across accuracy, F1, precision, recall, and AUC metrics under 5-fold stratified cross-validation. Random Forest achieved the highest performance at 99.12% accuracy, F1-score 0.9912, and ROC-AUC 0.9992. A 12-feature engineering step added domain-specific constructs (Temperature-Humidity Index, light categories, cyclical time encodings, PIR trend, and interaction features), and GridSearchCV with a 108-combination parameter grid was applied for hyperparameter optimisation. The embedded firmware on the ESP32 implements a simplified rule-based decision tree extracted from the Random Forest's primary split nodes, enabling real-time on-device occupancy prediction without cloud inference latency.</w:t>
      </w:r>
    </w:p>
    <w:p>
      <w:pPr>
        <w:spacing w:after="120" w:line="276" w:lineRule="auto"/>
      </w:pPr>
      <w:r>
        <w:rPr>
          <w:rFonts w:ascii="Calibri" w:hAnsi="Calibri"/>
          <w:sz w:val="22"/>
        </w:rPr>
        <w:t>The secondary comfort score regression task achieved R² = 0.9702 (MAE = 0.27, RMSE = 1.66), demonstrating excellent predictive capability for the composite indoor comfort metric. In real-world-equivalent testing, the system correctly turned off devices within one polling cycle (5 seconds) of the room becoming vacant, reducing simulated energy consumption by an estimated 30–45% relative to a non-automated baseline. The total hardware cost is under AED 150, making SolarGuard one of the most cost-effective solar smart home systems demonstrated at the URIC 2026 competition.</w:t>
      </w:r>
    </w:p>
    <w:p>
      <w:r>
        <w:br w:type="page"/>
      </w:r>
    </w:p>
    <w:p>
      <w:pPr>
        <w:pStyle w:val="Heading1"/>
      </w:pPr>
      <w:r>
        <w:t>Chapter 2 — Introduction</w:t>
      </w:r>
    </w:p>
    <w:p>
      <w:pPr>
        <w:pStyle w:val="Heading2"/>
      </w:pPr>
      <w:r>
        <w:t>2.1 — Problem Definition</w:t>
      </w:r>
    </w:p>
    <w:p>
      <w:pPr>
        <w:spacing w:after="120" w:line="276" w:lineRule="auto"/>
      </w:pPr>
      <w:r>
        <w:rPr>
          <w:rFonts w:ascii="Calibri" w:hAnsi="Calibri"/>
          <w:sz w:val="22"/>
        </w:rPr>
        <w:t>The United Arab Emirates is among the world's highest per-capita energy consumers. According to the International Energy Agency (IEA, 2023), the UAE's electricity consumption per capita exceeds the global average by a factor of 3.4, driven significantly by residential air conditioning, artificial lighting, and continuously-active electrical appliances in a climate where outdoor temperatures routinely exceed 40°C. A substantial proportion of this consumption is wasteful: devices operate in rooms with no occupants, lights remain on when natural sunlight is sufficient, and fans run through the night in empty bedrooms.</w:t>
      </w:r>
    </w:p>
    <w:p>
      <w:pPr>
        <w:spacing w:after="120" w:line="276" w:lineRule="auto"/>
      </w:pPr>
      <w:r>
        <w:rPr>
          <w:rFonts w:ascii="Calibri" w:hAnsi="Calibri"/>
          <w:sz w:val="22"/>
        </w:rPr>
        <w:t>Simultaneously, home security in the region remains heavily dependent on passive measures. Traditional door locks, basic CCTV systems, and non-intelligent alarm triggers fail to leverage the computational capabilities now available at commodity price points. They cannot distinguish between known household members and intruders, cannot detect medical emergencies such as falls, and cannot alert homeowners in real time with meaningful contextual information.</w:t>
      </w:r>
    </w:p>
    <w:p>
      <w:pPr>
        <w:spacing w:after="120" w:line="276" w:lineRule="auto"/>
      </w:pPr>
      <w:r>
        <w:rPr>
          <w:rFonts w:ascii="Calibri" w:hAnsi="Calibri"/>
          <w:sz w:val="22"/>
        </w:rPr>
        <w:t>The confluence of these two problems — energy waste and passive security — creates a clear engineering opportunity. A unified system that intelligently senses occupancy, automates devices accordingly, and applies computer vision and machine learning to security events can simultaneously reduce electricity bills, advance the UAE's renewable energy goals, and meaningfully improve residential safety. SolarGuard was designed to be precisely such a system.</w:t>
      </w:r>
    </w:p>
    <w:p>
      <w:pPr>
        <w:pStyle w:val="Heading2"/>
      </w:pPr>
      <w:r>
        <w:t>2.2 — Aims and Objectives</w:t>
      </w:r>
    </w:p>
    <w:p>
      <w:pPr>
        <w:spacing w:after="120" w:line="276" w:lineRule="auto"/>
      </w:pPr>
      <w:r>
        <w:rPr>
          <w:rFonts w:ascii="Calibri" w:hAnsi="Calibri"/>
          <w:sz w:val="22"/>
        </w:rPr>
        <w:t>The primary aim of SolarGuard is to design, implement, and validate an end-to-end solar-powered smart home system combining IoT sensing, machine learning occupancy prediction, computer vision security, and a real-time Progressive Web App — capable of demonstrating measurable energy savings and enhanced security monitoring in a UAE residential context.</w:t>
      </w:r>
    </w:p>
    <w:p>
      <w:pPr>
        <w:pStyle w:val="ListBullet"/>
      </w:pPr>
      <w:r>
        <w:rPr>
          <w:sz w:val="22"/>
        </w:rPr>
        <w:t>Objective 1 — Solar-Powered, Self-Sustaining Hardware: Construct a functional power system using a solar panel, TP4056 charge controller, 18650 battery, and MT3608 boost converter delivering stable 5.1V to all actuators and peripherals. Target: validated in Week 2.</w:t>
      </w:r>
    </w:p>
    <w:p>
      <w:pPr>
        <w:pStyle w:val="ListBullet"/>
      </w:pPr>
      <w:r>
        <w:rPr>
          <w:sz w:val="22"/>
        </w:rPr>
        <w:t>Objective 2 — Real-Time Sensor Data &amp; Cloud Sync: Deploy an ESP32 that reads PIR, LDR, and temperature/humidity sensors every 5 seconds and publishes to Firebase Realtime Database with round-trip latency below 2 seconds. Target: Week 3.</w:t>
      </w:r>
    </w:p>
    <w:p>
      <w:pPr>
        <w:pStyle w:val="ListBullet"/>
      </w:pPr>
      <w:r>
        <w:rPr>
          <w:sz w:val="22"/>
        </w:rPr>
        <w:t>Objective 3 — ML Occupancy Prediction (≥90% accuracy): Train a scikit-learn classification pipeline on a domain-specific dataset and achieve at least 90% accuracy and 0.90 F1-score on the held-out test set, evaluated with 5-fold cross-validation. Target: Week 4.</w:t>
      </w:r>
    </w:p>
    <w:p>
      <w:pPr>
        <w:pStyle w:val="ListBullet"/>
      </w:pPr>
      <w:r>
        <w:rPr>
          <w:sz w:val="22"/>
        </w:rPr>
        <w:t>Objective 4 — Embedded ML on ESP32: Port the trained model's primary decision logic into embedded C++ to enable on-device occupancy inference without cloud dependency. Target: Week 4.</w:t>
      </w:r>
    </w:p>
    <w:p>
      <w:pPr>
        <w:pStyle w:val="ListBullet"/>
      </w:pPr>
      <w:r>
        <w:rPr>
          <w:sz w:val="22"/>
        </w:rPr>
        <w:t>Objective 5 — AI Camera Security Subsystem: Implement face recognition, fall detection, and animal detection on the Raspberry Pi camera module, with real-time push of detection results to Firebase and the PWA. Target: Week 5.</w:t>
      </w:r>
    </w:p>
    <w:p>
      <w:pPr>
        <w:pStyle w:val="ListBullet"/>
      </w:pPr>
      <w:r>
        <w:rPr>
          <w:sz w:val="22"/>
        </w:rPr>
        <w:t>Objective 6 — Installable PWA Dashboard: Deploy a Progressive Web App to Firebase Hosting that renders real-time sensor data, device controls, analytics charts, and the live camera feed, installable as a native-equivalent app on iOS and Android. Target: Week 6.</w:t>
      </w:r>
    </w:p>
    <w:p>
      <w:pPr>
        <w:pStyle w:val="Heading2"/>
      </w:pPr>
      <w:r>
        <w:t>2.3 — Project Description</w:t>
      </w:r>
    </w:p>
    <w:p>
      <w:pPr>
        <w:spacing w:after="120" w:line="276" w:lineRule="auto"/>
      </w:pPr>
      <w:r>
        <w:rPr>
          <w:rFonts w:ascii="Calibri" w:hAnsi="Calibri"/>
          <w:sz w:val="22"/>
        </w:rPr>
        <w:t>SolarGuard is a two-subsystem smart home platform:</w:t>
      </w:r>
    </w:p>
    <w:p>
      <w:pPr>
        <w:spacing w:after="120" w:line="276" w:lineRule="auto"/>
      </w:pPr>
      <w:r>
        <w:rPr>
          <w:rFonts w:ascii="Calibri" w:hAnsi="Calibri"/>
          <w:sz w:val="22"/>
        </w:rPr>
        <w:t>Subsystem A — ESP32 + ML + PWA (Abdul Hadi &amp; Rehan): An ESP32 microcontroller reads a PIR motion sensor, LDR light sensor, and optionally a DHT22 temperature/humidity module every 5 seconds. The firmware runs an embedded occupancy prediction algorithm derived from the trained Random Forest model, then applies automated control logic: the ceiling fan turns on when the room is occupied or temperature exceeds 28°C; the room LED activates when the room is occupied and light levels fall below 700 ADC units; the door locks automatically when the Raspberry Pi detects an unknown person. A battery voltage divider on GPIO 35 monitors the solar battery charge level. All data is published simultaneously to Firebase Realtime Database (via HTTPS REST) and an MQTT broker (HiveMQ), and a PWA displays everything in real time on the user's phone.</w:t>
      </w:r>
    </w:p>
    <w:p>
      <w:pPr>
        <w:spacing w:after="120" w:line="276" w:lineRule="auto"/>
      </w:pPr>
      <w:r>
        <w:rPr>
          <w:rFonts w:ascii="Calibri" w:hAnsi="Calibri"/>
          <w:sz w:val="22"/>
        </w:rPr>
        <w:t>Subsystem B — Raspberry Pi + Camera Security (M Sajid): A Raspberry Pi equipped with a camera module runs three concurrent detection pipelines: (1) LBPH face recognition — persons with confidence scores below 80 are classified as known; above 80 triggers an unknown-person alert pushed to Firebase, which automatically locks the door on the ESP32 side; (2) fall detection using HOG person detection combined with an aspect-ratio heuristic — a bounding box wider than tall by more than a 1.2 ratio for four consecutive frames triggers a fall alert; (3) animal detection using the OpenCV cat-face Haar cascade combined with ground-level motion blob analysis. All three pipelines write their results to Firebase paths that the PWA subscribes to in real time. A built-in HTTP server streams MJPEG video at 20 FPS on port 8080 for the PWA live camera view.</w:t>
      </w:r>
    </w:p>
    <w:p>
      <w:pPr>
        <w:pStyle w:val="Heading2"/>
      </w:pPr>
      <w:r>
        <w:t>2.4 — SDG Alignment</w:t>
      </w:r>
    </w:p>
    <w:p>
      <w:pPr>
        <w:spacing w:after="120" w:line="276" w:lineRule="auto"/>
      </w:pPr>
      <w:r>
        <w:rPr>
          <w:rFonts w:ascii="Calibri" w:hAnsi="Calibri"/>
          <w:sz w:val="22"/>
        </w:rPr>
        <w:t>SDG 7 — Affordable and Clean Energy: The system is powered entirely by a solar panel, with smart automation reducing electricity consumption by an estimated 30–45% relative to always-on operation. This is directly in line with Target 7.3: doubling the global rate of improvement in energy efficiency by 2030.</w:t>
      </w:r>
    </w:p>
    <w:p>
      <w:pPr>
        <w:spacing w:after="120" w:line="276" w:lineRule="auto"/>
      </w:pPr>
      <w:r>
        <w:rPr>
          <w:rFonts w:ascii="Calibri" w:hAnsi="Calibri"/>
          <w:sz w:val="22"/>
        </w:rPr>
        <w:t>SDG 9 — Industry, Innovation and Infrastructure: SolarGuard demonstrates that machine learning applied to affordable IoT hardware (total BOM under AED 150) can deliver first-world smart-home capabilities without proprietary ecosystems or expensive subscription services.</w:t>
      </w:r>
    </w:p>
    <w:p>
      <w:pPr>
        <w:spacing w:after="120" w:line="276" w:lineRule="auto"/>
      </w:pPr>
      <w:r>
        <w:rPr>
          <w:rFonts w:ascii="Calibri" w:hAnsi="Calibri"/>
          <w:sz w:val="22"/>
        </w:rPr>
        <w:t>SDG 11 — Sustainable Cities and Communities: Occupancy-based device automation directly reduces per-household energy waste, a primary driver of urban carbon emissions in the UAE. A city-scale deployment of SolarGuard-class systems would represent a meaningful contribution to the UAE's Net Zero by 2050 strategic initiative.</w:t>
      </w:r>
    </w:p>
    <w:p>
      <w:r>
        <w:br w:type="page"/>
      </w:r>
    </w:p>
    <w:p>
      <w:pPr>
        <w:pStyle w:val="Heading1"/>
      </w:pPr>
      <w:r>
        <w:t>Chapter 3 — Literature Review</w:t>
      </w:r>
    </w:p>
    <w:p>
      <w:pPr>
        <w:pStyle w:val="Heading2"/>
      </w:pPr>
      <w:r>
        <w:t>3.1 — IoT in Smart Homes</w:t>
      </w:r>
    </w:p>
    <w:p>
      <w:pPr>
        <w:spacing w:after="120" w:line="276" w:lineRule="auto"/>
      </w:pPr>
      <w:r>
        <w:rPr>
          <w:rFonts w:ascii="Calibri" w:hAnsi="Calibri"/>
          <w:sz w:val="22"/>
        </w:rPr>
        <w:t>The smart home IoT market is one of the fastest-growing segments of the global technology industry. Grand View Research (2023) valued the global smart home market at USD 80.6 billion in 2022, projecting growth at a CAGR of 27.1% through 2030, driven primarily by energy management and security applications. In the GCC region, the UAE has been identified as the leading adopter of smart home technology in the Middle East (Mordor Intelligence, 2022).</w:t>
      </w:r>
    </w:p>
    <w:p>
      <w:pPr>
        <w:spacing w:after="120" w:line="276" w:lineRule="auto"/>
      </w:pPr>
      <w:r>
        <w:rPr>
          <w:rFonts w:ascii="Calibri" w:hAnsi="Calibri"/>
          <w:sz w:val="22"/>
        </w:rPr>
        <w:t>The foundational engineering challenge of IoT systems for smart homes centres on latency, reliability, and security, as identified by Atzori, Iera, and Morabito (2021). Firebase Realtime Database was found to be particularly well-suited to residential IoT deployments due to its persistent WebSocket connection, sub-second latency at moderate concurrency, and automatic TLS encryption.</w:t>
      </w:r>
    </w:p>
    <w:p>
      <w:pPr>
        <w:pStyle w:val="Heading2"/>
      </w:pPr>
      <w:r>
        <w:t>3.2 — Machine Learning for Occupancy Detection</w:t>
      </w:r>
    </w:p>
    <w:p>
      <w:pPr>
        <w:spacing w:after="120" w:line="276" w:lineRule="auto"/>
      </w:pPr>
      <w:r>
        <w:rPr>
          <w:rFonts w:ascii="Calibri" w:hAnsi="Calibri"/>
          <w:sz w:val="22"/>
        </w:rPr>
        <w:t>Occupancy detection is the central intelligence problem in energy-efficient smart buildings. Candanedo and Feldheim (2016), in one of the most widely cited papers in this domain, demonstrated that a Random Forest classifier trained on CO₂, temperature, humidity, and light data could detect office occupancy with 98.9% accuracy. Minoli, Sohraby, and Occhiogrosso (2017) reviewed occupancy-based HVAC control systems and found that machine-learning-based automation produced energy savings of 25–40% compared to fixed-schedule systems.</w:t>
      </w:r>
    </w:p>
    <w:p>
      <w:pPr>
        <w:pStyle w:val="Heading2"/>
      </w:pPr>
      <w:r>
        <w:t>3.3 — Solar-Powered IoT Systems</w:t>
      </w:r>
    </w:p>
    <w:p>
      <w:pPr>
        <w:spacing w:after="120" w:line="276" w:lineRule="auto"/>
      </w:pPr>
      <w:r>
        <w:rPr>
          <w:rFonts w:ascii="Calibri" w:hAnsi="Calibri"/>
          <w:sz w:val="22"/>
        </w:rPr>
        <w:t>The feasibility of solar-powered microcontroller systems for continuous indoor sensing has been established by several research groups. Given that Dubai's average daily solar irradiance exceeds 5.8 kWh/m²/day (IRENA, 2019), a solar-powered ESP32 system is both geometrically feasible and commercially attractive. The TP4056 charge controller has become a de facto standard for small-scale IoT solar power circuits due to its CC/CV charging profile and built-in overcharge protection at 4.2V.</w:t>
      </w:r>
    </w:p>
    <w:p>
      <w:pPr>
        <w:pStyle w:val="Heading2"/>
      </w:pPr>
      <w:r>
        <w:t>3.4 — Face Recognition Systems</w:t>
      </w:r>
    </w:p>
    <w:p>
      <w:pPr>
        <w:spacing w:after="120" w:line="276" w:lineRule="auto"/>
      </w:pPr>
      <w:r>
        <w:rPr>
          <w:rFonts w:ascii="Calibri" w:hAnsi="Calibri"/>
          <w:sz w:val="22"/>
        </w:rPr>
        <w:t>LBPH (Local Binary Patterns Histograms) was selected for the Raspberry Pi security subsystem as it is supported natively by OpenCV's cv2.face.LBPHFaceRecognizer, requires no GPU, trains on small datasets (15–25 images per person), runs in real time on ARM-based hardware, and is tolerant of moderate illumination variation. Ahonen, Hadid, and Pietikäinen (2006) demonstrated that LBPH significantly outperforms PCA-based eigenface approaches under uncontrolled illumination conditions.</w:t>
      </w:r>
    </w:p>
    <w:p>
      <w:pPr>
        <w:pStyle w:val="Heading2"/>
      </w:pPr>
      <w:r>
        <w:t>3.5 — Progressive Web Applications</w:t>
      </w:r>
    </w:p>
    <w:p>
      <w:pPr>
        <w:spacing w:after="120" w:line="276" w:lineRule="auto"/>
      </w:pPr>
      <w:r>
        <w:rPr>
          <w:rFonts w:ascii="Calibri" w:hAnsi="Calibri"/>
          <w:sz w:val="22"/>
        </w:rPr>
        <w:t>Progressive Web Apps bridge native and web application experiences by leveraging Service Workers, Web App Manifests, and modern browser APIs. Google (2024) reports that PWAs achieve installation rates 36 times higher than equivalent native apps on Android when deployed through Firebase Hosting with proper manifest configuration. The SolarGuard PWA uses Chart.js 4.4.0 for live streaming charts, Firebase SDK 9.22.0 for real-time database subscriptions, and the Open-Meteo API for live Dubai outdoor temperature data.</w:t>
      </w:r>
    </w:p>
    <w:p>
      <w:pPr>
        <w:pStyle w:val="Heading2"/>
      </w:pPr>
      <w:r>
        <w:t>3.6 — Gap Analysis</w:t>
      </w:r>
    </w:p>
    <w:p>
      <w:pPr>
        <w:spacing w:after="120" w:line="276" w:lineRule="auto"/>
      </w:pPr>
      <w:r>
        <w:rPr>
          <w:rFonts w:ascii="Calibri" w:hAnsi="Calibri"/>
          <w:sz w:val="22"/>
        </w:rPr>
        <w:t>No published or commercially available system combines: (1) solar-powered IoT sensing, (2) on-device ML inference on a microcontroller, (3) computer vision security from camera hardware, (4) real-time cloud synchronisation, and (5) an installable PWA interface — all within a unified, affordable architecture demonstrably applicable to the UAE residential context. SolarGuard addresses precisely this gap.</w:t>
      </w:r>
    </w:p>
    <w:p>
      <w:pPr>
        <w:pStyle w:val="Heading2"/>
      </w:pPr>
      <w:r>
        <w:t>3.7 — Class Diagram</w:t>
      </w:r>
    </w:p>
    <w:p>
      <w:pPr>
        <w:jc w:val="center"/>
      </w:pPr>
      <w:r>
        <w:drawing>
          <wp:inline xmlns:a="http://schemas.openxmlformats.org/drawingml/2006/main" xmlns:pic="http://schemas.openxmlformats.org/drawingml/2006/picture">
            <wp:extent cx="5669280" cy="9520831"/>
            <wp:docPr id="1" name="Picture 1"/>
            <wp:cNvGraphicFramePr>
              <a:graphicFrameLocks noChangeAspect="1"/>
            </wp:cNvGraphicFramePr>
            <a:graphic>
              <a:graphicData uri="http://schemas.openxmlformats.org/drawingml/2006/picture">
                <pic:pic>
                  <pic:nvPicPr>
                    <pic:cNvPr id="0" name="uml_class.png"/>
                    <pic:cNvPicPr/>
                  </pic:nvPicPr>
                  <pic:blipFill>
                    <a:blip r:embed="rId11"/>
                    <a:stretch>
                      <a:fillRect/>
                    </a:stretch>
                  </pic:blipFill>
                  <pic:spPr>
                    <a:xfrm>
                      <a:off x="0" y="0"/>
                      <a:ext cx="5669280" cy="9520831"/>
                    </a:xfrm>
                    <a:prstGeom prst="rect"/>
                  </pic:spPr>
                </pic:pic>
              </a:graphicData>
            </a:graphic>
          </wp:inline>
        </w:drawing>
      </w:r>
    </w:p>
    <w:p>
      <w:pPr>
        <w:jc w:val="center"/>
      </w:pPr>
      <w:r>
        <w:rPr>
          <w:i/>
          <w:color w:val="646464"/>
          <w:sz w:val="18"/>
        </w:rPr>
        <w:t>Figure — UML Class Diagram</w:t>
      </w:r>
    </w:p>
    <w:p>
      <w:pPr>
        <w:spacing w:after="120" w:line="276" w:lineRule="auto"/>
      </w:pPr>
      <w:r>
        <w:rPr>
          <w:rFonts w:ascii="Calibri" w:hAnsi="Calibri"/>
          <w:sz w:val="22"/>
        </w:rPr>
        <w:t>The UML Class Diagram for SolarGuard is structured around four primary classes: SolarGuardSystem (the ESP32 firmware controller), SecuritySubsystem (the Raspberry Pi detection engine), MLPipeline (the scikit-learn training pipeline), and PWAApplication (the client-side Progressive Web App). Each class encapsulates its domain-specific attributes and methods, communicating through the shared Firebase Realtime Database as the central integration bus.</w:t>
      </w:r>
    </w:p>
    <w:p>
      <w:pPr>
        <w:pStyle w:val="Heading2"/>
      </w:pPr>
      <w:r>
        <w:t>3.8 — UML Use Case Diagram</w:t>
      </w:r>
    </w:p>
    <w:p>
      <w:pPr>
        <w:jc w:val="center"/>
      </w:pPr>
      <w:r>
        <w:drawing>
          <wp:inline xmlns:a="http://schemas.openxmlformats.org/drawingml/2006/main" xmlns:pic="http://schemas.openxmlformats.org/drawingml/2006/picture">
            <wp:extent cx="5669280" cy="6246242"/>
            <wp:docPr id="2" name="Picture 2"/>
            <wp:cNvGraphicFramePr>
              <a:graphicFrameLocks noChangeAspect="1"/>
            </wp:cNvGraphicFramePr>
            <a:graphic>
              <a:graphicData uri="http://schemas.openxmlformats.org/drawingml/2006/picture">
                <pic:pic>
                  <pic:nvPicPr>
                    <pic:cNvPr id="0" name="uml_usecase.png"/>
                    <pic:cNvPicPr/>
                  </pic:nvPicPr>
                  <pic:blipFill>
                    <a:blip r:embed="rId12"/>
                    <a:stretch>
                      <a:fillRect/>
                    </a:stretch>
                  </pic:blipFill>
                  <pic:spPr>
                    <a:xfrm>
                      <a:off x="0" y="0"/>
                      <a:ext cx="5669280" cy="6246242"/>
                    </a:xfrm>
                    <a:prstGeom prst="rect"/>
                  </pic:spPr>
                </pic:pic>
              </a:graphicData>
            </a:graphic>
          </wp:inline>
        </w:drawing>
      </w:r>
    </w:p>
    <w:p>
      <w:pPr>
        <w:jc w:val="center"/>
      </w:pPr>
      <w:r>
        <w:rPr>
          <w:i/>
          <w:color w:val="646464"/>
          <w:sz w:val="18"/>
        </w:rPr>
        <w:t>Figure — UML Use Case Diagram</w:t>
      </w:r>
    </w:p>
    <w:p>
      <w:pPr>
        <w:spacing w:after="120" w:line="276" w:lineRule="auto"/>
      </w:pPr>
      <w:r>
        <w:rPr>
          <w:rFonts w:ascii="Calibri" w:hAnsi="Calibri"/>
          <w:sz w:val="22"/>
        </w:rPr>
        <w:t>The system identifies four primary actors: Resident (direct user of the PWA and physical system), Caregiver (remote monitoring via PWA), ESP32 (autonomous sensor reading, ML prediction, and device control), and Raspberry Pi (camera capture, face recognition, fall/animal detection). Firebase serves as the passive data store connecting all actors. Key use cases include: View Live Dashboard, Control Devices, Switch Auto/Manual Mode, View Security Feed, Detect Unknown Faces, Detect Falls, and Stream MJPEG Video.</w:t>
      </w:r>
    </w:p>
    <w:p>
      <w:r>
        <w:br w:type="page"/>
      </w:r>
    </w:p>
    <w:p>
      <w:pPr>
        <w:pStyle w:val="Heading1"/>
      </w:pPr>
      <w:r>
        <w:t>Chapter 4 — Design Methodology</w:t>
      </w:r>
    </w:p>
    <w:p>
      <w:pPr>
        <w:pStyle w:val="Heading2"/>
      </w:pPr>
      <w:r>
        <w:t>4.1 — Requirement Specifications</w:t>
      </w:r>
    </w:p>
    <w:p>
      <w:pPr>
        <w:pStyle w:val="Heading3"/>
      </w:pPr>
      <w:r>
        <w:t>Hardware Components — ESP32 Side</w:t>
      </w:r>
    </w:p>
    <w:tbl>
      <w:tblPr>
        <w:tblW w:type="auto" w:w="0"/>
        <w:jc w:val="center"/>
        <w:tblLook w:firstColumn="1" w:firstRow="1" w:lastColumn="0" w:lastRow="0" w:noHBand="0" w:noVBand="1" w:val="04A0"/>
      </w:tblPr>
      <w:tblGrid>
        <w:gridCol w:w="3120"/>
        <w:gridCol w:w="3120"/>
        <w:gridCol w:w="3120"/>
      </w:tblGrid>
      <w:tr>
        <w:tc>
          <w:tcPr>
            <w:tcW w:type="dxa" w:w="3120"/>
            <w:shd w:fill="1F3864"/>
          </w:tcPr>
          <w:p>
            <w:r>
              <w:rPr>
                <w:b/>
                <w:color w:val="FFFFFF"/>
                <w:sz w:val="18"/>
              </w:rPr>
              <w:t>Component</w:t>
            </w:r>
          </w:p>
        </w:tc>
        <w:tc>
          <w:tcPr>
            <w:tcW w:type="dxa" w:w="3120"/>
            <w:shd w:fill="1F3864"/>
          </w:tcPr>
          <w:p>
            <w:r>
              <w:rPr>
                <w:b/>
                <w:color w:val="FFFFFF"/>
                <w:sz w:val="18"/>
              </w:rPr>
              <w:t>Specification</w:t>
            </w:r>
          </w:p>
        </w:tc>
        <w:tc>
          <w:tcPr>
            <w:tcW w:type="dxa" w:w="3120"/>
            <w:shd w:fill="1F3864"/>
          </w:tcPr>
          <w:p>
            <w:r>
              <w:rPr>
                <w:b/>
                <w:color w:val="FFFFFF"/>
                <w:sz w:val="18"/>
              </w:rPr>
              <w:t>Purpose</w:t>
            </w:r>
          </w:p>
        </w:tc>
      </w:tr>
      <w:tr>
        <w:tc>
          <w:tcPr>
            <w:tcW w:type="dxa" w:w="3120"/>
          </w:tcPr>
          <w:p>
            <w:r>
              <w:rPr>
                <w:rFonts w:ascii="Calibri" w:hAnsi="Calibri"/>
                <w:sz w:val="18"/>
              </w:rPr>
              <w:t>ESP32 Dev Module</w:t>
            </w:r>
          </w:p>
        </w:tc>
        <w:tc>
          <w:tcPr>
            <w:tcW w:type="dxa" w:w="3120"/>
          </w:tcPr>
          <w:p>
            <w:r>
              <w:rPr>
                <w:rFonts w:ascii="Calibri" w:hAnsi="Calibri"/>
                <w:sz w:val="18"/>
              </w:rPr>
              <w:t>Dual-core Xtensa LX6, 240MHz, WiFi</w:t>
            </w:r>
          </w:p>
        </w:tc>
        <w:tc>
          <w:tcPr>
            <w:tcW w:type="dxa" w:w="3120"/>
          </w:tcPr>
          <w:p>
            <w:r>
              <w:rPr>
                <w:rFonts w:ascii="Calibri" w:hAnsi="Calibri"/>
                <w:sz w:val="18"/>
              </w:rPr>
              <w:t>Central controller, WiFi, MQTT, Firebase</w:t>
            </w:r>
          </w:p>
        </w:tc>
      </w:tr>
      <w:tr>
        <w:tc>
          <w:tcPr>
            <w:tcW w:type="dxa" w:w="3120"/>
          </w:tcPr>
          <w:p>
            <w:r>
              <w:rPr>
                <w:rFonts w:ascii="Calibri" w:hAnsi="Calibri"/>
                <w:sz w:val="18"/>
              </w:rPr>
              <w:t>Solar Panel</w:t>
            </w:r>
          </w:p>
        </w:tc>
        <w:tc>
          <w:tcPr>
            <w:tcW w:type="dxa" w:w="3120"/>
          </w:tcPr>
          <w:p>
            <w:r>
              <w:rPr>
                <w:rFonts w:ascii="Calibri" w:hAnsi="Calibri"/>
                <w:sz w:val="18"/>
              </w:rPr>
              <w:t>6V, ~2W nominal</w:t>
            </w:r>
          </w:p>
        </w:tc>
        <w:tc>
          <w:tcPr>
            <w:tcW w:type="dxa" w:w="3120"/>
          </w:tcPr>
          <w:p>
            <w:r>
              <w:rPr>
                <w:rFonts w:ascii="Calibri" w:hAnsi="Calibri"/>
                <w:sz w:val="18"/>
              </w:rPr>
              <w:t>Primary power input</w:t>
            </w:r>
          </w:p>
        </w:tc>
      </w:tr>
      <w:tr>
        <w:tc>
          <w:tcPr>
            <w:tcW w:type="dxa" w:w="3120"/>
          </w:tcPr>
          <w:p>
            <w:r>
              <w:rPr>
                <w:rFonts w:ascii="Calibri" w:hAnsi="Calibri"/>
                <w:sz w:val="18"/>
              </w:rPr>
              <w:t>TP4056 Module</w:t>
            </w:r>
          </w:p>
        </w:tc>
        <w:tc>
          <w:tcPr>
            <w:tcW w:type="dxa" w:w="3120"/>
          </w:tcPr>
          <w:p>
            <w:r>
              <w:rPr>
                <w:rFonts w:ascii="Calibri" w:hAnsi="Calibri"/>
                <w:sz w:val="18"/>
              </w:rPr>
              <w:t>CC/CV charging, 4.2V cutoff</w:t>
            </w:r>
          </w:p>
        </w:tc>
        <w:tc>
          <w:tcPr>
            <w:tcW w:type="dxa" w:w="3120"/>
          </w:tcPr>
          <w:p>
            <w:r>
              <w:rPr>
                <w:rFonts w:ascii="Calibri" w:hAnsi="Calibri"/>
                <w:sz w:val="18"/>
              </w:rPr>
              <w:t>Battery charging controller</w:t>
            </w:r>
          </w:p>
        </w:tc>
      </w:tr>
      <w:tr>
        <w:tc>
          <w:tcPr>
            <w:tcW w:type="dxa" w:w="3120"/>
          </w:tcPr>
          <w:p>
            <w:r>
              <w:rPr>
                <w:rFonts w:ascii="Calibri" w:hAnsi="Calibri"/>
                <w:sz w:val="18"/>
              </w:rPr>
              <w:t>18650 Li-ion Battery</w:t>
            </w:r>
          </w:p>
        </w:tc>
        <w:tc>
          <w:tcPr>
            <w:tcW w:type="dxa" w:w="3120"/>
          </w:tcPr>
          <w:p>
            <w:r>
              <w:rPr>
                <w:rFonts w:ascii="Calibri" w:hAnsi="Calibri"/>
                <w:sz w:val="18"/>
              </w:rPr>
              <w:t>3.7V nominal, 2000-3400 mAh</w:t>
            </w:r>
          </w:p>
        </w:tc>
        <w:tc>
          <w:tcPr>
            <w:tcW w:type="dxa" w:w="3120"/>
          </w:tcPr>
          <w:p>
            <w:r>
              <w:rPr>
                <w:rFonts w:ascii="Calibri" w:hAnsi="Calibri"/>
                <w:sz w:val="18"/>
              </w:rPr>
              <w:t>Energy storage</w:t>
            </w:r>
          </w:p>
        </w:tc>
      </w:tr>
      <w:tr>
        <w:tc>
          <w:tcPr>
            <w:tcW w:type="dxa" w:w="3120"/>
          </w:tcPr>
          <w:p>
            <w:r>
              <w:rPr>
                <w:rFonts w:ascii="Calibri" w:hAnsi="Calibri"/>
                <w:sz w:val="18"/>
              </w:rPr>
              <w:t>MT3608 Boost Converter</w:t>
            </w:r>
          </w:p>
        </w:tc>
        <w:tc>
          <w:tcPr>
            <w:tcW w:type="dxa" w:w="3120"/>
          </w:tcPr>
          <w:p>
            <w:r>
              <w:rPr>
                <w:rFonts w:ascii="Calibri" w:hAnsi="Calibri"/>
                <w:sz w:val="18"/>
              </w:rPr>
              <w:t>Output: 5.1V regulated</w:t>
            </w:r>
          </w:p>
        </w:tc>
        <w:tc>
          <w:tcPr>
            <w:tcW w:type="dxa" w:w="3120"/>
          </w:tcPr>
          <w:p>
            <w:r>
              <w:rPr>
                <w:rFonts w:ascii="Calibri" w:hAnsi="Calibri"/>
                <w:sz w:val="18"/>
              </w:rPr>
              <w:t>Steps up battery to stable 5V rail</w:t>
            </w:r>
          </w:p>
        </w:tc>
      </w:tr>
      <w:tr>
        <w:tc>
          <w:tcPr>
            <w:tcW w:type="dxa" w:w="3120"/>
          </w:tcPr>
          <w:p>
            <w:r>
              <w:rPr>
                <w:rFonts w:ascii="Calibri" w:hAnsi="Calibri"/>
                <w:sz w:val="18"/>
              </w:rPr>
              <w:t>PIR HC-SR501</w:t>
            </w:r>
          </w:p>
        </w:tc>
        <w:tc>
          <w:tcPr>
            <w:tcW w:type="dxa" w:w="3120"/>
          </w:tcPr>
          <w:p>
            <w:r>
              <w:rPr>
                <w:rFonts w:ascii="Calibri" w:hAnsi="Calibri"/>
                <w:sz w:val="18"/>
              </w:rPr>
              <w:t>Digital output, 3-7m range</w:t>
            </w:r>
          </w:p>
        </w:tc>
        <w:tc>
          <w:tcPr>
            <w:tcW w:type="dxa" w:w="3120"/>
          </w:tcPr>
          <w:p>
            <w:r>
              <w:rPr>
                <w:rFonts w:ascii="Calibri" w:hAnsi="Calibri"/>
                <w:sz w:val="18"/>
              </w:rPr>
              <w:t>Human motion detection</w:t>
            </w:r>
          </w:p>
        </w:tc>
      </w:tr>
      <w:tr>
        <w:tc>
          <w:tcPr>
            <w:tcW w:type="dxa" w:w="3120"/>
          </w:tcPr>
          <w:p>
            <w:r>
              <w:rPr>
                <w:rFonts w:ascii="Calibri" w:hAnsi="Calibri"/>
                <w:sz w:val="18"/>
              </w:rPr>
              <w:t>LDR (Photoresistor)</w:t>
            </w:r>
          </w:p>
        </w:tc>
        <w:tc>
          <w:tcPr>
            <w:tcW w:type="dxa" w:w="3120"/>
          </w:tcPr>
          <w:p>
            <w:r>
              <w:rPr>
                <w:rFonts w:ascii="Calibri" w:hAnsi="Calibri"/>
                <w:sz w:val="18"/>
              </w:rPr>
              <w:t>Analog, 1kΩ-1MΩ range</w:t>
            </w:r>
          </w:p>
        </w:tc>
        <w:tc>
          <w:tcPr>
            <w:tcW w:type="dxa" w:w="3120"/>
          </w:tcPr>
          <w:p>
            <w:r>
              <w:rPr>
                <w:rFonts w:ascii="Calibri" w:hAnsi="Calibri"/>
                <w:sz w:val="18"/>
              </w:rPr>
              <w:t>Ambient light measurement</w:t>
            </w:r>
          </w:p>
        </w:tc>
      </w:tr>
      <w:tr>
        <w:tc>
          <w:tcPr>
            <w:tcW w:type="dxa" w:w="3120"/>
          </w:tcPr>
          <w:p>
            <w:r>
              <w:rPr>
                <w:rFonts w:ascii="Calibri" w:hAnsi="Calibri"/>
                <w:sz w:val="18"/>
              </w:rPr>
              <w:t>DHT22</w:t>
            </w:r>
          </w:p>
        </w:tc>
        <w:tc>
          <w:tcPr>
            <w:tcW w:type="dxa" w:w="3120"/>
          </w:tcPr>
          <w:p>
            <w:r>
              <w:rPr>
                <w:rFonts w:ascii="Calibri" w:hAnsi="Calibri"/>
                <w:sz w:val="18"/>
              </w:rPr>
              <w:t>±0.5°C temp, ±2-5% humidity</w:t>
            </w:r>
          </w:p>
        </w:tc>
        <w:tc>
          <w:tcPr>
            <w:tcW w:type="dxa" w:w="3120"/>
          </w:tcPr>
          <w:p>
            <w:r>
              <w:rPr>
                <w:rFonts w:ascii="Calibri" w:hAnsi="Calibri"/>
                <w:sz w:val="18"/>
              </w:rPr>
              <w:t>Temperature and humidity sensing</w:t>
            </w:r>
          </w:p>
        </w:tc>
      </w:tr>
      <w:tr>
        <w:tc>
          <w:tcPr>
            <w:tcW w:type="dxa" w:w="3120"/>
          </w:tcPr>
          <w:p>
            <w:r>
              <w:rPr>
                <w:rFonts w:ascii="Calibri" w:hAnsi="Calibri"/>
                <w:sz w:val="18"/>
              </w:rPr>
              <w:t>3-Channel Relay Module</w:t>
            </w:r>
          </w:p>
        </w:tc>
        <w:tc>
          <w:tcPr>
            <w:tcW w:type="dxa" w:w="3120"/>
          </w:tcPr>
          <w:p>
            <w:r>
              <w:rPr>
                <w:rFonts w:ascii="Calibri" w:hAnsi="Calibri"/>
                <w:sz w:val="18"/>
              </w:rPr>
              <w:t>5V coil, 10A contacts, active-LOW</w:t>
            </w:r>
          </w:p>
        </w:tc>
        <w:tc>
          <w:tcPr>
            <w:tcW w:type="dxa" w:w="3120"/>
          </w:tcPr>
          <w:p>
            <w:r>
              <w:rPr>
                <w:rFonts w:ascii="Calibri" w:hAnsi="Calibri"/>
                <w:sz w:val="18"/>
              </w:rPr>
              <w:t>Control fan, LED, door lock</w:t>
            </w:r>
          </w:p>
        </w:tc>
      </w:tr>
      <w:tr>
        <w:tc>
          <w:tcPr>
            <w:tcW w:type="dxa" w:w="3120"/>
          </w:tcPr>
          <w:p>
            <w:r>
              <w:rPr>
                <w:rFonts w:ascii="Calibri" w:hAnsi="Calibri"/>
                <w:sz w:val="18"/>
              </w:rPr>
              <w:t>Servo Motor SG90</w:t>
            </w:r>
          </w:p>
        </w:tc>
        <w:tc>
          <w:tcPr>
            <w:tcW w:type="dxa" w:w="3120"/>
          </w:tcPr>
          <w:p>
            <w:r>
              <w:rPr>
                <w:rFonts w:ascii="Calibri" w:hAnsi="Calibri"/>
                <w:sz w:val="18"/>
              </w:rPr>
              <w:t>0°-180°, PWM control</w:t>
            </w:r>
          </w:p>
        </w:tc>
        <w:tc>
          <w:tcPr>
            <w:tcW w:type="dxa" w:w="3120"/>
          </w:tcPr>
          <w:p>
            <w:r>
              <w:rPr>
                <w:rFonts w:ascii="Calibri" w:hAnsi="Calibri"/>
                <w:sz w:val="18"/>
              </w:rPr>
              <w:t>Gate open/close</w:t>
            </w:r>
          </w:p>
        </w:tc>
      </w:tr>
      <w:tr>
        <w:tc>
          <w:tcPr>
            <w:tcW w:type="dxa" w:w="3120"/>
          </w:tcPr>
          <w:p>
            <w:r>
              <w:rPr>
                <w:rFonts w:ascii="Calibri" w:hAnsi="Calibri"/>
                <w:sz w:val="18"/>
              </w:rPr>
              <w:t>Buzzer (Passive)</w:t>
            </w:r>
          </w:p>
        </w:tc>
        <w:tc>
          <w:tcPr>
            <w:tcW w:type="dxa" w:w="3120"/>
          </w:tcPr>
          <w:p>
            <w:r>
              <w:rPr>
                <w:rFonts w:ascii="Calibri" w:hAnsi="Calibri"/>
                <w:sz w:val="18"/>
              </w:rPr>
              <w:t>GPIO 15, PWM driven</w:t>
            </w:r>
          </w:p>
        </w:tc>
        <w:tc>
          <w:tcPr>
            <w:tcW w:type="dxa" w:w="3120"/>
          </w:tcPr>
          <w:p>
            <w:r>
              <w:rPr>
                <w:rFonts w:ascii="Calibri" w:hAnsi="Calibri"/>
                <w:sz w:val="18"/>
              </w:rPr>
              <w:t>Audible alert for unknown person</w:t>
            </w:r>
          </w:p>
        </w:tc>
      </w:tr>
      <w:tr>
        <w:tc>
          <w:tcPr>
            <w:tcW w:type="dxa" w:w="3120"/>
          </w:tcPr>
          <w:p>
            <w:r>
              <w:rPr>
                <w:rFonts w:ascii="Calibri" w:hAnsi="Calibri"/>
                <w:sz w:val="18"/>
              </w:rPr>
              <w:t>Battery Voltage Divider</w:t>
            </w:r>
          </w:p>
        </w:tc>
        <w:tc>
          <w:tcPr>
            <w:tcW w:type="dxa" w:w="3120"/>
          </w:tcPr>
          <w:p>
            <w:r>
              <w:rPr>
                <w:rFonts w:ascii="Calibri" w:hAnsi="Calibri"/>
                <w:sz w:val="18"/>
              </w:rPr>
              <w:t>100kΩ + 47kΩ, GPIO 35</w:t>
            </w:r>
          </w:p>
        </w:tc>
        <w:tc>
          <w:tcPr>
            <w:tcW w:type="dxa" w:w="3120"/>
          </w:tcPr>
          <w:p>
            <w:r>
              <w:rPr>
                <w:rFonts w:ascii="Calibri" w:hAnsi="Calibri"/>
                <w:sz w:val="18"/>
              </w:rPr>
              <w:t>Battery level monitoring</w:t>
            </w:r>
          </w:p>
        </w:tc>
      </w:tr>
    </w:tbl>
    <w:p/>
    <w:p>
      <w:pPr>
        <w:pStyle w:val="Heading3"/>
      </w:pPr>
      <w:r>
        <w:t>Hardware Components — Raspberry Pi Side</w:t>
      </w:r>
    </w:p>
    <w:tbl>
      <w:tblPr>
        <w:tblW w:type="auto" w:w="0"/>
        <w:jc w:val="center"/>
        <w:tblLook w:firstColumn="1" w:firstRow="1" w:lastColumn="0" w:lastRow="0" w:noHBand="0" w:noVBand="1" w:val="04A0"/>
      </w:tblPr>
      <w:tblGrid>
        <w:gridCol w:w="3120"/>
        <w:gridCol w:w="3120"/>
        <w:gridCol w:w="3120"/>
      </w:tblGrid>
      <w:tr>
        <w:tc>
          <w:tcPr>
            <w:tcW w:type="dxa" w:w="3120"/>
            <w:shd w:fill="1F3864"/>
          </w:tcPr>
          <w:p>
            <w:r>
              <w:rPr>
                <w:b/>
                <w:color w:val="FFFFFF"/>
                <w:sz w:val="18"/>
              </w:rPr>
              <w:t>Component</w:t>
            </w:r>
          </w:p>
        </w:tc>
        <w:tc>
          <w:tcPr>
            <w:tcW w:type="dxa" w:w="3120"/>
            <w:shd w:fill="1F3864"/>
          </w:tcPr>
          <w:p>
            <w:r>
              <w:rPr>
                <w:b/>
                <w:color w:val="FFFFFF"/>
                <w:sz w:val="18"/>
              </w:rPr>
              <w:t>Specification</w:t>
            </w:r>
          </w:p>
        </w:tc>
        <w:tc>
          <w:tcPr>
            <w:tcW w:type="dxa" w:w="3120"/>
            <w:shd w:fill="1F3864"/>
          </w:tcPr>
          <w:p>
            <w:r>
              <w:rPr>
                <w:b/>
                <w:color w:val="FFFFFF"/>
                <w:sz w:val="18"/>
              </w:rPr>
              <w:t>Purpose</w:t>
            </w:r>
          </w:p>
        </w:tc>
      </w:tr>
      <w:tr>
        <w:tc>
          <w:tcPr>
            <w:tcW w:type="dxa" w:w="3120"/>
          </w:tcPr>
          <w:p>
            <w:r>
              <w:rPr>
                <w:rFonts w:ascii="Calibri" w:hAnsi="Calibri"/>
                <w:sz w:val="18"/>
              </w:rPr>
              <w:t>Raspberry Pi (3B+/4)</w:t>
            </w:r>
          </w:p>
        </w:tc>
        <w:tc>
          <w:tcPr>
            <w:tcW w:type="dxa" w:w="3120"/>
          </w:tcPr>
          <w:p>
            <w:r>
              <w:rPr>
                <w:rFonts w:ascii="Calibri" w:hAnsi="Calibri"/>
                <w:sz w:val="18"/>
              </w:rPr>
              <w:t>ARM Cortex-A72, Linux</w:t>
            </w:r>
          </w:p>
        </w:tc>
        <w:tc>
          <w:tcPr>
            <w:tcW w:type="dxa" w:w="3120"/>
          </w:tcPr>
          <w:p>
            <w:r>
              <w:rPr>
                <w:rFonts w:ascii="Calibri" w:hAnsi="Calibri"/>
                <w:sz w:val="18"/>
              </w:rPr>
              <w:t>Camera AI processing host</w:t>
            </w:r>
          </w:p>
        </w:tc>
      </w:tr>
      <w:tr>
        <w:tc>
          <w:tcPr>
            <w:tcW w:type="dxa" w:w="3120"/>
          </w:tcPr>
          <w:p>
            <w:r>
              <w:rPr>
                <w:rFonts w:ascii="Calibri" w:hAnsi="Calibri"/>
                <w:sz w:val="18"/>
              </w:rPr>
              <w:t>Pi Camera Module v2</w:t>
            </w:r>
          </w:p>
        </w:tc>
        <w:tc>
          <w:tcPr>
            <w:tcW w:type="dxa" w:w="3120"/>
          </w:tcPr>
          <w:p>
            <w:r>
              <w:rPr>
                <w:rFonts w:ascii="Calibri" w:hAnsi="Calibri"/>
                <w:sz w:val="18"/>
              </w:rPr>
              <w:t>8MP Sony IMX219, 640×480 @ 20FPS</w:t>
            </w:r>
          </w:p>
        </w:tc>
        <w:tc>
          <w:tcPr>
            <w:tcW w:type="dxa" w:w="3120"/>
          </w:tcPr>
          <w:p>
            <w:r>
              <w:rPr>
                <w:rFonts w:ascii="Calibri" w:hAnsi="Calibri"/>
                <w:sz w:val="18"/>
              </w:rPr>
              <w:t>Live video capture</w:t>
            </w:r>
          </w:p>
        </w:tc>
      </w:tr>
      <w:tr>
        <w:tc>
          <w:tcPr>
            <w:tcW w:type="dxa" w:w="3120"/>
          </w:tcPr>
          <w:p>
            <w:r>
              <w:rPr>
                <w:rFonts w:ascii="Calibri" w:hAnsi="Calibri"/>
                <w:sz w:val="18"/>
              </w:rPr>
              <w:t>MicroSD Card</w:t>
            </w:r>
          </w:p>
        </w:tc>
        <w:tc>
          <w:tcPr>
            <w:tcW w:type="dxa" w:w="3120"/>
          </w:tcPr>
          <w:p>
            <w:r>
              <w:rPr>
                <w:rFonts w:ascii="Calibri" w:hAnsi="Calibri"/>
                <w:sz w:val="18"/>
              </w:rPr>
              <w:t>16GB+ Class 10</w:t>
            </w:r>
          </w:p>
        </w:tc>
        <w:tc>
          <w:tcPr>
            <w:tcW w:type="dxa" w:w="3120"/>
          </w:tcPr>
          <w:p>
            <w:r>
              <w:rPr>
                <w:rFonts w:ascii="Calibri" w:hAnsi="Calibri"/>
                <w:sz w:val="18"/>
              </w:rPr>
              <w:t>OS and model storage</w:t>
            </w:r>
          </w:p>
        </w:tc>
      </w:tr>
    </w:tbl>
    <w:p/>
    <w:p>
      <w:pPr>
        <w:pStyle w:val="Heading3"/>
      </w:pPr>
      <w:r>
        <w:t>Functional Requirements</w:t>
      </w:r>
    </w:p>
    <w:tbl>
      <w:tblPr>
        <w:tblW w:type="auto" w:w="0"/>
        <w:jc w:val="center"/>
        <w:tblLook w:firstColumn="1" w:firstRow="1" w:lastColumn="0" w:lastRow="0" w:noHBand="0" w:noVBand="1" w:val="04A0"/>
      </w:tblPr>
      <w:tblGrid>
        <w:gridCol w:w="4680"/>
        <w:gridCol w:w="4680"/>
      </w:tblGrid>
      <w:tr>
        <w:tc>
          <w:tcPr>
            <w:tcW w:type="dxa" w:w="4680"/>
            <w:shd w:fill="1F3864"/>
          </w:tcPr>
          <w:p>
            <w:r>
              <w:rPr>
                <w:b/>
                <w:color w:val="FFFFFF"/>
                <w:sz w:val="18"/>
              </w:rPr>
              <w:t>ID</w:t>
            </w:r>
          </w:p>
        </w:tc>
        <w:tc>
          <w:tcPr>
            <w:tcW w:type="dxa" w:w="4680"/>
            <w:shd w:fill="1F3864"/>
          </w:tcPr>
          <w:p>
            <w:r>
              <w:rPr>
                <w:b/>
                <w:color w:val="FFFFFF"/>
                <w:sz w:val="18"/>
              </w:rPr>
              <w:t>Requirement</w:t>
            </w:r>
          </w:p>
        </w:tc>
      </w:tr>
      <w:tr>
        <w:tc>
          <w:tcPr>
            <w:tcW w:type="dxa" w:w="4680"/>
          </w:tcPr>
          <w:p>
            <w:r>
              <w:rPr>
                <w:rFonts w:ascii="Calibri" w:hAnsi="Calibri"/>
                <w:sz w:val="18"/>
              </w:rPr>
              <w:t>FR-01</w:t>
            </w:r>
          </w:p>
        </w:tc>
        <w:tc>
          <w:tcPr>
            <w:tcW w:type="dxa" w:w="4680"/>
          </w:tcPr>
          <w:p>
            <w:r>
              <w:rPr>
                <w:rFonts w:ascii="Calibri" w:hAnsi="Calibri"/>
                <w:sz w:val="18"/>
              </w:rPr>
              <w:t>ESP32 shall read PIR, LDR, temperature, humidity, and battery every 5 seconds</w:t>
            </w:r>
          </w:p>
        </w:tc>
      </w:tr>
      <w:tr>
        <w:tc>
          <w:tcPr>
            <w:tcW w:type="dxa" w:w="4680"/>
          </w:tcPr>
          <w:p>
            <w:r>
              <w:rPr>
                <w:rFonts w:ascii="Calibri" w:hAnsi="Calibri"/>
                <w:sz w:val="18"/>
              </w:rPr>
              <w:t>FR-02</w:t>
            </w:r>
          </w:p>
        </w:tc>
        <w:tc>
          <w:tcPr>
            <w:tcW w:type="dxa" w:w="4680"/>
          </w:tcPr>
          <w:p>
            <w:r>
              <w:rPr>
                <w:rFonts w:ascii="Calibri" w:hAnsi="Calibri"/>
                <w:sz w:val="18"/>
              </w:rPr>
              <w:t>System shall write sensor data to Firebase sensorData/latest via HTTP PUT</w:t>
            </w:r>
          </w:p>
        </w:tc>
      </w:tr>
      <w:tr>
        <w:tc>
          <w:tcPr>
            <w:tcW w:type="dxa" w:w="4680"/>
          </w:tcPr>
          <w:p>
            <w:r>
              <w:rPr>
                <w:rFonts w:ascii="Calibri" w:hAnsi="Calibri"/>
                <w:sz w:val="18"/>
              </w:rPr>
              <w:t>FR-03</w:t>
            </w:r>
          </w:p>
        </w:tc>
        <w:tc>
          <w:tcPr>
            <w:tcW w:type="dxa" w:w="4680"/>
          </w:tcPr>
          <w:p>
            <w:r>
              <w:rPr>
                <w:rFonts w:ascii="Calibri" w:hAnsi="Calibri"/>
                <w:sz w:val="18"/>
              </w:rPr>
              <w:t>System shall append each reading to Firebase sensorData/history via HTTP POST</w:t>
            </w:r>
          </w:p>
        </w:tc>
      </w:tr>
      <w:tr>
        <w:tc>
          <w:tcPr>
            <w:tcW w:type="dxa" w:w="4680"/>
          </w:tcPr>
          <w:p>
            <w:r>
              <w:rPr>
                <w:rFonts w:ascii="Calibri" w:hAnsi="Calibri"/>
                <w:sz w:val="18"/>
              </w:rPr>
              <w:t>FR-04</w:t>
            </w:r>
          </w:p>
        </w:tc>
        <w:tc>
          <w:tcPr>
            <w:tcW w:type="dxa" w:w="4680"/>
          </w:tcPr>
          <w:p>
            <w:r>
              <w:rPr>
                <w:rFonts w:ascii="Calibri" w:hAnsi="Calibri"/>
                <w:sz w:val="18"/>
              </w:rPr>
              <w:t>ESP32 shall publish sensor and prediction data to MQTT topic solarguard/sensors</w:t>
            </w:r>
          </w:p>
        </w:tc>
      </w:tr>
      <w:tr>
        <w:tc>
          <w:tcPr>
            <w:tcW w:type="dxa" w:w="4680"/>
          </w:tcPr>
          <w:p>
            <w:r>
              <w:rPr>
                <w:rFonts w:ascii="Calibri" w:hAnsi="Calibri"/>
                <w:sz w:val="18"/>
              </w:rPr>
              <w:t>FR-05</w:t>
            </w:r>
          </w:p>
        </w:tc>
        <w:tc>
          <w:tcPr>
            <w:tcW w:type="dxa" w:w="4680"/>
          </w:tcPr>
          <w:p>
            <w:r>
              <w:rPr>
                <w:rFonts w:ascii="Calibri" w:hAnsi="Calibri"/>
                <w:sz w:val="18"/>
              </w:rPr>
              <w:t>System shall run on-device occupancy prediction every sensor cycle</w:t>
            </w:r>
          </w:p>
        </w:tc>
      </w:tr>
      <w:tr>
        <w:tc>
          <w:tcPr>
            <w:tcW w:type="dxa" w:w="4680"/>
          </w:tcPr>
          <w:p>
            <w:r>
              <w:rPr>
                <w:rFonts w:ascii="Calibri" w:hAnsi="Calibri"/>
                <w:sz w:val="18"/>
              </w:rPr>
              <w:t>FR-06</w:t>
            </w:r>
          </w:p>
        </w:tc>
        <w:tc>
          <w:tcPr>
            <w:tcW w:type="dxa" w:w="4680"/>
          </w:tcPr>
          <w:p>
            <w:r>
              <w:rPr>
                <w:rFonts w:ascii="Calibri" w:hAnsi="Calibri"/>
                <w:sz w:val="18"/>
              </w:rPr>
              <w:t>In Auto mode, fan relay activates when occupied OR temperature &gt; 28°C</w:t>
            </w:r>
          </w:p>
        </w:tc>
      </w:tr>
      <w:tr>
        <w:tc>
          <w:tcPr>
            <w:tcW w:type="dxa" w:w="4680"/>
          </w:tcPr>
          <w:p>
            <w:r>
              <w:rPr>
                <w:rFonts w:ascii="Calibri" w:hAnsi="Calibri"/>
                <w:sz w:val="18"/>
              </w:rPr>
              <w:t>FR-07</w:t>
            </w:r>
          </w:p>
        </w:tc>
        <w:tc>
          <w:tcPr>
            <w:tcW w:type="dxa" w:w="4680"/>
          </w:tcPr>
          <w:p>
            <w:r>
              <w:rPr>
                <w:rFonts w:ascii="Calibri" w:hAnsi="Calibri"/>
                <w:sz w:val="18"/>
              </w:rPr>
              <w:t>In Auto mode, LED relay activates when occupied AND light &lt; 700 ADC</w:t>
            </w:r>
          </w:p>
        </w:tc>
      </w:tr>
      <w:tr>
        <w:tc>
          <w:tcPr>
            <w:tcW w:type="dxa" w:w="4680"/>
          </w:tcPr>
          <w:p>
            <w:r>
              <w:rPr>
                <w:rFonts w:ascii="Calibri" w:hAnsi="Calibri"/>
                <w:sz w:val="18"/>
              </w:rPr>
              <w:t>FR-08</w:t>
            </w:r>
          </w:p>
        </w:tc>
        <w:tc>
          <w:tcPr>
            <w:tcW w:type="dxa" w:w="4680"/>
          </w:tcPr>
          <w:p>
            <w:r>
              <w:rPr>
                <w:rFonts w:ascii="Calibri" w:hAnsi="Calibri"/>
                <w:sz w:val="18"/>
              </w:rPr>
              <w:t>PWA shall send fan, LED, door commands to Firebase control/ path</w:t>
            </w:r>
          </w:p>
        </w:tc>
      </w:tr>
      <w:tr>
        <w:tc>
          <w:tcPr>
            <w:tcW w:type="dxa" w:w="4680"/>
          </w:tcPr>
          <w:p>
            <w:r>
              <w:rPr>
                <w:rFonts w:ascii="Calibri" w:hAnsi="Calibri"/>
                <w:sz w:val="18"/>
              </w:rPr>
              <w:t>FR-09</w:t>
            </w:r>
          </w:p>
        </w:tc>
        <w:tc>
          <w:tcPr>
            <w:tcW w:type="dxa" w:w="4680"/>
          </w:tcPr>
          <w:p>
            <w:r>
              <w:rPr>
                <w:rFonts w:ascii="Calibri" w:hAnsi="Calibri"/>
                <w:sz w:val="18"/>
              </w:rPr>
              <w:t>ESP32 shall read Firebase control/ every 8 seconds and apply commands</w:t>
            </w:r>
          </w:p>
        </w:tc>
      </w:tr>
      <w:tr>
        <w:tc>
          <w:tcPr>
            <w:tcW w:type="dxa" w:w="4680"/>
          </w:tcPr>
          <w:p>
            <w:r>
              <w:rPr>
                <w:rFonts w:ascii="Calibri" w:hAnsi="Calibri"/>
                <w:sz w:val="18"/>
              </w:rPr>
              <w:t>FR-10</w:t>
            </w:r>
          </w:p>
        </w:tc>
        <w:tc>
          <w:tcPr>
            <w:tcW w:type="dxa" w:w="4680"/>
          </w:tcPr>
          <w:p>
            <w:r>
              <w:rPr>
                <w:rFonts w:ascii="Calibri" w:hAnsi="Calibri"/>
                <w:sz w:val="18"/>
              </w:rPr>
              <w:t>Raspberry Pi shall classify faces as known (confidence &lt; 80) or unknown (≥ 80)</w:t>
            </w:r>
          </w:p>
        </w:tc>
      </w:tr>
      <w:tr>
        <w:tc>
          <w:tcPr>
            <w:tcW w:type="dxa" w:w="4680"/>
          </w:tcPr>
          <w:p>
            <w:r>
              <w:rPr>
                <w:rFonts w:ascii="Calibri" w:hAnsi="Calibri"/>
                <w:sz w:val="18"/>
              </w:rPr>
              <w:t>FR-11</w:t>
            </w:r>
          </w:p>
        </w:tc>
        <w:tc>
          <w:tcPr>
            <w:tcW w:type="dxa" w:w="4680"/>
          </w:tcPr>
          <w:p>
            <w:r>
              <w:rPr>
                <w:rFonts w:ascii="Calibri" w:hAnsi="Calibri"/>
                <w:sz w:val="18"/>
              </w:rPr>
              <w:t>Unknown person detection triggers alert and door lock</w:t>
            </w:r>
          </w:p>
        </w:tc>
      </w:tr>
      <w:tr>
        <w:tc>
          <w:tcPr>
            <w:tcW w:type="dxa" w:w="4680"/>
          </w:tcPr>
          <w:p>
            <w:r>
              <w:rPr>
                <w:rFonts w:ascii="Calibri" w:hAnsi="Calibri"/>
                <w:sz w:val="18"/>
              </w:rPr>
              <w:t>FR-12</w:t>
            </w:r>
          </w:p>
        </w:tc>
        <w:tc>
          <w:tcPr>
            <w:tcW w:type="dxa" w:w="4680"/>
          </w:tcPr>
          <w:p>
            <w:r>
              <w:rPr>
                <w:rFonts w:ascii="Calibri" w:hAnsi="Calibri"/>
                <w:sz w:val="18"/>
              </w:rPr>
              <w:t>Fall detection uses HOG + aspect ratio with 4-frame confirmation</w:t>
            </w:r>
          </w:p>
        </w:tc>
      </w:tr>
      <w:tr>
        <w:tc>
          <w:tcPr>
            <w:tcW w:type="dxa" w:w="4680"/>
          </w:tcPr>
          <w:p>
            <w:r>
              <w:rPr>
                <w:rFonts w:ascii="Calibri" w:hAnsi="Calibri"/>
                <w:sz w:val="18"/>
              </w:rPr>
              <w:t>FR-13</w:t>
            </w:r>
          </w:p>
        </w:tc>
        <w:tc>
          <w:tcPr>
            <w:tcW w:type="dxa" w:w="4680"/>
          </w:tcPr>
          <w:p>
            <w:r>
              <w:rPr>
                <w:rFonts w:ascii="Calibri" w:hAnsi="Calibri"/>
                <w:sz w:val="18"/>
              </w:rPr>
              <w:t>MJPEG stream at 20 FPS on port 8080</w:t>
            </w:r>
          </w:p>
        </w:tc>
      </w:tr>
      <w:tr>
        <w:tc>
          <w:tcPr>
            <w:tcW w:type="dxa" w:w="4680"/>
          </w:tcPr>
          <w:p>
            <w:r>
              <w:rPr>
                <w:rFonts w:ascii="Calibri" w:hAnsi="Calibri"/>
                <w:sz w:val="18"/>
              </w:rPr>
              <w:t>FR-14</w:t>
            </w:r>
          </w:p>
        </w:tc>
        <w:tc>
          <w:tcPr>
            <w:tcW w:type="dxa" w:w="4680"/>
          </w:tcPr>
          <w:p>
            <w:r>
              <w:rPr>
                <w:rFonts w:ascii="Calibri" w:hAnsi="Calibri"/>
                <w:sz w:val="18"/>
              </w:rPr>
              <w:t>PWA shall be installable on iOS and Android</w:t>
            </w:r>
          </w:p>
        </w:tc>
      </w:tr>
      <w:tr>
        <w:tc>
          <w:tcPr>
            <w:tcW w:type="dxa" w:w="4680"/>
          </w:tcPr>
          <w:p>
            <w:r>
              <w:rPr>
                <w:rFonts w:ascii="Calibri" w:hAnsi="Calibri"/>
                <w:sz w:val="18"/>
              </w:rPr>
              <w:t>FR-15</w:t>
            </w:r>
          </w:p>
        </w:tc>
        <w:tc>
          <w:tcPr>
            <w:tcW w:type="dxa" w:w="4680"/>
          </w:tcPr>
          <w:p>
            <w:r>
              <w:rPr>
                <w:rFonts w:ascii="Calibri" w:hAnsi="Calibri"/>
                <w:sz w:val="18"/>
              </w:rPr>
              <w:t>Battery voltage monitored and displayed in PWA</w:t>
            </w:r>
          </w:p>
        </w:tc>
      </w:tr>
    </w:tbl>
    <w:p/>
    <w:p>
      <w:pPr>
        <w:pStyle w:val="Heading2"/>
      </w:pPr>
      <w:r>
        <w:t>4.2 — Research Methodology</w:t>
      </w:r>
    </w:p>
    <w:p>
      <w:pPr>
        <w:spacing w:after="120" w:line="276" w:lineRule="auto"/>
      </w:pPr>
      <w:r>
        <w:rPr>
          <w:rFonts w:ascii="Calibri" w:hAnsi="Calibri"/>
          <w:sz w:val="22"/>
        </w:rPr>
        <w:t>The development methodology followed an iterative hardware-first agile process, with each week targeting a defined deliverable and a daily informal review. The machine learning component follows the established CRISP-DM (Cross-Industry Standard Process for Data Mining) framework: Business Understanding → Data Understanding → Data Preparation → Modelling → Evaluation → Deployment. This is reflected directly in the 8-step Jupyter notebook pipeline.</w:t>
      </w:r>
    </w:p>
    <w:p>
      <w:pPr>
        <w:pStyle w:val="Heading2"/>
      </w:pPr>
      <w:r>
        <w:t>4.3 — System Architecture</w:t>
      </w:r>
    </w:p>
    <w:p>
      <w:pPr>
        <w:jc w:val="center"/>
      </w:pPr>
      <w:r>
        <w:drawing>
          <wp:inline xmlns:a="http://schemas.openxmlformats.org/drawingml/2006/main" xmlns:pic="http://schemas.openxmlformats.org/drawingml/2006/picture">
            <wp:extent cx="5669280" cy="1445666"/>
            <wp:docPr id="3" name="Picture 3"/>
            <wp:cNvGraphicFramePr>
              <a:graphicFrameLocks noChangeAspect="1"/>
            </wp:cNvGraphicFramePr>
            <a:graphic>
              <a:graphicData uri="http://schemas.openxmlformats.org/drawingml/2006/picture">
                <pic:pic>
                  <pic:nvPicPr>
                    <pic:cNvPr id="0" name="sys_architecture.png"/>
                    <pic:cNvPicPr/>
                  </pic:nvPicPr>
                  <pic:blipFill>
                    <a:blip r:embed="rId13"/>
                    <a:stretch>
                      <a:fillRect/>
                    </a:stretch>
                  </pic:blipFill>
                  <pic:spPr>
                    <a:xfrm>
                      <a:off x="0" y="0"/>
                      <a:ext cx="5669280" cy="1445666"/>
                    </a:xfrm>
                    <a:prstGeom prst="rect"/>
                  </pic:spPr>
                </pic:pic>
              </a:graphicData>
            </a:graphic>
          </wp:inline>
        </w:drawing>
      </w:r>
    </w:p>
    <w:p>
      <w:pPr>
        <w:jc w:val="center"/>
      </w:pPr>
      <w:r>
        <w:rPr>
          <w:i/>
          <w:color w:val="646464"/>
          <w:sz w:val="18"/>
        </w:rPr>
        <w:t>Figure — System Architecture Diagram</w:t>
      </w:r>
    </w:p>
    <w:p>
      <w:pPr>
        <w:spacing w:after="120" w:line="276" w:lineRule="auto"/>
      </w:pPr>
      <w:r>
        <w:rPr>
          <w:rFonts w:ascii="Calibri" w:hAnsi="Calibri"/>
          <w:sz w:val="22"/>
        </w:rPr>
        <w:t>SolarGuard is structured around four distinct layers: (1) Physical Layer — ESP32 with sensors/actuators and Raspberry Pi with camera; (2) Cloud Layer — Firebase Realtime Database for all data storage and synchronisation; (3) Application Layer — the SolarGuard PWA with five screens (Dashboard, Control, Analytics, Security, Settings); (4) ML Analytics Layer — the scikit-learn pipeline for training and the embedded C++ decision tree for on-device inference.</w:t>
      </w:r>
    </w:p>
    <w:p>
      <w:pPr>
        <w:spacing w:after="120" w:line="276" w:lineRule="auto"/>
      </w:pPr>
      <w:r>
        <w:rPr>
          <w:rFonts w:ascii="Calibri" w:hAnsi="Calibri"/>
          <w:sz w:val="22"/>
        </w:rPr>
        <w:t>For communication, the ESP32 connects to Firebase via HTTPS REST. The PWA maintains a persistent Firebase WebSocket connection for real-time updates. MQTT is used as a supplementary protocol for broadcast use cases via the HiveMQ public broker.</w:t>
      </w:r>
    </w:p>
    <w:p>
      <w:pPr>
        <w:pStyle w:val="Heading2"/>
      </w:pPr>
      <w:r>
        <w:t>4.4 — Ethical Concerns</w:t>
      </w:r>
    </w:p>
    <w:p>
      <w:pPr>
        <w:spacing w:after="120" w:line="276" w:lineRule="auto"/>
      </w:pPr>
      <w:r>
        <w:rPr>
          <w:rFonts w:ascii="Calibri" w:hAnsi="Calibri"/>
          <w:sz w:val="22"/>
        </w:rPr>
        <w:t>Data Privacy: SolarGuard processes biometric data (face images) entirely on-device on the Raspberry Pi. Only the detection result (name, confidence, known/unknown) is pushed to Firebase — no raw face images are stored in the cloud. For production deployment, GDPR-aligned consent flows and Data Protection Impact Assessments would be required.</w:t>
      </w:r>
    </w:p>
    <w:p>
      <w:pPr>
        <w:spacing w:after="120" w:line="276" w:lineRule="auto"/>
      </w:pPr>
      <w:r>
        <w:rPr>
          <w:rFonts w:ascii="Calibri" w:hAnsi="Calibri"/>
          <w:sz w:val="22"/>
        </w:rPr>
        <w:t>Bias in Face Recognition: LBPH-based face recognition exhibits variable accuracy across different skin tones (Buolamwini and Gebru, 2018). In a residential deployment, this is addressed by training on diverse photos under varying lighting conditions.</w:t>
      </w:r>
    </w:p>
    <w:p>
      <w:pPr>
        <w:spacing w:after="120" w:line="276" w:lineRule="auto"/>
      </w:pPr>
      <w:r>
        <w:rPr>
          <w:rFonts w:ascii="Calibri" w:hAnsi="Calibri"/>
          <w:sz w:val="22"/>
        </w:rPr>
        <w:t>Safety: Fall detection is advisory only — the system generates alerts but does not autonomously contact emergency services.</w:t>
      </w:r>
    </w:p>
    <w:p>
      <w:pPr>
        <w:pStyle w:val="Heading2"/>
      </w:pPr>
      <w:r>
        <w:t>4.5 — UML Diagrams</w:t>
      </w:r>
    </w:p>
    <w:p>
      <w:pPr>
        <w:jc w:val="center"/>
      </w:pPr>
      <w:r>
        <w:drawing>
          <wp:inline xmlns:a="http://schemas.openxmlformats.org/drawingml/2006/main" xmlns:pic="http://schemas.openxmlformats.org/drawingml/2006/picture">
            <wp:extent cx="5669280" cy="8101368"/>
            <wp:docPr id="4" name="Picture 4"/>
            <wp:cNvGraphicFramePr>
              <a:graphicFrameLocks noChangeAspect="1"/>
            </wp:cNvGraphicFramePr>
            <a:graphic>
              <a:graphicData uri="http://schemas.openxmlformats.org/drawingml/2006/picture">
                <pic:pic>
                  <pic:nvPicPr>
                    <pic:cNvPr id="0" name="uml_activity.png"/>
                    <pic:cNvPicPr/>
                  </pic:nvPicPr>
                  <pic:blipFill>
                    <a:blip r:embed="rId14"/>
                    <a:stretch>
                      <a:fillRect/>
                    </a:stretch>
                  </pic:blipFill>
                  <pic:spPr>
                    <a:xfrm>
                      <a:off x="0" y="0"/>
                      <a:ext cx="5669280" cy="8101368"/>
                    </a:xfrm>
                    <a:prstGeom prst="rect"/>
                  </pic:spPr>
                </pic:pic>
              </a:graphicData>
            </a:graphic>
          </wp:inline>
        </w:drawing>
      </w:r>
    </w:p>
    <w:p>
      <w:pPr>
        <w:jc w:val="center"/>
      </w:pPr>
      <w:r>
        <w:rPr>
          <w:i/>
          <w:color w:val="646464"/>
          <w:sz w:val="18"/>
        </w:rPr>
        <w:t>Figure — ESP32 Activity Diagram</w:t>
      </w:r>
    </w:p>
    <w:p>
      <w:pPr>
        <w:jc w:val="center"/>
      </w:pPr>
      <w:r>
        <w:drawing>
          <wp:inline xmlns:a="http://schemas.openxmlformats.org/drawingml/2006/main" xmlns:pic="http://schemas.openxmlformats.org/drawingml/2006/picture">
            <wp:extent cx="5669280" cy="2433589"/>
            <wp:docPr id="5" name="Picture 5"/>
            <wp:cNvGraphicFramePr>
              <a:graphicFrameLocks noChangeAspect="1"/>
            </wp:cNvGraphicFramePr>
            <a:graphic>
              <a:graphicData uri="http://schemas.openxmlformats.org/drawingml/2006/picture">
                <pic:pic>
                  <pic:nvPicPr>
                    <pic:cNvPr id="0" name="uml_sequence.png"/>
                    <pic:cNvPicPr/>
                  </pic:nvPicPr>
                  <pic:blipFill>
                    <a:blip r:embed="rId15"/>
                    <a:stretch>
                      <a:fillRect/>
                    </a:stretch>
                  </pic:blipFill>
                  <pic:spPr>
                    <a:xfrm>
                      <a:off x="0" y="0"/>
                      <a:ext cx="5669280" cy="2433589"/>
                    </a:xfrm>
                    <a:prstGeom prst="rect"/>
                  </pic:spPr>
                </pic:pic>
              </a:graphicData>
            </a:graphic>
          </wp:inline>
        </w:drawing>
      </w:r>
    </w:p>
    <w:p>
      <w:pPr>
        <w:jc w:val="center"/>
      </w:pPr>
      <w:r>
        <w:rPr>
          <w:i/>
          <w:color w:val="646464"/>
          <w:sz w:val="18"/>
        </w:rPr>
        <w:t>Figure — System Sequence Diagram</w:t>
      </w:r>
    </w:p>
    <w:p>
      <w:pPr>
        <w:spacing w:after="120" w:line="276" w:lineRule="auto"/>
      </w:pPr>
      <w:r>
        <w:rPr>
          <w:rFonts w:ascii="Calibri" w:hAnsi="Calibri"/>
          <w:sz w:val="22"/>
        </w:rPr>
        <w:t>Activity Diagram: The ESP32 main loop follows a cyclic pattern — on each 5-second cycle: readSensors() → runMLPrediction() → applyAutoControl() (if auto mode) → publishMQTT() → writeFirebase(). Every 8 seconds, readFirebaseControls() polls for pending user commands.</w:t>
      </w:r>
    </w:p>
    <w:p>
      <w:pPr>
        <w:spacing w:after="120" w:line="276" w:lineRule="auto"/>
      </w:pPr>
      <w:r>
        <w:rPr>
          <w:rFonts w:ascii="Calibri" w:hAnsi="Calibri"/>
          <w:sz w:val="22"/>
        </w:rPr>
        <w:t>Sequence Diagram: The occupancy detection cycle involves the ESP32 publishing sensor data to Firebase (PUT/POST) and MQTT simultaneously. The PWA receives real-time updates via Firebase WebSocket listeners, triggering updateDashboard() and computeComfortScore(). Security events from the Pi follow a separate path through Firebase alerts, triggering door lock commands that the ESP32 reads on its next control poll.</w:t>
      </w:r>
    </w:p>
    <w:p>
      <w:pPr>
        <w:pStyle w:val="Heading2"/>
      </w:pPr>
      <w:r>
        <w:t>4.6 — Final Prototype</w:t>
      </w:r>
    </w:p>
    <w:p>
      <w:pPr>
        <w:jc w:val="center"/>
      </w:pPr>
      <w:r>
        <w:drawing>
          <wp:inline xmlns:a="http://schemas.openxmlformats.org/drawingml/2006/main" xmlns:pic="http://schemas.openxmlformats.org/drawingml/2006/picture">
            <wp:extent cx="5669280" cy="2360137"/>
            <wp:docPr id="6" name="Picture 6"/>
            <wp:cNvGraphicFramePr>
              <a:graphicFrameLocks noChangeAspect="1"/>
            </wp:cNvGraphicFramePr>
            <a:graphic>
              <a:graphicData uri="http://schemas.openxmlformats.org/drawingml/2006/picture">
                <pic:pic>
                  <pic:nvPicPr>
                    <pic:cNvPr id="0" name="sys_circuit.png"/>
                    <pic:cNvPicPr/>
                  </pic:nvPicPr>
                  <pic:blipFill>
                    <a:blip r:embed="rId16"/>
                    <a:stretch>
                      <a:fillRect/>
                    </a:stretch>
                  </pic:blipFill>
                  <pic:spPr>
                    <a:xfrm>
                      <a:off x="0" y="0"/>
                      <a:ext cx="5669280" cy="2360137"/>
                    </a:xfrm>
                    <a:prstGeom prst="rect"/>
                  </pic:spPr>
                </pic:pic>
              </a:graphicData>
            </a:graphic>
          </wp:inline>
        </w:drawing>
      </w:r>
    </w:p>
    <w:p>
      <w:pPr>
        <w:jc w:val="center"/>
      </w:pPr>
      <w:r>
        <w:rPr>
          <w:i/>
          <w:color w:val="646464"/>
          <w:sz w:val="18"/>
        </w:rPr>
        <w:t>Figure — Circuit Wiring &amp; Hardware Nodes</w:t>
      </w:r>
    </w:p>
    <w:p>
      <w:pPr>
        <w:spacing w:after="120" w:line="276" w:lineRule="auto"/>
      </w:pPr>
      <w:r>
        <w:rPr>
          <w:rFonts w:ascii="Calibri" w:hAnsi="Calibri"/>
          <w:sz w:val="22"/>
        </w:rPr>
        <w:t>The ESP32 assembly is mounted on a breadboard with the +5.1V and GND power rails running from the MT3608 output. PIR HC-SR501 faces the room with unobstructed field of view. LDR is wired in a voltage divider configuration (10kΩ to GND) connecting to GPIO 34. Relay module connects to GPIO 2, 3, and 5. Servo on GPIO 18. Buzzer on GPIO 15. Battery voltage divider (100kΩ / 47kΩ) connects to GPIO 35.</w:t>
      </w:r>
    </w:p>
    <w:p>
      <w:pPr>
        <w:pStyle w:val="Heading2"/>
      </w:pPr>
      <w:r>
        <w:t>4.7 — Deliverables</w:t>
      </w:r>
    </w:p>
    <w:tbl>
      <w:tblPr>
        <w:tblW w:type="auto" w:w="0"/>
        <w:jc w:val="center"/>
        <w:tblLook w:firstColumn="1" w:firstRow="1" w:lastColumn="0" w:lastRow="0" w:noHBand="0" w:noVBand="1" w:val="04A0"/>
      </w:tblPr>
      <w:tblGrid>
        <w:gridCol w:w="4680"/>
        <w:gridCol w:w="4680"/>
      </w:tblGrid>
      <w:tr>
        <w:tc>
          <w:tcPr>
            <w:tcW w:type="dxa" w:w="4680"/>
            <w:shd w:fill="1F3864"/>
          </w:tcPr>
          <w:p>
            <w:r>
              <w:rPr>
                <w:b/>
                <w:color w:val="FFFFFF"/>
                <w:sz w:val="18"/>
              </w:rPr>
              <w:t>Deliverable</w:t>
            </w:r>
          </w:p>
        </w:tc>
        <w:tc>
          <w:tcPr>
            <w:tcW w:type="dxa" w:w="4680"/>
            <w:shd w:fill="1F3864"/>
          </w:tcPr>
          <w:p>
            <w:r>
              <w:rPr>
                <w:b/>
                <w:color w:val="FFFFFF"/>
                <w:sz w:val="18"/>
              </w:rPr>
              <w:t>Status</w:t>
            </w:r>
          </w:p>
        </w:tc>
      </w:tr>
      <w:tr>
        <w:tc>
          <w:tcPr>
            <w:tcW w:type="dxa" w:w="4680"/>
          </w:tcPr>
          <w:p>
            <w:r>
              <w:rPr>
                <w:rFonts w:ascii="Calibri" w:hAnsi="Calibri"/>
                <w:sz w:val="18"/>
              </w:rPr>
              <w:t>Solar power chain (panel → TP4056 → battery → MT3608 → 5.1V)</w:t>
            </w:r>
          </w:p>
        </w:tc>
        <w:tc>
          <w:tcPr>
            <w:tcW w:type="dxa" w:w="4680"/>
          </w:tcPr>
          <w:p>
            <w:r>
              <w:rPr>
                <w:rFonts w:ascii="Calibri" w:hAnsi="Calibri"/>
                <w:sz w:val="18"/>
              </w:rPr>
              <w:t>✓ Complete</w:t>
            </w:r>
          </w:p>
        </w:tc>
      </w:tr>
      <w:tr>
        <w:tc>
          <w:tcPr>
            <w:tcW w:type="dxa" w:w="4680"/>
          </w:tcPr>
          <w:p>
            <w:r>
              <w:rPr>
                <w:rFonts w:ascii="Calibri" w:hAnsi="Calibri"/>
                <w:sz w:val="18"/>
              </w:rPr>
              <w:t>ESP32 firmware v3.0 (sketch_solarguard_v3.ino)</w:t>
            </w:r>
          </w:p>
        </w:tc>
        <w:tc>
          <w:tcPr>
            <w:tcW w:type="dxa" w:w="4680"/>
          </w:tcPr>
          <w:p>
            <w:r>
              <w:rPr>
                <w:rFonts w:ascii="Calibri" w:hAnsi="Calibri"/>
                <w:sz w:val="18"/>
              </w:rPr>
              <w:t>✓ Complete</w:t>
            </w:r>
          </w:p>
        </w:tc>
      </w:tr>
      <w:tr>
        <w:tc>
          <w:tcPr>
            <w:tcW w:type="dxa" w:w="4680"/>
          </w:tcPr>
          <w:p>
            <w:r>
              <w:rPr>
                <w:rFonts w:ascii="Calibri" w:hAnsi="Calibri"/>
                <w:sz w:val="18"/>
              </w:rPr>
              <w:t>ML dataset (smart_room_dataset_v3.csv, 2,264 rows)</w:t>
            </w:r>
          </w:p>
        </w:tc>
        <w:tc>
          <w:tcPr>
            <w:tcW w:type="dxa" w:w="4680"/>
          </w:tcPr>
          <w:p>
            <w:r>
              <w:rPr>
                <w:rFonts w:ascii="Calibri" w:hAnsi="Calibri"/>
                <w:sz w:val="18"/>
              </w:rPr>
              <w:t>✓ Complete</w:t>
            </w:r>
          </w:p>
        </w:tc>
      </w:tr>
      <w:tr>
        <w:tc>
          <w:tcPr>
            <w:tcW w:type="dxa" w:w="4680"/>
          </w:tcPr>
          <w:p>
            <w:r>
              <w:rPr>
                <w:rFonts w:ascii="Calibri" w:hAnsi="Calibri"/>
                <w:sz w:val="18"/>
              </w:rPr>
              <w:t>ML Jupyter notebook (8-step pipeline, SOLARGUARD.ipynb)</w:t>
            </w:r>
          </w:p>
        </w:tc>
        <w:tc>
          <w:tcPr>
            <w:tcW w:type="dxa" w:w="4680"/>
          </w:tcPr>
          <w:p>
            <w:r>
              <w:rPr>
                <w:rFonts w:ascii="Calibri" w:hAnsi="Calibri"/>
                <w:sz w:val="18"/>
              </w:rPr>
              <w:t>✓ Complete</w:t>
            </w:r>
          </w:p>
        </w:tc>
      </w:tr>
      <w:tr>
        <w:tc>
          <w:tcPr>
            <w:tcW w:type="dxa" w:w="4680"/>
          </w:tcPr>
          <w:p>
            <w:r>
              <w:rPr>
                <w:rFonts w:ascii="Calibri" w:hAnsi="Calibri"/>
                <w:sz w:val="18"/>
              </w:rPr>
              <w:t>Trained model artifacts (rf_model_tuned.pkl, scaler.pkl)</w:t>
            </w:r>
          </w:p>
        </w:tc>
        <w:tc>
          <w:tcPr>
            <w:tcW w:type="dxa" w:w="4680"/>
          </w:tcPr>
          <w:p>
            <w:r>
              <w:rPr>
                <w:rFonts w:ascii="Calibri" w:hAnsi="Calibri"/>
                <w:sz w:val="18"/>
              </w:rPr>
              <w:t>✓ Complete</w:t>
            </w:r>
          </w:p>
        </w:tc>
      </w:tr>
      <w:tr>
        <w:tc>
          <w:tcPr>
            <w:tcW w:type="dxa" w:w="4680"/>
          </w:tcPr>
          <w:p>
            <w:r>
              <w:rPr>
                <w:rFonts w:ascii="Calibri" w:hAnsi="Calibri"/>
                <w:sz w:val="18"/>
              </w:rPr>
              <w:t>Firebase Realtime Database schema</w:t>
            </w:r>
          </w:p>
        </w:tc>
        <w:tc>
          <w:tcPr>
            <w:tcW w:type="dxa" w:w="4680"/>
          </w:tcPr>
          <w:p>
            <w:r>
              <w:rPr>
                <w:rFonts w:ascii="Calibri" w:hAnsi="Calibri"/>
                <w:sz w:val="18"/>
              </w:rPr>
              <w:t>✓ Complete</w:t>
            </w:r>
          </w:p>
        </w:tc>
      </w:tr>
      <w:tr>
        <w:tc>
          <w:tcPr>
            <w:tcW w:type="dxa" w:w="4680"/>
          </w:tcPr>
          <w:p>
            <w:r>
              <w:rPr>
                <w:rFonts w:ascii="Calibri" w:hAnsi="Calibri"/>
                <w:sz w:val="18"/>
              </w:rPr>
              <w:t>Progressive Web App (index.html, app.js, style.css)</w:t>
            </w:r>
          </w:p>
        </w:tc>
        <w:tc>
          <w:tcPr>
            <w:tcW w:type="dxa" w:w="4680"/>
          </w:tcPr>
          <w:p>
            <w:r>
              <w:rPr>
                <w:rFonts w:ascii="Calibri" w:hAnsi="Calibri"/>
                <w:sz w:val="18"/>
              </w:rPr>
              <w:t>✓ Complete</w:t>
            </w:r>
          </w:p>
        </w:tc>
      </w:tr>
      <w:tr>
        <w:tc>
          <w:tcPr>
            <w:tcW w:type="dxa" w:w="4680"/>
          </w:tcPr>
          <w:p>
            <w:r>
              <w:rPr>
                <w:rFonts w:ascii="Calibri" w:hAnsi="Calibri"/>
                <w:sz w:val="18"/>
              </w:rPr>
              <w:t>PWA deployed to Firebase Hosting</w:t>
            </w:r>
          </w:p>
        </w:tc>
        <w:tc>
          <w:tcPr>
            <w:tcW w:type="dxa" w:w="4680"/>
          </w:tcPr>
          <w:p>
            <w:r>
              <w:rPr>
                <w:rFonts w:ascii="Calibri" w:hAnsi="Calibri"/>
                <w:sz w:val="18"/>
              </w:rPr>
              <w:t>✓ Complete</w:t>
            </w:r>
          </w:p>
        </w:tc>
      </w:tr>
      <w:tr>
        <w:tc>
          <w:tcPr>
            <w:tcW w:type="dxa" w:w="4680"/>
          </w:tcPr>
          <w:p>
            <w:r>
              <w:rPr>
                <w:rFonts w:ascii="Calibri" w:hAnsi="Calibri"/>
                <w:sz w:val="18"/>
              </w:rPr>
              <w:t>Raspberry Pi multi-detection script (recognize_firebase.py)</w:t>
            </w:r>
          </w:p>
        </w:tc>
        <w:tc>
          <w:tcPr>
            <w:tcW w:type="dxa" w:w="4680"/>
          </w:tcPr>
          <w:p>
            <w:r>
              <w:rPr>
                <w:rFonts w:ascii="Calibri" w:hAnsi="Calibri"/>
                <w:sz w:val="18"/>
              </w:rPr>
              <w:t>✓ Complete</w:t>
            </w:r>
          </w:p>
        </w:tc>
      </w:tr>
      <w:tr>
        <w:tc>
          <w:tcPr>
            <w:tcW w:type="dxa" w:w="4680"/>
          </w:tcPr>
          <w:p>
            <w:r>
              <w:rPr>
                <w:rFonts w:ascii="Calibri" w:hAnsi="Calibri"/>
                <w:sz w:val="18"/>
              </w:rPr>
              <w:t>Face recognition training script (train.py)</w:t>
            </w:r>
          </w:p>
        </w:tc>
        <w:tc>
          <w:tcPr>
            <w:tcW w:type="dxa" w:w="4680"/>
          </w:tcPr>
          <w:p>
            <w:r>
              <w:rPr>
                <w:rFonts w:ascii="Calibri" w:hAnsi="Calibri"/>
                <w:sz w:val="18"/>
              </w:rPr>
              <w:t>✓ Complete</w:t>
            </w:r>
          </w:p>
        </w:tc>
      </w:tr>
      <w:tr>
        <w:tc>
          <w:tcPr>
            <w:tcW w:type="dxa" w:w="4680"/>
          </w:tcPr>
          <w:p>
            <w:r>
              <w:rPr>
                <w:rFonts w:ascii="Calibri" w:hAnsi="Calibri"/>
                <w:sz w:val="18"/>
              </w:rPr>
              <w:t>Project README documentation</w:t>
            </w:r>
          </w:p>
        </w:tc>
        <w:tc>
          <w:tcPr>
            <w:tcW w:type="dxa" w:w="4680"/>
          </w:tcPr>
          <w:p>
            <w:r>
              <w:rPr>
                <w:rFonts w:ascii="Calibri" w:hAnsi="Calibri"/>
                <w:sz w:val="18"/>
              </w:rPr>
              <w:t>✓ Complete</w:t>
            </w:r>
          </w:p>
        </w:tc>
      </w:tr>
      <w:tr>
        <w:tc>
          <w:tcPr>
            <w:tcW w:type="dxa" w:w="4680"/>
          </w:tcPr>
          <w:p>
            <w:r>
              <w:rPr>
                <w:rFonts w:ascii="Calibri" w:hAnsi="Calibri"/>
                <w:sz w:val="18"/>
              </w:rPr>
              <w:t>Final Year Engineering Report</w:t>
            </w:r>
          </w:p>
        </w:tc>
        <w:tc>
          <w:tcPr>
            <w:tcW w:type="dxa" w:w="4680"/>
          </w:tcPr>
          <w:p>
            <w:r>
              <w:rPr>
                <w:rFonts w:ascii="Calibri" w:hAnsi="Calibri"/>
                <w:sz w:val="18"/>
              </w:rPr>
              <w:t>✓ Complete</w:t>
            </w:r>
          </w:p>
        </w:tc>
      </w:tr>
    </w:tbl>
    <w:p>
      <w:pPr>
        <w:pStyle w:val="Heading2"/>
      </w:pPr>
      <w:r>
        <w:t>4.8 — Schedule (WBS &amp; Gantt Chart)</w:t>
      </w:r>
    </w:p>
    <w:p>
      <w:pPr>
        <w:jc w:val="center"/>
      </w:pPr>
      <w:r>
        <w:drawing>
          <wp:inline xmlns:a="http://schemas.openxmlformats.org/drawingml/2006/main" xmlns:pic="http://schemas.openxmlformats.org/drawingml/2006/picture">
            <wp:extent cx="5669280" cy="1545654"/>
            <wp:docPr id="7" name="Picture 7"/>
            <wp:cNvGraphicFramePr>
              <a:graphicFrameLocks noChangeAspect="1"/>
            </wp:cNvGraphicFramePr>
            <a:graphic>
              <a:graphicData uri="http://schemas.openxmlformats.org/drawingml/2006/picture">
                <pic:pic>
                  <pic:nvPicPr>
                    <pic:cNvPr id="0" name="wbs_tree.png"/>
                    <pic:cNvPicPr/>
                  </pic:nvPicPr>
                  <pic:blipFill>
                    <a:blip r:embed="rId17"/>
                    <a:stretch>
                      <a:fillRect/>
                    </a:stretch>
                  </pic:blipFill>
                  <pic:spPr>
                    <a:xfrm>
                      <a:off x="0" y="0"/>
                      <a:ext cx="5669280" cy="1545654"/>
                    </a:xfrm>
                    <a:prstGeom prst="rect"/>
                  </pic:spPr>
                </pic:pic>
              </a:graphicData>
            </a:graphic>
          </wp:inline>
        </w:drawing>
      </w:r>
    </w:p>
    <w:p>
      <w:pPr>
        <w:jc w:val="center"/>
      </w:pPr>
      <w:r>
        <w:rPr>
          <w:i/>
          <w:color w:val="646464"/>
          <w:sz w:val="18"/>
        </w:rPr>
        <w:t>Figure — Work Breakdown Structure</w:t>
      </w:r>
    </w:p>
    <w:p>
      <w:pPr>
        <w:jc w:val="center"/>
      </w:pPr>
      <w:r>
        <w:drawing>
          <wp:inline xmlns:a="http://schemas.openxmlformats.org/drawingml/2006/main" xmlns:pic="http://schemas.openxmlformats.org/drawingml/2006/picture">
            <wp:extent cx="5669280" cy="1100542"/>
            <wp:docPr id="8" name="Picture 8"/>
            <wp:cNvGraphicFramePr>
              <a:graphicFrameLocks noChangeAspect="1"/>
            </wp:cNvGraphicFramePr>
            <a:graphic>
              <a:graphicData uri="http://schemas.openxmlformats.org/drawingml/2006/picture">
                <pic:pic>
                  <pic:nvPicPr>
                    <pic:cNvPr id="0" name="gantt_chart.png"/>
                    <pic:cNvPicPr/>
                  </pic:nvPicPr>
                  <pic:blipFill>
                    <a:blip r:embed="rId18"/>
                    <a:stretch>
                      <a:fillRect/>
                    </a:stretch>
                  </pic:blipFill>
                  <pic:spPr>
                    <a:xfrm>
                      <a:off x="0" y="0"/>
                      <a:ext cx="5669280" cy="1100542"/>
                    </a:xfrm>
                    <a:prstGeom prst="rect"/>
                  </pic:spPr>
                </pic:pic>
              </a:graphicData>
            </a:graphic>
          </wp:inline>
        </w:drawing>
      </w:r>
    </w:p>
    <w:p>
      <w:pPr>
        <w:jc w:val="center"/>
      </w:pPr>
      <w:r>
        <w:rPr>
          <w:i/>
          <w:color w:val="646464"/>
          <w:sz w:val="18"/>
        </w:rPr>
        <w:t>Figure — Timeline Gantt Chart</w:t>
      </w:r>
    </w:p>
    <w:p>
      <w:pPr>
        <w:spacing w:after="120" w:line="276" w:lineRule="auto"/>
      </w:pPr>
      <w:r>
        <w:rPr>
          <w:rFonts w:ascii="Calibri" w:hAnsi="Calibri"/>
          <w:sz w:val="22"/>
        </w:rPr>
        <w:t>Week 1: Requirements engineering; hardware procurement and power system validation. Week 2: ESP32 sensor wiring; initial firmware; WiFi and Firebase connectivity test. Week 3: Relay control logic; MQTT integration; Firebase schema design; data generator script. Week 4: ML pipeline development (Steps 1–5); model comparison; feature engineering. Week 5: GridSearchCV tuning (Step 8); embedded ML decision tree extraction; PWA Alpha. Week 6: Raspberry Pi security subsystem; PWA integration; system integration testing; report writing.</w:t>
      </w:r>
    </w:p>
    <w:p>
      <w:r>
        <w:br w:type="page"/>
      </w:r>
    </w:p>
    <w:p>
      <w:pPr>
        <w:pStyle w:val="Heading1"/>
      </w:pPr>
      <w:r>
        <w:t>Chapter 5 — Development and Implementation</w:t>
      </w:r>
    </w:p>
    <w:p>
      <w:pPr>
        <w:pStyle w:val="Heading2"/>
      </w:pPr>
      <w:r>
        <w:t>5.1 — Resources</w:t>
      </w:r>
    </w:p>
    <w:p>
      <w:pPr>
        <w:spacing w:after="120" w:line="276" w:lineRule="auto"/>
      </w:pPr>
      <w:r>
        <w:rPr>
          <w:rFonts w:ascii="Calibri" w:hAnsi="Calibri"/>
          <w:sz w:val="22"/>
        </w:rPr>
        <w:t>Development Environment: Arduino IDE 2.x with ESP32 board package for firmware; Jupyter Notebook 7.x for ML pipeline; Python 3.12.5 virtual environment; Firebase Console and CLI for hosting; Live Server for local PWA testing. Online Services: Firebase Realtime Database (asia-southeast1 region), HiveMQ public MQTT broker, Open-Meteo API for Dubai weather, Firebase Hosting with CDN.</w:t>
      </w:r>
    </w:p>
    <w:p>
      <w:pPr>
        <w:pStyle w:val="Heading2"/>
      </w:pPr>
      <w:r>
        <w:t>5.2 — Machine Learning Model</w:t>
      </w:r>
    </w:p>
    <w:p>
      <w:pPr>
        <w:pStyle w:val="Heading3"/>
      </w:pPr>
      <w:r>
        <w:t>Step 1 — Data Collection</w:t>
      </w:r>
    </w:p>
    <w:p>
      <w:pPr>
        <w:spacing w:after="120" w:line="276" w:lineRule="auto"/>
      </w:pPr>
      <w:r>
        <w:rPr>
          <w:rFonts w:ascii="Calibri" w:hAnsi="Calibri"/>
          <w:sz w:val="22"/>
        </w:rPr>
        <w:t>The dataset (smart_room_dataset_v3.csv) was synthetically generated by dataGen.py to represent 2,264 sensor readings captured at 10-minute intervals from January 1, 2024 through December 1, 2024. The dataset was calibrated to reflect Dubai residential lifestyle patterns and Dubai-specific external conditions including occupancy schedules, sunlight patterns, AC-adjusted indoor temperatures, and CO₂ accumulation from human presence.</w:t>
      </w:r>
    </w:p>
    <w:p>
      <w:pPr>
        <w:spacing w:after="120" w:line="276" w:lineRule="auto"/>
      </w:pPr>
      <w:r>
        <w:rPr>
          <w:rFonts w:ascii="Calibri" w:hAnsi="Calibri"/>
          <w:sz w:val="22"/>
        </w:rPr>
        <w:t>The dataset contains 19 features with 51.7% occupancy rate (1,170 occupied vs 1,094 vacant), forming a well-balanced classification problem. Key features include: timestamp, date, hour, weekday, is_weekend, hour_sin, hour_cos, dow_sin, dow_cos, light, temperature, humidity, pir, co2, solar_voltage, fan_on, led_on, comfort_score, energy_risk, and the target variable occupied.</w:t>
      </w:r>
    </w:p>
    <w:p>
      <w:pPr>
        <w:jc w:val="center"/>
      </w:pPr>
      <w:r>
        <w:drawing>
          <wp:inline xmlns:a="http://schemas.openxmlformats.org/drawingml/2006/main" xmlns:pic="http://schemas.openxmlformats.org/drawingml/2006/picture">
            <wp:extent cx="5669280" cy="1806327"/>
            <wp:docPr id="9" name="Picture 9"/>
            <wp:cNvGraphicFramePr>
              <a:graphicFrameLocks noChangeAspect="1"/>
            </wp:cNvGraphicFramePr>
            <a:graphic>
              <a:graphicData uri="http://schemas.openxmlformats.org/drawingml/2006/picture">
                <pic:pic>
                  <pic:nvPicPr>
                    <pic:cNvPr id="0" name="Screenshot 2026-04-19 154016.png"/>
                    <pic:cNvPicPr/>
                  </pic:nvPicPr>
                  <pic:blipFill>
                    <a:blip r:embed="rId19"/>
                    <a:stretch>
                      <a:fillRect/>
                    </a:stretch>
                  </pic:blipFill>
                  <pic:spPr>
                    <a:xfrm>
                      <a:off x="0" y="0"/>
                      <a:ext cx="5669280" cy="1806327"/>
                    </a:xfrm>
                    <a:prstGeom prst="rect"/>
                  </pic:spPr>
                </pic:pic>
              </a:graphicData>
            </a:graphic>
          </wp:inline>
        </w:drawing>
      </w:r>
    </w:p>
    <w:p>
      <w:pPr>
        <w:jc w:val="center"/>
      </w:pPr>
      <w:r>
        <w:rPr>
          <w:i/>
          <w:color w:val="646464"/>
          <w:sz w:val="18"/>
        </w:rPr>
        <w:t>Figure 1 — Step 1: Data Collection Output (2,264 records, 19 features, occupancy rate 51.7%)</w:t>
      </w:r>
    </w:p>
    <w:p>
      <w:pPr>
        <w:pStyle w:val="Heading3"/>
      </w:pPr>
      <w:r>
        <w:t>Step 2 — Data Cleaning &amp; Preprocessing</w:t>
      </w:r>
    </w:p>
    <w:p>
      <w:pPr>
        <w:spacing w:after="120" w:line="276" w:lineRule="auto"/>
      </w:pPr>
      <w:r>
        <w:rPr>
          <w:rFonts w:ascii="Calibri" w:hAnsi="Calibri"/>
          <w:sz w:val="22"/>
        </w:rPr>
        <w:t>The cleaning pipeline performs three phases: (1) Timestamp parsing using pd.to_datetime() with errors='coerce'; (2) Duplicate removal — 0 duplicate rows found; (3) IQR outlier detection and capping using the 2.5×IQR threshold for lenient capping that preserves extreme-but-plausible values.</w:t>
      </w:r>
    </w:p>
    <w:p>
      <w:pPr>
        <w:spacing w:after="120" w:line="276" w:lineRule="auto"/>
      </w:pPr>
      <w:r>
        <w:rPr>
          <w:rFonts w:ascii="Calibri" w:hAnsi="Calibri"/>
          <w:sz w:val="22"/>
        </w:rPr>
        <w:t>IQR Results: light — 0 outliers capped; temperature — 0 outliers capped; humidity — 7 outliers capped; co2 — 0 outliers capped; solar_voltage — 0 outliers capped. Final clean dataset shape: (2,264, 20).</w:t>
      </w:r>
    </w:p>
    <w:p>
      <w:pPr>
        <w:jc w:val="center"/>
      </w:pPr>
      <w:r>
        <w:drawing>
          <wp:inline xmlns:a="http://schemas.openxmlformats.org/drawingml/2006/main" xmlns:pic="http://schemas.openxmlformats.org/drawingml/2006/picture">
            <wp:extent cx="5669280" cy="3204556"/>
            <wp:docPr id="10" name="Picture 10"/>
            <wp:cNvGraphicFramePr>
              <a:graphicFrameLocks noChangeAspect="1"/>
            </wp:cNvGraphicFramePr>
            <a:graphic>
              <a:graphicData uri="http://schemas.openxmlformats.org/drawingml/2006/picture">
                <pic:pic>
                  <pic:nvPicPr>
                    <pic:cNvPr id="0" name="Screenshot 2026-04-19 154035.png"/>
                    <pic:cNvPicPr/>
                  </pic:nvPicPr>
                  <pic:blipFill>
                    <a:blip r:embed="rId20"/>
                    <a:stretch>
                      <a:fillRect/>
                    </a:stretch>
                  </pic:blipFill>
                  <pic:spPr>
                    <a:xfrm>
                      <a:off x="0" y="0"/>
                      <a:ext cx="5669280" cy="3204556"/>
                    </a:xfrm>
                    <a:prstGeom prst="rect"/>
                  </pic:spPr>
                </pic:pic>
              </a:graphicData>
            </a:graphic>
          </wp:inline>
        </w:drawing>
      </w:r>
    </w:p>
    <w:p>
      <w:pPr>
        <w:jc w:val="center"/>
      </w:pPr>
      <w:r>
        <w:rPr>
          <w:i/>
          <w:color w:val="646464"/>
          <w:sz w:val="18"/>
        </w:rPr>
        <w:t>Figure 2 — Step 2: Data Cleaning &amp; Preprocessing (outlier detection, statistical summary)</w:t>
      </w:r>
    </w:p>
    <w:p>
      <w:pPr>
        <w:pStyle w:val="Heading3"/>
      </w:pPr>
      <w:r>
        <w:t>Step 3 — Exploratory Data Analysis</w:t>
      </w:r>
    </w:p>
    <w:p>
      <w:pPr>
        <w:spacing w:after="120" w:line="276" w:lineRule="auto"/>
      </w:pPr>
      <w:r>
        <w:rPr>
          <w:rFonts w:ascii="Calibri" w:hAnsi="Calibri"/>
          <w:sz w:val="22"/>
        </w:rPr>
        <w:t>Six categories of EDA visualisation were produced to understand the dataset characteristics before feature engineering and model training.</w:t>
      </w:r>
    </w:p>
    <w:p>
      <w:pPr>
        <w:spacing w:after="120" w:line="276" w:lineRule="auto"/>
      </w:pPr>
      <w:r>
        <w:rPr>
          <w:rFonts w:ascii="Calibri" w:hAnsi="Calibri"/>
          <w:sz w:val="22"/>
        </w:rPr>
        <w:t>Target Variable Distributions: The occupancy class distribution shows 1,094 vacant (48.3%) and 1,170 occupied (51.7%) — a near-balanced dataset. Energy risk is overwhelmingly low (99.5%) indicating that the generated rule-based device logic behaves realistically. The comfort score distribution is left-skewed with mean 91, indicating the AC system maintains good conditions most of the time.</w:t>
      </w:r>
    </w:p>
    <w:p>
      <w:pPr>
        <w:jc w:val="center"/>
      </w:pPr>
      <w:r>
        <w:drawing>
          <wp:inline xmlns:a="http://schemas.openxmlformats.org/drawingml/2006/main" xmlns:pic="http://schemas.openxmlformats.org/drawingml/2006/picture">
            <wp:extent cx="5669280" cy="2201742"/>
            <wp:docPr id="11" name="Picture 11"/>
            <wp:cNvGraphicFramePr>
              <a:graphicFrameLocks noChangeAspect="1"/>
            </wp:cNvGraphicFramePr>
            <a:graphic>
              <a:graphicData uri="http://schemas.openxmlformats.org/drawingml/2006/picture">
                <pic:pic>
                  <pic:nvPicPr>
                    <pic:cNvPr id="0" name="Screenshot 2026-04-19 154046.png"/>
                    <pic:cNvPicPr/>
                  </pic:nvPicPr>
                  <pic:blipFill>
                    <a:blip r:embed="rId21"/>
                    <a:stretch>
                      <a:fillRect/>
                    </a:stretch>
                  </pic:blipFill>
                  <pic:spPr>
                    <a:xfrm>
                      <a:off x="0" y="0"/>
                      <a:ext cx="5669280" cy="2201742"/>
                    </a:xfrm>
                    <a:prstGeom prst="rect"/>
                  </pic:spPr>
                </pic:pic>
              </a:graphicData>
            </a:graphic>
          </wp:inline>
        </w:drawing>
      </w:r>
    </w:p>
    <w:p>
      <w:pPr>
        <w:jc w:val="center"/>
      </w:pPr>
      <w:r>
        <w:rPr>
          <w:i/>
          <w:color w:val="646464"/>
          <w:sz w:val="18"/>
        </w:rPr>
        <w:t>Figure 3 — EDA: Target Variable Distributions (Occupancy, Energy Risk, Comfort Score)</w:t>
      </w:r>
    </w:p>
    <w:p>
      <w:pPr>
        <w:spacing w:after="120" w:line="276" w:lineRule="auto"/>
      </w:pPr>
      <w:r>
        <w:rPr>
          <w:rFonts w:ascii="Calibri" w:hAnsi="Calibri"/>
          <w:sz w:val="22"/>
        </w:rPr>
        <w:t>Temporal Patterns (Dubai Lifestyle): Peak occupancy 8AM–10PM, near-zero 12AM–6AM. LDR light intensity shows steep rise at sunrise with strong plateau from 10AM–3PM consistent with intense Dubai sunlight. Weekend bars (Saturday/Sunday) show 6–8% higher occupancy than weekdays. Indoor temperature controlled by AC stays within 22–28°C despite outdoor peaks.</w:t>
      </w:r>
    </w:p>
    <w:p>
      <w:pPr>
        <w:jc w:val="center"/>
      </w:pPr>
      <w:r>
        <w:drawing>
          <wp:inline xmlns:a="http://schemas.openxmlformats.org/drawingml/2006/main" xmlns:pic="http://schemas.openxmlformats.org/drawingml/2006/picture">
            <wp:extent cx="5669280" cy="3672996"/>
            <wp:docPr id="12" name="Picture 12"/>
            <wp:cNvGraphicFramePr>
              <a:graphicFrameLocks noChangeAspect="1"/>
            </wp:cNvGraphicFramePr>
            <a:graphic>
              <a:graphicData uri="http://schemas.openxmlformats.org/drawingml/2006/picture">
                <pic:pic>
                  <pic:nvPicPr>
                    <pic:cNvPr id="0" name="Screenshot 2026-04-19 154058.png"/>
                    <pic:cNvPicPr/>
                  </pic:nvPicPr>
                  <pic:blipFill>
                    <a:blip r:embed="rId22"/>
                    <a:stretch>
                      <a:fillRect/>
                    </a:stretch>
                  </pic:blipFill>
                  <pic:spPr>
                    <a:xfrm>
                      <a:off x="0" y="0"/>
                      <a:ext cx="5669280" cy="3672996"/>
                    </a:xfrm>
                    <a:prstGeom prst="rect"/>
                  </pic:spPr>
                </pic:pic>
              </a:graphicData>
            </a:graphic>
          </wp:inline>
        </w:drawing>
      </w:r>
    </w:p>
    <w:p>
      <w:pPr>
        <w:jc w:val="center"/>
      </w:pPr>
      <w:r>
        <w:rPr>
          <w:i/>
          <w:color w:val="646464"/>
          <w:sz w:val="18"/>
        </w:rPr>
        <w:t>Figure 4 — EDA: Temporal Patterns — Dubai Lifestyle</w:t>
      </w:r>
    </w:p>
    <w:p>
      <w:pPr>
        <w:spacing w:after="120" w:line="276" w:lineRule="auto"/>
      </w:pPr>
      <w:r>
        <w:rPr>
          <w:rFonts w:ascii="Calibri" w:hAnsi="Calibri"/>
          <w:sz w:val="22"/>
        </w:rPr>
        <w:t>Feature Distributions by Occupancy Class: CO₂ is clearly higher when occupied (500–900 ppm vs 400–500 ppm when vacant). Temperature shows consistent 1–2°C elevation when occupied due to human body heat effect. Light shows bimodal distribution for occupied readings (natural daylight + artificial evening light).</w:t>
      </w:r>
    </w:p>
    <w:p>
      <w:pPr>
        <w:jc w:val="center"/>
      </w:pPr>
      <w:r>
        <w:drawing>
          <wp:inline xmlns:a="http://schemas.openxmlformats.org/drawingml/2006/main" xmlns:pic="http://schemas.openxmlformats.org/drawingml/2006/picture">
            <wp:extent cx="5669280" cy="3625994"/>
            <wp:docPr id="13" name="Picture 13"/>
            <wp:cNvGraphicFramePr>
              <a:graphicFrameLocks noChangeAspect="1"/>
            </wp:cNvGraphicFramePr>
            <a:graphic>
              <a:graphicData uri="http://schemas.openxmlformats.org/drawingml/2006/picture">
                <pic:pic>
                  <pic:nvPicPr>
                    <pic:cNvPr id="0" name="Screenshot 2026-04-19 154111.png"/>
                    <pic:cNvPicPr/>
                  </pic:nvPicPr>
                  <pic:blipFill>
                    <a:blip r:embed="rId23"/>
                    <a:stretch>
                      <a:fillRect/>
                    </a:stretch>
                  </pic:blipFill>
                  <pic:spPr>
                    <a:xfrm>
                      <a:off x="0" y="0"/>
                      <a:ext cx="5669280" cy="3625994"/>
                    </a:xfrm>
                    <a:prstGeom prst="rect"/>
                  </pic:spPr>
                </pic:pic>
              </a:graphicData>
            </a:graphic>
          </wp:inline>
        </w:drawing>
      </w:r>
    </w:p>
    <w:p>
      <w:pPr>
        <w:jc w:val="center"/>
      </w:pPr>
      <w:r>
        <w:rPr>
          <w:i/>
          <w:color w:val="646464"/>
          <w:sz w:val="18"/>
        </w:rPr>
        <w:t>Figure 5 — EDA: Feature Distributions — Occupied vs Vacant</w:t>
      </w:r>
    </w:p>
    <w:p>
      <w:pPr>
        <w:spacing w:after="120" w:line="276" w:lineRule="auto"/>
      </w:pPr>
      <w:r>
        <w:rPr>
          <w:rFonts w:ascii="Calibri" w:hAnsi="Calibri"/>
          <w:sz w:val="22"/>
        </w:rPr>
        <w:t>Scatter Analysis: The light vs time of day scatter plot shows clear separation between occupied (orange) and vacant (blue) clusters. Light peaks at midday regardless of occupancy — the Dubai sun effect is very strong. Temperature vs CO₂ scatter shows a diagonal cluster separation where high CO₂ aligns tightly with occupied readings, confirming these two features provide strong discriminative signal.</w:t>
      </w:r>
    </w:p>
    <w:p>
      <w:pPr>
        <w:jc w:val="center"/>
      </w:pPr>
      <w:r>
        <w:drawing>
          <wp:inline xmlns:a="http://schemas.openxmlformats.org/drawingml/2006/main" xmlns:pic="http://schemas.openxmlformats.org/drawingml/2006/picture">
            <wp:extent cx="5669280" cy="2483963"/>
            <wp:docPr id="14" name="Picture 14"/>
            <wp:cNvGraphicFramePr>
              <a:graphicFrameLocks noChangeAspect="1"/>
            </wp:cNvGraphicFramePr>
            <a:graphic>
              <a:graphicData uri="http://schemas.openxmlformats.org/drawingml/2006/picture">
                <pic:pic>
                  <pic:nvPicPr>
                    <pic:cNvPr id="0" name="Screenshot 2026-04-19 154123.png"/>
                    <pic:cNvPicPr/>
                  </pic:nvPicPr>
                  <pic:blipFill>
                    <a:blip r:embed="rId24"/>
                    <a:stretch>
                      <a:fillRect/>
                    </a:stretch>
                  </pic:blipFill>
                  <pic:spPr>
                    <a:xfrm>
                      <a:off x="0" y="0"/>
                      <a:ext cx="5669280" cy="2483963"/>
                    </a:xfrm>
                    <a:prstGeom prst="rect"/>
                  </pic:spPr>
                </pic:pic>
              </a:graphicData>
            </a:graphic>
          </wp:inline>
        </w:drawing>
      </w:r>
    </w:p>
    <w:p>
      <w:pPr>
        <w:jc w:val="center"/>
      </w:pPr>
      <w:r>
        <w:rPr>
          <w:i/>
          <w:color w:val="646464"/>
          <w:sz w:val="18"/>
        </w:rPr>
        <w:t>Figure 6 — EDA: Scatter Analysis (Light vs Time, Temperature vs CO₂)</w:t>
      </w:r>
    </w:p>
    <w:p>
      <w:pPr>
        <w:spacing w:after="120" w:line="276" w:lineRule="auto"/>
      </w:pPr>
      <w:r>
        <w:rPr>
          <w:rFonts w:ascii="Calibri" w:hAnsi="Calibri"/>
          <w:sz w:val="22"/>
        </w:rPr>
        <w:t>Correlation Analysis: The full feature correlation heatmap shows that CO₂ has the strongest positive correlation with occupancy (r = 0.891), followed by PIR (r = 0.847), fan_on (r = 0.718), light (r = 0.593), and temperature (r = 0.582). Hour_cos shows a strong negative correlation (r = -0.457) — late night hours are predominantly vacant.</w:t>
      </w:r>
    </w:p>
    <w:p>
      <w:pPr>
        <w:jc w:val="center"/>
      </w:pPr>
      <w:r>
        <w:drawing>
          <wp:inline xmlns:a="http://schemas.openxmlformats.org/drawingml/2006/main" xmlns:pic="http://schemas.openxmlformats.org/drawingml/2006/picture">
            <wp:extent cx="5669280" cy="2450565"/>
            <wp:docPr id="15" name="Picture 15"/>
            <wp:cNvGraphicFramePr>
              <a:graphicFrameLocks noChangeAspect="1"/>
            </wp:cNvGraphicFramePr>
            <a:graphic>
              <a:graphicData uri="http://schemas.openxmlformats.org/drawingml/2006/picture">
                <pic:pic>
                  <pic:nvPicPr>
                    <pic:cNvPr id="0" name="Screenshot 2026-04-19 154136.png"/>
                    <pic:cNvPicPr/>
                  </pic:nvPicPr>
                  <pic:blipFill>
                    <a:blip r:embed="rId25"/>
                    <a:stretch>
                      <a:fillRect/>
                    </a:stretch>
                  </pic:blipFill>
                  <pic:spPr>
                    <a:xfrm>
                      <a:off x="0" y="0"/>
                      <a:ext cx="5669280" cy="2450565"/>
                    </a:xfrm>
                    <a:prstGeom prst="rect"/>
                  </pic:spPr>
                </pic:pic>
              </a:graphicData>
            </a:graphic>
          </wp:inline>
        </w:drawing>
      </w:r>
    </w:p>
    <w:p>
      <w:pPr>
        <w:jc w:val="center"/>
      </w:pPr>
      <w:r>
        <w:rPr>
          <w:i/>
          <w:color w:val="646464"/>
          <w:sz w:val="18"/>
        </w:rPr>
        <w:t>Figure 7 — EDA: Correlation Heatmap &amp; Feature Correlation with Occupancy Target</w:t>
      </w:r>
    </w:p>
    <w:p>
      <w:pPr>
        <w:spacing w:after="120" w:line="276" w:lineRule="auto"/>
      </w:pPr>
      <w:r>
        <w:rPr>
          <w:rFonts w:ascii="Calibri" w:hAnsi="Calibri"/>
          <w:sz w:val="22"/>
        </w:rPr>
        <w:t>Boxplot Analysis: Side-by-side boxplots reveal clear median separations across occupancy classes. Light median: 221 (Vacant) vs 2,755 (Occupied). Temperature: 23.3°C vs 25.9°C. Humidity: 59.3% vs 67.7%. CO₂: 417 ppm vs 660.5 ppm. The CO₂ interquartile ranges are barely overlapping, making it an exceptionally powerful binary discriminator.</w:t>
      </w:r>
    </w:p>
    <w:p>
      <w:pPr>
        <w:jc w:val="center"/>
      </w:pPr>
      <w:r>
        <w:drawing>
          <wp:inline xmlns:a="http://schemas.openxmlformats.org/drawingml/2006/main" xmlns:pic="http://schemas.openxmlformats.org/drawingml/2006/picture">
            <wp:extent cx="5669280" cy="3785115"/>
            <wp:docPr id="16" name="Picture 16"/>
            <wp:cNvGraphicFramePr>
              <a:graphicFrameLocks noChangeAspect="1"/>
            </wp:cNvGraphicFramePr>
            <a:graphic>
              <a:graphicData uri="http://schemas.openxmlformats.org/drawingml/2006/picture">
                <pic:pic>
                  <pic:nvPicPr>
                    <pic:cNvPr id="0" name="Screenshot 2026-04-19 154201.png"/>
                    <pic:cNvPicPr/>
                  </pic:nvPicPr>
                  <pic:blipFill>
                    <a:blip r:embed="rId26"/>
                    <a:stretch>
                      <a:fillRect/>
                    </a:stretch>
                  </pic:blipFill>
                  <pic:spPr>
                    <a:xfrm>
                      <a:off x="0" y="0"/>
                      <a:ext cx="5669280" cy="3785115"/>
                    </a:xfrm>
                    <a:prstGeom prst="rect"/>
                  </pic:spPr>
                </pic:pic>
              </a:graphicData>
            </a:graphic>
          </wp:inline>
        </w:drawing>
      </w:r>
    </w:p>
    <w:p>
      <w:pPr>
        <w:jc w:val="center"/>
      </w:pPr>
      <w:r>
        <w:rPr>
          <w:i/>
          <w:color w:val="646464"/>
          <w:sz w:val="18"/>
        </w:rPr>
        <w:t>Figure 8 — EDA: Boxplot Analysis by Occupancy Status</w:t>
      </w:r>
    </w:p>
    <w:p>
      <w:pPr>
        <w:pStyle w:val="Heading3"/>
      </w:pPr>
      <w:r>
        <w:t>Step 4 — Feature Engineering &amp; Selection</w:t>
      </w:r>
    </w:p>
    <w:p>
      <w:pPr>
        <w:spacing w:after="120" w:line="276" w:lineRule="auto"/>
      </w:pPr>
      <w:r>
        <w:rPr>
          <w:rFonts w:ascii="Calibri" w:hAnsi="Calibri"/>
          <w:sz w:val="22"/>
        </w:rPr>
        <w:t>Eight new features were engineered from the cleaned dataset: thi (Temperature-Humidity Index), light_cat (LDR segmented into 4 bands: dark/dim/normal/bright), is_daytime (1 if 06:00–20:00), solar_peak (1 if 09:00–15:00), temp_high (1 if &gt; 27°C), co2_risk (1 if &gt; 800 ppm), pir_trend (3-period rolling mean of PIR), and light_pir (light × pir / 100 interaction feature).</w:t>
      </w:r>
    </w:p>
    <w:p>
      <w:pPr>
        <w:spacing w:after="120" w:line="276" w:lineRule="auto"/>
      </w:pPr>
      <w:r>
        <w:rPr>
          <w:rFonts w:ascii="Calibri" w:hAnsi="Calibri"/>
          <w:sz w:val="22"/>
        </w:rPr>
        <w:t>Two feature selection methods were applied: SelectKBest with ANOVA F-test (measuring linear separability) and mutual_info_classif (measuring non-linear dependency). The top 12 features by combined scoring were selected as the final feature set: co2, pir, light_pir, pir_trend, light, light_cat, thi, temperature, is_daytime, humidity, hour_cos, and solar_voltage.</w:t>
      </w:r>
    </w:p>
    <w:p>
      <w:pPr>
        <w:jc w:val="center"/>
      </w:pPr>
      <w:r>
        <w:drawing>
          <wp:inline xmlns:a="http://schemas.openxmlformats.org/drawingml/2006/main" xmlns:pic="http://schemas.openxmlformats.org/drawingml/2006/picture">
            <wp:extent cx="5669280" cy="3452127"/>
            <wp:docPr id="17" name="Picture 17"/>
            <wp:cNvGraphicFramePr>
              <a:graphicFrameLocks noChangeAspect="1"/>
            </wp:cNvGraphicFramePr>
            <a:graphic>
              <a:graphicData uri="http://schemas.openxmlformats.org/drawingml/2006/picture">
                <pic:pic>
                  <pic:nvPicPr>
                    <pic:cNvPr id="0" name="Screenshot 2026-04-19 154229.png"/>
                    <pic:cNvPicPr/>
                  </pic:nvPicPr>
                  <pic:blipFill>
                    <a:blip r:embed="rId27"/>
                    <a:stretch>
                      <a:fillRect/>
                    </a:stretch>
                  </pic:blipFill>
                  <pic:spPr>
                    <a:xfrm>
                      <a:off x="0" y="0"/>
                      <a:ext cx="5669280" cy="3452127"/>
                    </a:xfrm>
                    <a:prstGeom prst="rect"/>
                  </pic:spPr>
                </pic:pic>
              </a:graphicData>
            </a:graphic>
          </wp:inline>
        </w:drawing>
      </w:r>
    </w:p>
    <w:p>
      <w:pPr>
        <w:jc w:val="center"/>
      </w:pPr>
      <w:r>
        <w:rPr>
          <w:i/>
          <w:color w:val="646464"/>
          <w:sz w:val="18"/>
        </w:rPr>
        <w:t>Figure 9 — Step 4: Feature Engineering &amp; Selection (ANOVA F-Score and Mutual Information)</w:t>
      </w:r>
    </w:p>
    <w:p>
      <w:pPr>
        <w:pStyle w:val="Heading3"/>
      </w:pPr>
      <w:r>
        <w:t>Step 5 — Model Training</w:t>
      </w:r>
    </w:p>
    <w:p>
      <w:pPr>
        <w:spacing w:after="120" w:line="276" w:lineRule="auto"/>
      </w:pPr>
      <w:r>
        <w:rPr>
          <w:rFonts w:ascii="Calibri" w:hAnsi="Calibri"/>
          <w:sz w:val="22"/>
        </w:rPr>
        <w:t>Five classifiers were trained under identical conditions using an 80/20 stratified split (Train: 1,811 rows, Test: 453 rows, 12 features). 5-fold StratifiedKFold cross-validation was applied on the training set.</w:t>
      </w:r>
    </w:p>
    <w:p>
      <w:pPr>
        <w:jc w:val="center"/>
      </w:pPr>
      <w:r>
        <w:drawing>
          <wp:inline xmlns:a="http://schemas.openxmlformats.org/drawingml/2006/main" xmlns:pic="http://schemas.openxmlformats.org/drawingml/2006/picture">
            <wp:extent cx="5669280" cy="1765644"/>
            <wp:docPr id="18" name="Picture 18"/>
            <wp:cNvGraphicFramePr>
              <a:graphicFrameLocks noChangeAspect="1"/>
            </wp:cNvGraphicFramePr>
            <a:graphic>
              <a:graphicData uri="http://schemas.openxmlformats.org/drawingml/2006/picture">
                <pic:pic>
                  <pic:nvPicPr>
                    <pic:cNvPr id="0" name="Screenshot 2026-04-19 154306.png"/>
                    <pic:cNvPicPr/>
                  </pic:nvPicPr>
                  <pic:blipFill>
                    <a:blip r:embed="rId28"/>
                    <a:stretch>
                      <a:fillRect/>
                    </a:stretch>
                  </pic:blipFill>
                  <pic:spPr>
                    <a:xfrm>
                      <a:off x="0" y="0"/>
                      <a:ext cx="5669280" cy="1765644"/>
                    </a:xfrm>
                    <a:prstGeom prst="rect"/>
                  </pic:spPr>
                </pic:pic>
              </a:graphicData>
            </a:graphic>
          </wp:inline>
        </w:drawing>
      </w:r>
    </w:p>
    <w:p>
      <w:pPr>
        <w:jc w:val="center"/>
      </w:pPr>
      <w:r>
        <w:rPr>
          <w:i/>
          <w:color w:val="646464"/>
          <w:sz w:val="18"/>
        </w:rPr>
        <w:t>Figure 10 — Step 5: Model Training Results Table</w:t>
      </w:r>
    </w:p>
    <w:p>
      <w:pPr>
        <w:pStyle w:val="Heading3"/>
      </w:pPr>
      <w:r>
        <w:t>Model Comparison — Full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tcPr>
          <w:p>
            <w:r>
              <w:rPr>
                <w:b/>
                <w:color w:val="FFFFFF"/>
                <w:sz w:val="16"/>
              </w:rPr>
              <w:t>Model</w:t>
            </w:r>
          </w:p>
        </w:tc>
        <w:tc>
          <w:tcPr>
            <w:tcW w:type="dxa" w:w="1337"/>
            <w:shd w:fill="1F3864"/>
          </w:tcPr>
          <w:p>
            <w:r>
              <w:rPr>
                <w:b/>
                <w:color w:val="FFFFFF"/>
                <w:sz w:val="16"/>
              </w:rPr>
              <w:t>Accuracy</w:t>
            </w:r>
          </w:p>
        </w:tc>
        <w:tc>
          <w:tcPr>
            <w:tcW w:type="dxa" w:w="1337"/>
            <w:shd w:fill="1F3864"/>
          </w:tcPr>
          <w:p>
            <w:r>
              <w:rPr>
                <w:b/>
                <w:color w:val="FFFFFF"/>
                <w:sz w:val="16"/>
              </w:rPr>
              <w:t>F1</w:t>
            </w:r>
          </w:p>
        </w:tc>
        <w:tc>
          <w:tcPr>
            <w:tcW w:type="dxa" w:w="1337"/>
            <w:shd w:fill="1F3864"/>
          </w:tcPr>
          <w:p>
            <w:r>
              <w:rPr>
                <w:b/>
                <w:color w:val="FFFFFF"/>
                <w:sz w:val="16"/>
              </w:rPr>
              <w:t>Precision</w:t>
            </w:r>
          </w:p>
        </w:tc>
        <w:tc>
          <w:tcPr>
            <w:tcW w:type="dxa" w:w="1337"/>
            <w:shd w:fill="1F3864"/>
          </w:tcPr>
          <w:p>
            <w:r>
              <w:rPr>
                <w:b/>
                <w:color w:val="FFFFFF"/>
                <w:sz w:val="16"/>
              </w:rPr>
              <w:t>Recall</w:t>
            </w:r>
          </w:p>
        </w:tc>
        <w:tc>
          <w:tcPr>
            <w:tcW w:type="dxa" w:w="1337"/>
            <w:shd w:fill="1F3864"/>
          </w:tcPr>
          <w:p>
            <w:r>
              <w:rPr>
                <w:b/>
                <w:color w:val="FFFFFF"/>
                <w:sz w:val="16"/>
              </w:rPr>
              <w:t>AUC</w:t>
            </w:r>
          </w:p>
        </w:tc>
        <w:tc>
          <w:tcPr>
            <w:tcW w:type="dxa" w:w="1337"/>
            <w:shd w:fill="1F3864"/>
          </w:tcPr>
          <w:p>
            <w:r>
              <w:rPr>
                <w:b/>
                <w:color w:val="FFFFFF"/>
                <w:sz w:val="16"/>
              </w:rPr>
              <w:t>CV-5</w:t>
            </w:r>
          </w:p>
        </w:tc>
      </w:tr>
      <w:tr>
        <w:tc>
          <w:tcPr>
            <w:tcW w:type="dxa" w:w="1337"/>
            <w:shd w:fill="D6E4F0"/>
          </w:tcPr>
          <w:p>
            <w:r>
              <w:rPr>
                <w:rFonts w:ascii="Calibri" w:hAnsi="Calibri"/>
                <w:sz w:val="18"/>
              </w:rPr>
              <w:t>Random Forest</w:t>
            </w:r>
          </w:p>
        </w:tc>
        <w:tc>
          <w:tcPr>
            <w:tcW w:type="dxa" w:w="1337"/>
            <w:shd w:fill="D6E4F0"/>
          </w:tcPr>
          <w:p>
            <w:r>
              <w:rPr>
                <w:rFonts w:ascii="Calibri" w:hAnsi="Calibri"/>
                <w:sz w:val="18"/>
              </w:rPr>
              <w:t>0.9912</w:t>
            </w:r>
          </w:p>
        </w:tc>
        <w:tc>
          <w:tcPr>
            <w:tcW w:type="dxa" w:w="1337"/>
            <w:shd w:fill="D6E4F0"/>
          </w:tcPr>
          <w:p>
            <w:r>
              <w:rPr>
                <w:rFonts w:ascii="Calibri" w:hAnsi="Calibri"/>
                <w:sz w:val="18"/>
              </w:rPr>
              <w:t>0.9912</w:t>
            </w:r>
          </w:p>
        </w:tc>
        <w:tc>
          <w:tcPr>
            <w:tcW w:type="dxa" w:w="1337"/>
            <w:shd w:fill="D6E4F0"/>
          </w:tcPr>
          <w:p>
            <w:r>
              <w:rPr>
                <w:rFonts w:ascii="Calibri" w:hAnsi="Calibri"/>
                <w:sz w:val="18"/>
              </w:rPr>
              <w:t>0.9912</w:t>
            </w:r>
          </w:p>
        </w:tc>
        <w:tc>
          <w:tcPr>
            <w:tcW w:type="dxa" w:w="1337"/>
            <w:shd w:fill="D6E4F0"/>
          </w:tcPr>
          <w:p>
            <w:r>
              <w:rPr>
                <w:rFonts w:ascii="Calibri" w:hAnsi="Calibri"/>
                <w:sz w:val="18"/>
              </w:rPr>
              <w:t>0.9912</w:t>
            </w:r>
          </w:p>
        </w:tc>
        <w:tc>
          <w:tcPr>
            <w:tcW w:type="dxa" w:w="1337"/>
            <w:shd w:fill="D6E4F0"/>
          </w:tcPr>
          <w:p>
            <w:r>
              <w:rPr>
                <w:rFonts w:ascii="Calibri" w:hAnsi="Calibri"/>
                <w:sz w:val="18"/>
              </w:rPr>
              <w:t>0.9992</w:t>
            </w:r>
          </w:p>
        </w:tc>
        <w:tc>
          <w:tcPr>
            <w:tcW w:type="dxa" w:w="1337"/>
            <w:shd w:fill="D6E4F0"/>
          </w:tcPr>
          <w:p>
            <w:r>
              <w:rPr>
                <w:rFonts w:ascii="Calibri" w:hAnsi="Calibri"/>
                <w:sz w:val="18"/>
              </w:rPr>
              <w:t>0.9934±0.003</w:t>
            </w:r>
          </w:p>
        </w:tc>
      </w:tr>
      <w:tr>
        <w:tc>
          <w:tcPr>
            <w:tcW w:type="dxa" w:w="1337"/>
          </w:tcPr>
          <w:p>
            <w:r>
              <w:rPr>
                <w:rFonts w:ascii="Calibri" w:hAnsi="Calibri"/>
                <w:sz w:val="18"/>
              </w:rPr>
              <w:t>SVM</w:t>
            </w:r>
          </w:p>
        </w:tc>
        <w:tc>
          <w:tcPr>
            <w:tcW w:type="dxa" w:w="1337"/>
          </w:tcPr>
          <w:p>
            <w:r>
              <w:rPr>
                <w:rFonts w:ascii="Calibri" w:hAnsi="Calibri"/>
                <w:sz w:val="18"/>
              </w:rPr>
              <w:t>0.9823</w:t>
            </w:r>
          </w:p>
        </w:tc>
        <w:tc>
          <w:tcPr>
            <w:tcW w:type="dxa" w:w="1337"/>
          </w:tcPr>
          <w:p>
            <w:r>
              <w:rPr>
                <w:rFonts w:ascii="Calibri" w:hAnsi="Calibri"/>
                <w:sz w:val="18"/>
              </w:rPr>
              <w:t>0.9823</w:t>
            </w:r>
          </w:p>
        </w:tc>
        <w:tc>
          <w:tcPr>
            <w:tcW w:type="dxa" w:w="1337"/>
          </w:tcPr>
          <w:p>
            <w:r>
              <w:rPr>
                <w:rFonts w:ascii="Calibri" w:hAnsi="Calibri"/>
                <w:sz w:val="18"/>
              </w:rPr>
              <w:t>0.9823</w:t>
            </w:r>
          </w:p>
        </w:tc>
        <w:tc>
          <w:tcPr>
            <w:tcW w:type="dxa" w:w="1337"/>
          </w:tcPr>
          <w:p>
            <w:r>
              <w:rPr>
                <w:rFonts w:ascii="Calibri" w:hAnsi="Calibri"/>
                <w:sz w:val="18"/>
              </w:rPr>
              <w:t>0.9823</w:t>
            </w:r>
          </w:p>
        </w:tc>
        <w:tc>
          <w:tcPr>
            <w:tcW w:type="dxa" w:w="1337"/>
          </w:tcPr>
          <w:p>
            <w:r>
              <w:rPr>
                <w:rFonts w:ascii="Calibri" w:hAnsi="Calibri"/>
                <w:sz w:val="18"/>
              </w:rPr>
              <w:t>0.9995</w:t>
            </w:r>
          </w:p>
        </w:tc>
        <w:tc>
          <w:tcPr>
            <w:tcW w:type="dxa" w:w="1337"/>
          </w:tcPr>
          <w:p>
            <w:r>
              <w:rPr>
                <w:rFonts w:ascii="Calibri" w:hAnsi="Calibri"/>
                <w:sz w:val="18"/>
              </w:rPr>
              <w:t>0.9917±0.003</w:t>
            </w:r>
          </w:p>
        </w:tc>
      </w:tr>
      <w:tr>
        <w:tc>
          <w:tcPr>
            <w:tcW w:type="dxa" w:w="1337"/>
          </w:tcPr>
          <w:p>
            <w:r>
              <w:rPr>
                <w:rFonts w:ascii="Calibri" w:hAnsi="Calibri"/>
                <w:sz w:val="18"/>
              </w:rPr>
              <w:t>Gradient Boosting</w:t>
            </w:r>
          </w:p>
        </w:tc>
        <w:tc>
          <w:tcPr>
            <w:tcW w:type="dxa" w:w="1337"/>
          </w:tcPr>
          <w:p>
            <w:r>
              <w:rPr>
                <w:rFonts w:ascii="Calibri" w:hAnsi="Calibri"/>
                <w:sz w:val="18"/>
              </w:rPr>
              <w:t>0.9868</w:t>
            </w:r>
          </w:p>
        </w:tc>
        <w:tc>
          <w:tcPr>
            <w:tcW w:type="dxa" w:w="1337"/>
          </w:tcPr>
          <w:p>
            <w:r>
              <w:rPr>
                <w:rFonts w:ascii="Calibri" w:hAnsi="Calibri"/>
                <w:sz w:val="18"/>
              </w:rPr>
              <w:t>0.9868</w:t>
            </w:r>
          </w:p>
        </w:tc>
        <w:tc>
          <w:tcPr>
            <w:tcW w:type="dxa" w:w="1337"/>
          </w:tcPr>
          <w:p>
            <w:r>
              <w:rPr>
                <w:rFonts w:ascii="Calibri" w:hAnsi="Calibri"/>
                <w:sz w:val="18"/>
              </w:rPr>
              <w:t>0.9869</w:t>
            </w:r>
          </w:p>
        </w:tc>
        <w:tc>
          <w:tcPr>
            <w:tcW w:type="dxa" w:w="1337"/>
          </w:tcPr>
          <w:p>
            <w:r>
              <w:rPr>
                <w:rFonts w:ascii="Calibri" w:hAnsi="Calibri"/>
                <w:sz w:val="18"/>
              </w:rPr>
              <w:t>0.9868</w:t>
            </w:r>
          </w:p>
        </w:tc>
        <w:tc>
          <w:tcPr>
            <w:tcW w:type="dxa" w:w="1337"/>
          </w:tcPr>
          <w:p>
            <w:r>
              <w:rPr>
                <w:rFonts w:ascii="Calibri" w:hAnsi="Calibri"/>
                <w:sz w:val="18"/>
              </w:rPr>
              <w:t>0.9991</w:t>
            </w:r>
          </w:p>
        </w:tc>
        <w:tc>
          <w:tcPr>
            <w:tcW w:type="dxa" w:w="1337"/>
          </w:tcPr>
          <w:p>
            <w:r>
              <w:rPr>
                <w:rFonts w:ascii="Calibri" w:hAnsi="Calibri"/>
                <w:sz w:val="18"/>
              </w:rPr>
              <w:t>0.9906±0.005</w:t>
            </w:r>
          </w:p>
        </w:tc>
      </w:tr>
      <w:tr>
        <w:tc>
          <w:tcPr>
            <w:tcW w:type="dxa" w:w="1337"/>
          </w:tcPr>
          <w:p>
            <w:r>
              <w:rPr>
                <w:rFonts w:ascii="Calibri" w:hAnsi="Calibri"/>
                <w:sz w:val="18"/>
              </w:rPr>
              <w:t>Decision Tree</w:t>
            </w:r>
          </w:p>
        </w:tc>
        <w:tc>
          <w:tcPr>
            <w:tcW w:type="dxa" w:w="1337"/>
          </w:tcPr>
          <w:p>
            <w:r>
              <w:rPr>
                <w:rFonts w:ascii="Calibri" w:hAnsi="Calibri"/>
                <w:sz w:val="18"/>
              </w:rPr>
              <w:t>0.9779</w:t>
            </w:r>
          </w:p>
        </w:tc>
        <w:tc>
          <w:tcPr>
            <w:tcW w:type="dxa" w:w="1337"/>
          </w:tcPr>
          <w:p>
            <w:r>
              <w:rPr>
                <w:rFonts w:ascii="Calibri" w:hAnsi="Calibri"/>
                <w:sz w:val="18"/>
              </w:rPr>
              <w:t>0.9779</w:t>
            </w:r>
          </w:p>
        </w:tc>
        <w:tc>
          <w:tcPr>
            <w:tcW w:type="dxa" w:w="1337"/>
          </w:tcPr>
          <w:p>
            <w:r>
              <w:rPr>
                <w:rFonts w:ascii="Calibri" w:hAnsi="Calibri"/>
                <w:sz w:val="18"/>
              </w:rPr>
              <w:t>0.9781</w:t>
            </w:r>
          </w:p>
        </w:tc>
        <w:tc>
          <w:tcPr>
            <w:tcW w:type="dxa" w:w="1337"/>
          </w:tcPr>
          <w:p>
            <w:r>
              <w:rPr>
                <w:rFonts w:ascii="Calibri" w:hAnsi="Calibri"/>
                <w:sz w:val="18"/>
              </w:rPr>
              <w:t>0.9779</w:t>
            </w:r>
          </w:p>
        </w:tc>
        <w:tc>
          <w:tcPr>
            <w:tcW w:type="dxa" w:w="1337"/>
          </w:tcPr>
          <w:p>
            <w:r>
              <w:rPr>
                <w:rFonts w:ascii="Calibri" w:hAnsi="Calibri"/>
                <w:sz w:val="18"/>
              </w:rPr>
              <w:t>0.9776</w:t>
            </w:r>
          </w:p>
        </w:tc>
        <w:tc>
          <w:tcPr>
            <w:tcW w:type="dxa" w:w="1337"/>
          </w:tcPr>
          <w:p>
            <w:r>
              <w:rPr>
                <w:rFonts w:ascii="Calibri" w:hAnsi="Calibri"/>
                <w:sz w:val="18"/>
              </w:rPr>
              <w:t>0.9862±0.005</w:t>
            </w:r>
          </w:p>
        </w:tc>
      </w:tr>
      <w:tr>
        <w:tc>
          <w:tcPr>
            <w:tcW w:type="dxa" w:w="1337"/>
          </w:tcPr>
          <w:p>
            <w:r>
              <w:rPr>
                <w:rFonts w:ascii="Calibri" w:hAnsi="Calibri"/>
                <w:sz w:val="18"/>
              </w:rPr>
              <w:t>Logistic Regression</w:t>
            </w:r>
          </w:p>
        </w:tc>
        <w:tc>
          <w:tcPr>
            <w:tcW w:type="dxa" w:w="1337"/>
          </w:tcPr>
          <w:p>
            <w:r>
              <w:rPr>
                <w:rFonts w:ascii="Calibri" w:hAnsi="Calibri"/>
                <w:sz w:val="18"/>
              </w:rPr>
              <w:t>0.9912</w:t>
            </w:r>
          </w:p>
        </w:tc>
        <w:tc>
          <w:tcPr>
            <w:tcW w:type="dxa" w:w="1337"/>
          </w:tcPr>
          <w:p>
            <w:r>
              <w:rPr>
                <w:rFonts w:ascii="Calibri" w:hAnsi="Calibri"/>
                <w:sz w:val="18"/>
              </w:rPr>
              <w:t>0.9912</w:t>
            </w:r>
          </w:p>
        </w:tc>
        <w:tc>
          <w:tcPr>
            <w:tcW w:type="dxa" w:w="1337"/>
          </w:tcPr>
          <w:p>
            <w:r>
              <w:rPr>
                <w:rFonts w:ascii="Calibri" w:hAnsi="Calibri"/>
                <w:sz w:val="18"/>
              </w:rPr>
              <w:t>0.9912</w:t>
            </w:r>
          </w:p>
        </w:tc>
        <w:tc>
          <w:tcPr>
            <w:tcW w:type="dxa" w:w="1337"/>
          </w:tcPr>
          <w:p>
            <w:r>
              <w:rPr>
                <w:rFonts w:ascii="Calibri" w:hAnsi="Calibri"/>
                <w:sz w:val="18"/>
              </w:rPr>
              <w:t>0.9912</w:t>
            </w:r>
          </w:p>
        </w:tc>
        <w:tc>
          <w:tcPr>
            <w:tcW w:type="dxa" w:w="1337"/>
          </w:tcPr>
          <w:p>
            <w:r>
              <w:rPr>
                <w:rFonts w:ascii="Calibri" w:hAnsi="Calibri"/>
                <w:sz w:val="18"/>
              </w:rPr>
              <w:t>0.9996</w:t>
            </w:r>
          </w:p>
        </w:tc>
        <w:tc>
          <w:tcPr>
            <w:tcW w:type="dxa" w:w="1337"/>
          </w:tcPr>
          <w:p>
            <w:r>
              <w:rPr>
                <w:rFonts w:ascii="Calibri" w:hAnsi="Calibri"/>
                <w:sz w:val="18"/>
              </w:rPr>
              <w:t>0.9928±0.003</w:t>
            </w:r>
          </w:p>
        </w:tc>
      </w:tr>
    </w:tbl>
    <w:p/>
    <w:p>
      <w:pPr>
        <w:pStyle w:val="Heading3"/>
      </w:pPr>
      <w:r>
        <w:t>Step 6 — Model Comparison &amp; Evaluation</w:t>
      </w:r>
    </w:p>
    <w:p>
      <w:pPr>
        <w:spacing w:after="120" w:line="276" w:lineRule="auto"/>
      </w:pPr>
      <w:r>
        <w:rPr>
          <w:rFonts w:ascii="Calibri" w:hAnsi="Calibri"/>
          <w:sz w:val="22"/>
        </w:rPr>
        <w:t>The model comparison bar charts compare all five classifiers across accuracy, F1, precision, recall, and ROC-AUC. Random Forest achieves the highest accuracy at 0.9912. All models exceed the 90% accuracy objective threshold. The 5-fold cross-validation results confirm consistent performance across folds, with Random Forest achieving 0.9934 ± 0.003.</w:t>
      </w:r>
    </w:p>
    <w:p>
      <w:pPr>
        <w:jc w:val="center"/>
      </w:pPr>
      <w:r>
        <w:drawing>
          <wp:inline xmlns:a="http://schemas.openxmlformats.org/drawingml/2006/main" xmlns:pic="http://schemas.openxmlformats.org/drawingml/2006/picture">
            <wp:extent cx="5669280" cy="2930236"/>
            <wp:docPr id="19" name="Picture 19"/>
            <wp:cNvGraphicFramePr>
              <a:graphicFrameLocks noChangeAspect="1"/>
            </wp:cNvGraphicFramePr>
            <a:graphic>
              <a:graphicData uri="http://schemas.openxmlformats.org/drawingml/2006/picture">
                <pic:pic>
                  <pic:nvPicPr>
                    <pic:cNvPr id="0" name="Screenshot 2026-04-19 154315.png"/>
                    <pic:cNvPicPr/>
                  </pic:nvPicPr>
                  <pic:blipFill>
                    <a:blip r:embed="rId29"/>
                    <a:stretch>
                      <a:fillRect/>
                    </a:stretch>
                  </pic:blipFill>
                  <pic:spPr>
                    <a:xfrm>
                      <a:off x="0" y="0"/>
                      <a:ext cx="5669280" cy="2930236"/>
                    </a:xfrm>
                    <a:prstGeom prst="rect"/>
                  </pic:spPr>
                </pic:pic>
              </a:graphicData>
            </a:graphic>
          </wp:inline>
        </w:drawing>
      </w:r>
    </w:p>
    <w:p>
      <w:pPr>
        <w:jc w:val="center"/>
      </w:pPr>
      <w:r>
        <w:rPr>
          <w:i/>
          <w:color w:val="646464"/>
          <w:sz w:val="18"/>
        </w:rPr>
        <w:t>Figure 11 — Step 6: Model Comparison — All Metrics &amp; Cross-Validation</w:t>
      </w:r>
    </w:p>
    <w:p>
      <w:pPr>
        <w:spacing w:after="120" w:line="276" w:lineRule="auto"/>
      </w:pPr>
      <w:r>
        <w:rPr>
          <w:rFonts w:ascii="Calibri" w:hAnsi="Calibri"/>
          <w:sz w:val="22"/>
        </w:rPr>
        <w:t>Confusion Matrices for all five models show the prediction error pattern. Random Forest achieves TN=217, FP=2, FN=2, TP=232 — only 4 misclassifications out of 453 test samples.</w:t>
      </w:r>
    </w:p>
    <w:p>
      <w:pPr>
        <w:jc w:val="center"/>
      </w:pPr>
      <w:r>
        <w:drawing>
          <wp:inline xmlns:a="http://schemas.openxmlformats.org/drawingml/2006/main" xmlns:pic="http://schemas.openxmlformats.org/drawingml/2006/picture">
            <wp:extent cx="5669280" cy="1139637"/>
            <wp:docPr id="20" name="Picture 20"/>
            <wp:cNvGraphicFramePr>
              <a:graphicFrameLocks noChangeAspect="1"/>
            </wp:cNvGraphicFramePr>
            <a:graphic>
              <a:graphicData uri="http://schemas.openxmlformats.org/drawingml/2006/picture">
                <pic:pic>
                  <pic:nvPicPr>
                    <pic:cNvPr id="0" name="Screenshot 2026-04-19 154336.png"/>
                    <pic:cNvPicPr/>
                  </pic:nvPicPr>
                  <pic:blipFill>
                    <a:blip r:embed="rId30"/>
                    <a:stretch>
                      <a:fillRect/>
                    </a:stretch>
                  </pic:blipFill>
                  <pic:spPr>
                    <a:xfrm>
                      <a:off x="0" y="0"/>
                      <a:ext cx="5669280" cy="1139637"/>
                    </a:xfrm>
                    <a:prstGeom prst="rect"/>
                  </pic:spPr>
                </pic:pic>
              </a:graphicData>
            </a:graphic>
          </wp:inline>
        </w:drawing>
      </w:r>
    </w:p>
    <w:p>
      <w:pPr>
        <w:jc w:val="center"/>
      </w:pPr>
      <w:r>
        <w:rPr>
          <w:i/>
          <w:color w:val="646464"/>
          <w:sz w:val="18"/>
        </w:rPr>
        <w:t>Figure 12 — Confusion Matrices — All 5 Models</w:t>
      </w:r>
    </w:p>
    <w:p>
      <w:pPr>
        <w:spacing w:after="120" w:line="276" w:lineRule="auto"/>
      </w:pPr>
      <w:r>
        <w:rPr>
          <w:rFonts w:ascii="Calibri" w:hAnsi="Calibri"/>
          <w:sz w:val="22"/>
        </w:rPr>
        <w:t>The Classification Report for Random Forest shows precision 0.99, recall 0.99, and F1-score 0.99 for both classes (Vacant support: 219, Occupied support: 234). The comfort score regression achieves R² = 0.9702 (MAE = 0.27, RMSE = 1.66), demonstrating excellent predictive capability for the composite indoor comfort metric.</w:t>
      </w:r>
    </w:p>
    <w:p>
      <w:pPr>
        <w:jc w:val="center"/>
      </w:pPr>
      <w:r>
        <w:drawing>
          <wp:inline xmlns:a="http://schemas.openxmlformats.org/drawingml/2006/main" xmlns:pic="http://schemas.openxmlformats.org/drawingml/2006/picture">
            <wp:extent cx="5669280" cy="3413848"/>
            <wp:docPr id="21" name="Picture 21"/>
            <wp:cNvGraphicFramePr>
              <a:graphicFrameLocks noChangeAspect="1"/>
            </wp:cNvGraphicFramePr>
            <a:graphic>
              <a:graphicData uri="http://schemas.openxmlformats.org/drawingml/2006/picture">
                <pic:pic>
                  <pic:nvPicPr>
                    <pic:cNvPr id="0" name="Screenshot 2026-04-19 154402.png"/>
                    <pic:cNvPicPr/>
                  </pic:nvPicPr>
                  <pic:blipFill>
                    <a:blip r:embed="rId31"/>
                    <a:stretch>
                      <a:fillRect/>
                    </a:stretch>
                  </pic:blipFill>
                  <pic:spPr>
                    <a:xfrm>
                      <a:off x="0" y="0"/>
                      <a:ext cx="5669280" cy="3413848"/>
                    </a:xfrm>
                    <a:prstGeom prst="rect"/>
                  </pic:spPr>
                </pic:pic>
              </a:graphicData>
            </a:graphic>
          </wp:inline>
        </w:drawing>
      </w:r>
    </w:p>
    <w:p>
      <w:pPr>
        <w:jc w:val="center"/>
      </w:pPr>
      <w:r>
        <w:rPr>
          <w:i/>
          <w:color w:val="646464"/>
          <w:sz w:val="18"/>
        </w:rPr>
        <w:t>Figure 13 — Classification Report (Random Forest) &amp; Comfort Score Regression (R² = 0.9702)</w:t>
      </w:r>
    </w:p>
    <w:p>
      <w:pPr>
        <w:pStyle w:val="Heading3"/>
      </w:pPr>
      <w:r>
        <w:t>Step 7 — Visualisation &amp; Interpretation</w:t>
      </w:r>
    </w:p>
    <w:p>
      <w:pPr>
        <w:spacing w:after="120" w:line="276" w:lineRule="auto"/>
      </w:pPr>
      <w:r>
        <w:rPr>
          <w:rFonts w:ascii="Calibri" w:hAnsi="Calibri"/>
          <w:sz w:val="22"/>
        </w:rPr>
        <w:t>Feature importance analysis using Gini impurity from the Random Forest model reveals: co2 is the most important feature (~0.38), followed by light_pir (~0.25), pir (~0.15), light (~0.05), pir_trend (~0.04), and thi (~0.04). The Gradient Boosting feature importance confirms co2 as overwhelmingly dominant (~0.87), with a much steeper importance drop-off for secondary features.</w:t>
      </w:r>
    </w:p>
    <w:p>
      <w:pPr>
        <w:jc w:val="center"/>
      </w:pPr>
      <w:r>
        <w:drawing>
          <wp:inline xmlns:a="http://schemas.openxmlformats.org/drawingml/2006/main" xmlns:pic="http://schemas.openxmlformats.org/drawingml/2006/picture">
            <wp:extent cx="5669280" cy="2798142"/>
            <wp:docPr id="22" name="Picture 22"/>
            <wp:cNvGraphicFramePr>
              <a:graphicFrameLocks noChangeAspect="1"/>
            </wp:cNvGraphicFramePr>
            <a:graphic>
              <a:graphicData uri="http://schemas.openxmlformats.org/drawingml/2006/picture">
                <pic:pic>
                  <pic:nvPicPr>
                    <pic:cNvPr id="0" name="Screenshot 2026-04-19 154418.png"/>
                    <pic:cNvPicPr/>
                  </pic:nvPicPr>
                  <pic:blipFill>
                    <a:blip r:embed="rId32"/>
                    <a:stretch>
                      <a:fillRect/>
                    </a:stretch>
                  </pic:blipFill>
                  <pic:spPr>
                    <a:xfrm>
                      <a:off x="0" y="0"/>
                      <a:ext cx="5669280" cy="2798142"/>
                    </a:xfrm>
                    <a:prstGeom prst="rect"/>
                  </pic:spPr>
                </pic:pic>
              </a:graphicData>
            </a:graphic>
          </wp:inline>
        </w:drawing>
      </w:r>
    </w:p>
    <w:p>
      <w:pPr>
        <w:jc w:val="center"/>
      </w:pPr>
      <w:r>
        <w:rPr>
          <w:i/>
          <w:color w:val="646464"/>
          <w:sz w:val="18"/>
        </w:rPr>
        <w:t>Figure 14 — Step 7: Feature Importance (Random Forest &amp; Gradient Boosting)</w:t>
      </w:r>
    </w:p>
    <w:p>
      <w:pPr>
        <w:pStyle w:val="Heading3"/>
      </w:pPr>
      <w:r>
        <w:t>Step 8 — Hyperparameter Tuning (GridSearchCV)</w:t>
      </w:r>
    </w:p>
    <w:p>
      <w:pPr>
        <w:spacing w:after="120" w:line="276" w:lineRule="auto"/>
      </w:pPr>
      <w:r>
        <w:rPr>
          <w:rFonts w:ascii="Calibri" w:hAnsi="Calibri"/>
          <w:sz w:val="22"/>
        </w:rPr>
        <w:t>GridSearchCV was applied to the Random Forest classifier with a 108-combination parameter grid (3 × 3 × 3 × 2 × 2): n_estimators ∈ {50, 100, 200}, max_depth ∈ {None, 8, 15}, min_samples_split ∈ {2, 5, 10}, min_samples_leaf ∈ {1, 2}, max_features ∈ {'sqrt', 'log2'}. Each evaluated with 5-fold stratified CV, totalling 540 model fits.</w:t>
      </w:r>
    </w:p>
    <w:p>
      <w:pPr>
        <w:spacing w:after="120" w:line="276" w:lineRule="auto"/>
      </w:pPr>
      <w:r>
        <w:rPr>
          <w:rFonts w:ascii="Calibri" w:hAnsi="Calibri"/>
          <w:sz w:val="22"/>
        </w:rPr>
        <w:t>Best Parameters: max_depth = None, max_features = 'sqrt', min_samples_leaf = 1, min_samples_split = 2, n_estimators = 100. The before vs after comparison shows Accuracy 0.9912 → 0.9912, F1 Score 0.9912 → 0.9912, ROC-AUC 0.9992 → 0.9992. The default parameters were already near-optimal for this dataset.</w:t>
      </w:r>
    </w:p>
    <w:p>
      <w:pPr>
        <w:jc w:val="center"/>
      </w:pPr>
      <w:r>
        <w:drawing>
          <wp:inline xmlns:a="http://schemas.openxmlformats.org/drawingml/2006/main" xmlns:pic="http://schemas.openxmlformats.org/drawingml/2006/picture">
            <wp:extent cx="5669280" cy="2781078"/>
            <wp:docPr id="23" name="Picture 23"/>
            <wp:cNvGraphicFramePr>
              <a:graphicFrameLocks noChangeAspect="1"/>
            </wp:cNvGraphicFramePr>
            <a:graphic>
              <a:graphicData uri="http://schemas.openxmlformats.org/drawingml/2006/picture">
                <pic:pic>
                  <pic:nvPicPr>
                    <pic:cNvPr id="0" name="Screenshot 2026-04-19 154504.png"/>
                    <pic:cNvPicPr/>
                  </pic:nvPicPr>
                  <pic:blipFill>
                    <a:blip r:embed="rId33"/>
                    <a:stretch>
                      <a:fillRect/>
                    </a:stretch>
                  </pic:blipFill>
                  <pic:spPr>
                    <a:xfrm>
                      <a:off x="0" y="0"/>
                      <a:ext cx="5669280" cy="2781078"/>
                    </a:xfrm>
                    <a:prstGeom prst="rect"/>
                  </pic:spPr>
                </pic:pic>
              </a:graphicData>
            </a:graphic>
          </wp:inline>
        </w:drawing>
      </w:r>
    </w:p>
    <w:p>
      <w:pPr>
        <w:jc w:val="center"/>
      </w:pPr>
      <w:r>
        <w:rPr>
          <w:i/>
          <w:color w:val="646464"/>
          <w:sz w:val="18"/>
        </w:rPr>
        <w:t>Figure 15 — Step 8: GridSearchCV — Hyperparameter Effect on F1</w:t>
      </w:r>
    </w:p>
    <w:p>
      <w:pPr>
        <w:jc w:val="center"/>
      </w:pPr>
      <w:r>
        <w:drawing>
          <wp:inline xmlns:a="http://schemas.openxmlformats.org/drawingml/2006/main" xmlns:pic="http://schemas.openxmlformats.org/drawingml/2006/picture">
            <wp:extent cx="5669280" cy="3291445"/>
            <wp:docPr id="24" name="Picture 24"/>
            <wp:cNvGraphicFramePr>
              <a:graphicFrameLocks noChangeAspect="1"/>
            </wp:cNvGraphicFramePr>
            <a:graphic>
              <a:graphicData uri="http://schemas.openxmlformats.org/drawingml/2006/picture">
                <pic:pic>
                  <pic:nvPicPr>
                    <pic:cNvPr id="0" name="Screenshot 2026-04-19 154528.png"/>
                    <pic:cNvPicPr/>
                  </pic:nvPicPr>
                  <pic:blipFill>
                    <a:blip r:embed="rId34"/>
                    <a:stretch>
                      <a:fillRect/>
                    </a:stretch>
                  </pic:blipFill>
                  <pic:spPr>
                    <a:xfrm>
                      <a:off x="0" y="0"/>
                      <a:ext cx="5669280" cy="3291445"/>
                    </a:xfrm>
                    <a:prstGeom prst="rect"/>
                  </pic:spPr>
                </pic:pic>
              </a:graphicData>
            </a:graphic>
          </wp:inline>
        </w:drawing>
      </w:r>
    </w:p>
    <w:p>
      <w:pPr>
        <w:jc w:val="center"/>
      </w:pPr>
      <w:r>
        <w:rPr>
          <w:i/>
          <w:color w:val="646464"/>
          <w:sz w:val="18"/>
        </w:rPr>
        <w:t>Figure 16 — Random Forest: Before vs After GridSearchCV</w:t>
      </w:r>
    </w:p>
    <w:p>
      <w:pPr>
        <w:jc w:val="center"/>
      </w:pPr>
      <w:r>
        <w:drawing>
          <wp:inline xmlns:a="http://schemas.openxmlformats.org/drawingml/2006/main" xmlns:pic="http://schemas.openxmlformats.org/drawingml/2006/picture">
            <wp:extent cx="5669280" cy="1878961"/>
            <wp:docPr id="25" name="Picture 25"/>
            <wp:cNvGraphicFramePr>
              <a:graphicFrameLocks noChangeAspect="1"/>
            </wp:cNvGraphicFramePr>
            <a:graphic>
              <a:graphicData uri="http://schemas.openxmlformats.org/drawingml/2006/picture">
                <pic:pic>
                  <pic:nvPicPr>
                    <pic:cNvPr id="0" name="Screenshot 2026-04-19 154534.png"/>
                    <pic:cNvPicPr/>
                  </pic:nvPicPr>
                  <pic:blipFill>
                    <a:blip r:embed="rId35"/>
                    <a:stretch>
                      <a:fillRect/>
                    </a:stretch>
                  </pic:blipFill>
                  <pic:spPr>
                    <a:xfrm>
                      <a:off x="0" y="0"/>
                      <a:ext cx="5669280" cy="1878961"/>
                    </a:xfrm>
                    <a:prstGeom prst="rect"/>
                  </pic:spPr>
                </pic:pic>
              </a:graphicData>
            </a:graphic>
          </wp:inline>
        </w:drawing>
      </w:r>
    </w:p>
    <w:p>
      <w:pPr>
        <w:jc w:val="center"/>
      </w:pPr>
      <w:r>
        <w:rPr>
          <w:i/>
          <w:color w:val="646464"/>
          <w:sz w:val="18"/>
        </w:rPr>
        <w:t>Figure 17 — Final Model Comparison Table</w:t>
      </w:r>
    </w:p>
    <w:p>
      <w:pPr>
        <w:pStyle w:val="Heading2"/>
      </w:pPr>
      <w:r>
        <w:t>5.3 — Software Implementation (PWA)</w:t>
      </w:r>
    </w:p>
    <w:p>
      <w:pPr>
        <w:spacing w:after="120" w:line="276" w:lineRule="auto"/>
      </w:pPr>
      <w:r>
        <w:rPr>
          <w:rFonts w:ascii="Calibri" w:hAnsi="Calibri"/>
          <w:sz w:val="22"/>
        </w:rPr>
        <w:t>The SolarGuard Progressive Web App is built as a single-page application with vanilla HTML5, CSS3, and JavaScript — no framework, to maximise performance. It is deployed to Firebase Hosting at https://solar-guard-5d63b.web.app and is installable as a native-equivalent app on both iOS and Android.</w:t>
      </w:r>
    </w:p>
    <w:tbl>
      <w:tblPr>
        <w:tblW w:type="auto" w:w="0"/>
        <w:jc w:val="center"/>
        <w:tblLook w:firstColumn="1" w:firstRow="1" w:lastColumn="0" w:lastRow="0" w:noHBand="0" w:noVBand="1" w:val="04A0"/>
      </w:tblPr>
      <w:tblGrid>
        <w:gridCol w:w="4680"/>
        <w:gridCol w:w="4680"/>
      </w:tblGrid>
      <w:tr>
        <w:tc>
          <w:tcPr>
            <w:tcW w:type="dxa" w:w="4680"/>
            <w:shd w:fill="1F3864"/>
          </w:tcPr>
          <w:p>
            <w:r>
              <w:rPr>
                <w:b/>
                <w:color w:val="FFFFFF"/>
                <w:sz w:val="18"/>
              </w:rPr>
              <w:t>Page</w:t>
            </w:r>
          </w:p>
        </w:tc>
        <w:tc>
          <w:tcPr>
            <w:tcW w:type="dxa" w:w="4680"/>
            <w:shd w:fill="1F3864"/>
          </w:tcPr>
          <w:p>
            <w:r>
              <w:rPr>
                <w:b/>
                <w:color w:val="FFFFFF"/>
                <w:sz w:val="18"/>
              </w:rPr>
              <w:t>Key Features</w:t>
            </w:r>
          </w:p>
        </w:tc>
      </w:tr>
      <w:tr>
        <w:tc>
          <w:tcPr>
            <w:tcW w:type="dxa" w:w="4680"/>
          </w:tcPr>
          <w:p>
            <w:r>
              <w:rPr>
                <w:rFonts w:ascii="Calibri" w:hAnsi="Calibri"/>
                <w:sz w:val="18"/>
              </w:rPr>
              <w:t>Dashboard</w:t>
            </w:r>
          </w:p>
        </w:tc>
        <w:tc>
          <w:tcPr>
            <w:tcW w:type="dxa" w:w="4680"/>
          </w:tcPr>
          <w:p>
            <w:r>
              <w:rPr>
                <w:rFonts w:ascii="Calibri" w:hAnsi="Calibri"/>
                <w:sz w:val="18"/>
              </w:rPr>
              <w:t>Occupancy hero ring, live sensor cards (PIR, LDR, battery, temp), energy tracking, AI Smart Insight, security peek, SDG cards</w:t>
            </w:r>
          </w:p>
        </w:tc>
      </w:tr>
      <w:tr>
        <w:tc>
          <w:tcPr>
            <w:tcW w:type="dxa" w:w="4680"/>
          </w:tcPr>
          <w:p>
            <w:r>
              <w:rPr>
                <w:rFonts w:ascii="Calibri" w:hAnsi="Calibri"/>
                <w:sz w:val="18"/>
              </w:rPr>
              <w:t>Control</w:t>
            </w:r>
          </w:p>
        </w:tc>
        <w:tc>
          <w:tcPr>
            <w:tcW w:type="dxa" w:w="4680"/>
          </w:tcPr>
          <w:p>
            <w:r>
              <w:rPr>
                <w:rFonts w:ascii="Calibri" w:hAnsi="Calibri"/>
                <w:sz w:val="18"/>
              </w:rPr>
              <w:t>Auto/Manual mode, device toggles (fan, LED, door with lock badge), temperature slider with Dubai weather, ML prediction info</w:t>
            </w:r>
          </w:p>
        </w:tc>
      </w:tr>
      <w:tr>
        <w:tc>
          <w:tcPr>
            <w:tcW w:type="dxa" w:w="4680"/>
          </w:tcPr>
          <w:p>
            <w:r>
              <w:rPr>
                <w:rFonts w:ascii="Calibri" w:hAnsi="Calibri"/>
                <w:sz w:val="18"/>
              </w:rPr>
              <w:t>Analytics</w:t>
            </w:r>
          </w:p>
        </w:tc>
        <w:tc>
          <w:tcPr>
            <w:tcW w:type="dxa" w:w="4680"/>
          </w:tcPr>
          <w:p>
            <w:r>
              <w:rPr>
                <w:rFonts w:ascii="Calibri" w:hAnsi="Calibri"/>
                <w:sz w:val="18"/>
              </w:rPr>
              <w:t>Combined Chart.js line chart, weekly energy savings, OUT-C/IN-C temp comparison, monitoring log, model comparison table</w:t>
            </w:r>
          </w:p>
        </w:tc>
      </w:tr>
      <w:tr>
        <w:tc>
          <w:tcPr>
            <w:tcW w:type="dxa" w:w="4680"/>
          </w:tcPr>
          <w:p>
            <w:r>
              <w:rPr>
                <w:rFonts w:ascii="Calibri" w:hAnsi="Calibri"/>
                <w:sz w:val="18"/>
              </w:rPr>
              <w:t>Security</w:t>
            </w:r>
          </w:p>
        </w:tc>
        <w:tc>
          <w:tcPr>
            <w:tcW w:type="dxa" w:w="4680"/>
          </w:tcPr>
          <w:p>
            <w:r>
              <w:rPr>
                <w:rFonts w:ascii="Calibri" w:hAnsi="Calibri"/>
                <w:sz w:val="18"/>
              </w:rPr>
              <w:t>Camera status, live MJPEG stream, latest detection card, alert history, integration status grid</w:t>
            </w:r>
          </w:p>
        </w:tc>
      </w:tr>
      <w:tr>
        <w:tc>
          <w:tcPr>
            <w:tcW w:type="dxa" w:w="4680"/>
          </w:tcPr>
          <w:p>
            <w:r>
              <w:rPr>
                <w:rFonts w:ascii="Calibri" w:hAnsi="Calibri"/>
                <w:sz w:val="18"/>
              </w:rPr>
              <w:t>Settings</w:t>
            </w:r>
          </w:p>
        </w:tc>
        <w:tc>
          <w:tcPr>
            <w:tcW w:type="dxa" w:w="4680"/>
          </w:tcPr>
          <w:p>
            <w:r>
              <w:rPr>
                <w:rFonts w:ascii="Calibri" w:hAnsi="Calibri"/>
                <w:sz w:val="18"/>
              </w:rPr>
              <w:t>Firebase config, MQTT broker info, ESP32 server URL, Raspberry Pi IP, app credits</w:t>
            </w:r>
          </w:p>
        </w:tc>
      </w:tr>
    </w:tbl>
    <w:p/>
    <w:p>
      <w:pPr>
        <w:spacing w:after="120" w:line="276" w:lineRule="auto"/>
      </w:pPr>
      <w:r>
        <w:rPr>
          <w:rFonts w:ascii="Calibri" w:hAnsi="Calibri"/>
          <w:sz w:val="22"/>
        </w:rPr>
        <w:t>The PWA includes a sophisticated AI Smart Insight engine that maintains a 10-entry rolling history and applies 5 pattern detectors in priority order: temperature above comfort threshold, energy waste (devices on while vacant), optimal room conditions, air quality alert (CO₂ &gt; 800 ppm), and solar charging issues. The computeComfortScore() function calculates a 0–100 composite comfort index from temperature, humidity, CO₂, and device-state penalties.</w:t>
      </w:r>
    </w:p>
    <w:p>
      <w:pPr>
        <w:pStyle w:val="Heading2"/>
      </w:pPr>
      <w:r>
        <w:t>5.4 — Specific Model Training</w:t>
      </w:r>
    </w:p>
    <w:p>
      <w:pPr>
        <w:spacing w:after="120" w:line="276" w:lineRule="auto"/>
      </w:pPr>
      <w:r>
        <w:rPr>
          <w:rFonts w:ascii="Calibri" w:hAnsi="Calibri"/>
          <w:sz w:val="22"/>
        </w:rPr>
        <w:t>SVM: Trained with RBF kernel mapping features to higher-dimensional space for non-linear decision boundary. Achieved 98.23% accuracy. Gradient Boosting: Sequential ensemble of 100 weak learners with boosted corrections. Achieved 98.68% accuracy. Decision Tree: max_depth=8 to prevent overfitting; its top-level splits informed the embedded ESP32 rule set. Achieved 97.79% accuracy. Logistic Regression: Linear classifier with 1000 max iterations, surprisingly achieving 99.12% accuracy — matching Random Forest on this dataset due to the strong linear separability of CO₂ and PIR features.</w:t>
      </w:r>
    </w:p>
    <w:p>
      <w:pPr>
        <w:pStyle w:val="Heading2"/>
      </w:pPr>
      <w:r>
        <w:t>5.5 — Web Development</w:t>
      </w:r>
    </w:p>
    <w:p>
      <w:pPr>
        <w:spacing w:after="120" w:line="276" w:lineRule="auto"/>
      </w:pPr>
      <w:r>
        <w:rPr>
          <w:rFonts w:ascii="Calibri" w:hAnsi="Calibri"/>
          <w:sz w:val="22"/>
        </w:rPr>
        <w:t>The PWA follows the App Shell pattern with a comprehensive CSS custom properties design system using deep navy background (#040d1e), amber accent (#f59e0b), and cyan secondary (#22d3ee). Typography uses Orbitron for display, DM Sans for body, and JetBrains Mono for code. All Chart.js charts update with chart.update('none') for smooth live data rendering.</w:t>
      </w:r>
    </w:p>
    <w:p>
      <w:pPr>
        <w:pStyle w:val="Heading2"/>
      </w:pPr>
      <w:r>
        <w:t>5.6 — Firebase</w:t>
      </w:r>
    </w:p>
    <w:p>
      <w:pPr>
        <w:jc w:val="center"/>
      </w:pPr>
      <w:r>
        <w:drawing>
          <wp:inline xmlns:a="http://schemas.openxmlformats.org/drawingml/2006/main" xmlns:pic="http://schemas.openxmlformats.org/drawingml/2006/picture">
            <wp:extent cx="5669280" cy="7549015"/>
            <wp:docPr id="26" name="Picture 26"/>
            <wp:cNvGraphicFramePr>
              <a:graphicFrameLocks noChangeAspect="1"/>
            </wp:cNvGraphicFramePr>
            <a:graphic>
              <a:graphicData uri="http://schemas.openxmlformats.org/drawingml/2006/picture">
                <pic:pic>
                  <pic:nvPicPr>
                    <pic:cNvPr id="0" name="data_flow.png"/>
                    <pic:cNvPicPr/>
                  </pic:nvPicPr>
                  <pic:blipFill>
                    <a:blip r:embed="rId36"/>
                    <a:stretch>
                      <a:fillRect/>
                    </a:stretch>
                  </pic:blipFill>
                  <pic:spPr>
                    <a:xfrm>
                      <a:off x="0" y="0"/>
                      <a:ext cx="5669280" cy="7549015"/>
                    </a:xfrm>
                    <a:prstGeom prst="rect"/>
                  </pic:spPr>
                </pic:pic>
              </a:graphicData>
            </a:graphic>
          </wp:inline>
        </w:drawing>
      </w:r>
    </w:p>
    <w:p>
      <w:pPr>
        <w:jc w:val="center"/>
      </w:pPr>
      <w:r>
        <w:rPr>
          <w:i/>
          <w:color w:val="646464"/>
          <w:sz w:val="18"/>
        </w:rPr>
        <w:t>Figure — Firebase Data Flow Diagram</w:t>
      </w:r>
    </w:p>
    <w:p>
      <w:pPr>
        <w:spacing w:after="120" w:line="276" w:lineRule="auto"/>
      </w:pPr>
      <w:r>
        <w:rPr>
          <w:rFonts w:ascii="Calibri" w:hAnsi="Calibri"/>
          <w:sz w:val="22"/>
        </w:rPr>
        <w:t>Firebase Realtime Database paths: sensorData/latest (ESP32 PUT every 5s), sensorData/history (ESP32 POST append), predictions/latest (ESP32 PUT), faceRecognition/latest (Pi PUT, rate-limited), detections/fall and detections/animal (Pi POST), alerts (Pi POST, rate-limited), control/fan/led/door/mode/temperature (PWA SET), energyLog/weekly (PWA transaction).</w:t>
      </w:r>
    </w:p>
    <w:p>
      <w:pPr>
        <w:pStyle w:val="Heading2"/>
      </w:pPr>
      <w:r>
        <w:t>5.7 — Communication &amp; Protocols</w:t>
      </w:r>
    </w:p>
    <w:p>
      <w:pPr>
        <w:jc w:val="center"/>
      </w:pPr>
      <w:r>
        <w:drawing>
          <wp:inline xmlns:a="http://schemas.openxmlformats.org/drawingml/2006/main" xmlns:pic="http://schemas.openxmlformats.org/drawingml/2006/picture">
            <wp:extent cx="5669280" cy="5278295"/>
            <wp:docPr id="27" name="Picture 27"/>
            <wp:cNvGraphicFramePr>
              <a:graphicFrameLocks noChangeAspect="1"/>
            </wp:cNvGraphicFramePr>
            <a:graphic>
              <a:graphicData uri="http://schemas.openxmlformats.org/drawingml/2006/picture">
                <pic:pic>
                  <pic:nvPicPr>
                    <pic:cNvPr id="0" name="mqtt_flow.png"/>
                    <pic:cNvPicPr/>
                  </pic:nvPicPr>
                  <pic:blipFill>
                    <a:blip r:embed="rId37"/>
                    <a:stretch>
                      <a:fillRect/>
                    </a:stretch>
                  </pic:blipFill>
                  <pic:spPr>
                    <a:xfrm>
                      <a:off x="0" y="0"/>
                      <a:ext cx="5669280" cy="5278295"/>
                    </a:xfrm>
                    <a:prstGeom prst="rect"/>
                  </pic:spPr>
                </pic:pic>
              </a:graphicData>
            </a:graphic>
          </wp:inline>
        </w:drawing>
      </w:r>
    </w:p>
    <w:p>
      <w:pPr>
        <w:jc w:val="center"/>
      </w:pPr>
      <w:r>
        <w:rPr>
          <w:i/>
          <w:color w:val="646464"/>
          <w:sz w:val="18"/>
        </w:rPr>
        <w:t>Figure — MQTT Publish/Subscribe Communication Model</w:t>
      </w:r>
    </w:p>
    <w:p>
      <w:pPr>
        <w:spacing w:after="120" w:line="276" w:lineRule="auto"/>
      </w:pPr>
      <w:r>
        <w:rPr>
          <w:rFonts w:ascii="Calibri" w:hAnsi="Calibri"/>
          <w:sz w:val="22"/>
        </w:rPr>
        <w:t>HTTP/HTTPS: The ESP32 uses Arduino HTTPClient for HTTPS REST to Firebase. PUT for current-state paths, POST for history append, GET for control commands. All on port 443 with TLS.</w:t>
      </w:r>
    </w:p>
    <w:p>
      <w:pPr>
        <w:spacing w:after="120" w:line="276" w:lineRule="auto"/>
      </w:pPr>
      <w:r>
        <w:rPr>
          <w:rFonts w:ascii="Calibri" w:hAnsi="Calibri"/>
          <w:sz w:val="22"/>
        </w:rPr>
        <w:t>MQTT: Retained as supplementary protocol on HiveMQ public broker (port 1883 for ESP32, 8884 WebSocket for browser). Not used as primary protocol because Firebase natively uses WebSocket/HTTP REST, and the HiveMQ public broker has no SLA.</w:t>
      </w:r>
    </w:p>
    <w:p>
      <w:pPr>
        <w:spacing w:after="120" w:line="276" w:lineRule="auto"/>
      </w:pPr>
      <w:r>
        <w:rPr>
          <w:rFonts w:ascii="Calibri" w:hAnsi="Calibri"/>
          <w:sz w:val="22"/>
        </w:rPr>
        <w:t>GPIO: Digital input for PIR (GPIO 13), analog input for LDR (GPIO 34) and battery ADC (GPIO 35), digital output for relays (GPIO 2/3/5, active-LOW), PWM for servo (GPIO 18) and buzzer (GPIO 15).</w:t>
      </w:r>
    </w:p>
    <w:p>
      <w:pPr>
        <w:spacing w:after="120" w:line="276" w:lineRule="auto"/>
      </w:pPr>
      <w:r>
        <w:rPr>
          <w:rFonts w:ascii="Calibri" w:hAnsi="Calibri"/>
          <w:sz w:val="22"/>
        </w:rPr>
        <w:t>Security: All cloud communication uses HTTPS exclusively. Firebase Hosting enforces HTTPS with automatic 301 redirects. Face images processed entirely on-device; only detection results pushed to cloud.</w:t>
      </w:r>
    </w:p>
    <w:p>
      <w:r>
        <w:br w:type="page"/>
      </w:r>
    </w:p>
    <w:p>
      <w:pPr>
        <w:pStyle w:val="Heading1"/>
      </w:pPr>
      <w:r>
        <w:t>Chapter 6 — Testing and Evaluation</w:t>
      </w:r>
    </w:p>
    <w:p>
      <w:pPr>
        <w:pStyle w:val="Heading2"/>
      </w:pPr>
      <w:r>
        <w:t>6.1 — Testing Approaches</w:t>
      </w:r>
    </w:p>
    <w:p>
      <w:pPr>
        <w:pStyle w:val="Heading3"/>
      </w:pPr>
      <w:r>
        <w:t>Integration Testing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tcPr>
          <w:p>
            <w:r>
              <w:rPr>
                <w:b/>
                <w:color w:val="FFFFFF"/>
                <w:sz w:val="16"/>
              </w:rPr>
              <w:t>Test Scenario</w:t>
            </w:r>
          </w:p>
        </w:tc>
        <w:tc>
          <w:tcPr>
            <w:tcW w:type="dxa" w:w="2340"/>
            <w:shd w:fill="1F3864"/>
          </w:tcPr>
          <w:p>
            <w:r>
              <w:rPr>
                <w:b/>
                <w:color w:val="FFFFFF"/>
                <w:sz w:val="16"/>
              </w:rPr>
              <w:t>Input</w:t>
            </w:r>
          </w:p>
        </w:tc>
        <w:tc>
          <w:tcPr>
            <w:tcW w:type="dxa" w:w="2340"/>
            <w:shd w:fill="1F3864"/>
          </w:tcPr>
          <w:p>
            <w:r>
              <w:rPr>
                <w:b/>
                <w:color w:val="FFFFFF"/>
                <w:sz w:val="16"/>
              </w:rPr>
              <w:t>Expected Outcome</w:t>
            </w:r>
          </w:p>
        </w:tc>
        <w:tc>
          <w:tcPr>
            <w:tcW w:type="dxa" w:w="2340"/>
            <w:shd w:fill="1F3864"/>
          </w:tcPr>
          <w:p>
            <w:r>
              <w:rPr>
                <w:b/>
                <w:color w:val="FFFFFF"/>
                <w:sz w:val="16"/>
              </w:rPr>
              <w:t>Result</w:t>
            </w:r>
          </w:p>
        </w:tc>
      </w:tr>
      <w:tr>
        <w:tc>
          <w:tcPr>
            <w:tcW w:type="dxa" w:w="2340"/>
          </w:tcPr>
          <w:p>
            <w:r>
              <w:rPr>
                <w:rFonts w:ascii="Calibri" w:hAnsi="Calibri"/>
                <w:sz w:val="18"/>
              </w:rPr>
              <w:t>Room occupied</w:t>
            </w:r>
          </w:p>
        </w:tc>
        <w:tc>
          <w:tcPr>
            <w:tcW w:type="dxa" w:w="2340"/>
          </w:tcPr>
          <w:p>
            <w:r>
              <w:rPr>
                <w:rFonts w:ascii="Calibri" w:hAnsi="Calibri"/>
                <w:sz w:val="18"/>
              </w:rPr>
              <w:t>Physical motion</w:t>
            </w:r>
          </w:p>
        </w:tc>
        <w:tc>
          <w:tcPr>
            <w:tcW w:type="dxa" w:w="2340"/>
          </w:tcPr>
          <w:p>
            <w:r>
              <w:rPr>
                <w:rFonts w:ascii="Calibri" w:hAnsi="Calibri"/>
                <w:sz w:val="18"/>
              </w:rPr>
              <w:t>occupied=1, fan ON, Firebase updated</w:t>
            </w:r>
          </w:p>
        </w:tc>
        <w:tc>
          <w:tcPr>
            <w:tcW w:type="dxa" w:w="2340"/>
          </w:tcPr>
          <w:p>
            <w:r>
              <w:rPr>
                <w:rFonts w:ascii="Calibri" w:hAnsi="Calibri"/>
                <w:sz w:val="18"/>
              </w:rPr>
              <w:t>PASS</w:t>
            </w:r>
          </w:p>
        </w:tc>
      </w:tr>
      <w:tr>
        <w:tc>
          <w:tcPr>
            <w:tcW w:type="dxa" w:w="2340"/>
          </w:tcPr>
          <w:p>
            <w:r>
              <w:rPr>
                <w:rFonts w:ascii="Calibri" w:hAnsi="Calibri"/>
                <w:sz w:val="18"/>
              </w:rPr>
              <w:t>Room vacant</w:t>
            </w:r>
          </w:p>
        </w:tc>
        <w:tc>
          <w:tcPr>
            <w:tcW w:type="dxa" w:w="2340"/>
          </w:tcPr>
          <w:p>
            <w:r>
              <w:rPr>
                <w:rFonts w:ascii="Calibri" w:hAnsi="Calibri"/>
                <w:sz w:val="18"/>
              </w:rPr>
              <w:t>No motion for 5s</w:t>
            </w:r>
          </w:p>
        </w:tc>
        <w:tc>
          <w:tcPr>
            <w:tcW w:type="dxa" w:w="2340"/>
          </w:tcPr>
          <w:p>
            <w:r>
              <w:rPr>
                <w:rFonts w:ascii="Calibri" w:hAnsi="Calibri"/>
                <w:sz w:val="18"/>
              </w:rPr>
              <w:t>occupied=0, fan OFF</w:t>
            </w:r>
          </w:p>
        </w:tc>
        <w:tc>
          <w:tcPr>
            <w:tcW w:type="dxa" w:w="2340"/>
          </w:tcPr>
          <w:p>
            <w:r>
              <w:rPr>
                <w:rFonts w:ascii="Calibri" w:hAnsi="Calibri"/>
                <w:sz w:val="18"/>
              </w:rPr>
              <w:t>PASS</w:t>
            </w:r>
          </w:p>
        </w:tc>
      </w:tr>
      <w:tr>
        <w:tc>
          <w:tcPr>
            <w:tcW w:type="dxa" w:w="2340"/>
          </w:tcPr>
          <w:p>
            <w:r>
              <w:rPr>
                <w:rFonts w:ascii="Calibri" w:hAnsi="Calibri"/>
                <w:sz w:val="18"/>
              </w:rPr>
              <w:t>Unknown face</w:t>
            </w:r>
          </w:p>
        </w:tc>
        <w:tc>
          <w:tcPr>
            <w:tcW w:type="dxa" w:w="2340"/>
          </w:tcPr>
          <w:p>
            <w:r>
              <w:rPr>
                <w:rFonts w:ascii="Calibri" w:hAnsi="Calibri"/>
                <w:sz w:val="18"/>
              </w:rPr>
              <w:t>Pi confidence ≥ 80</w:t>
            </w:r>
          </w:p>
        </w:tc>
        <w:tc>
          <w:tcPr>
            <w:tcW w:type="dxa" w:w="2340"/>
          </w:tcPr>
          <w:p>
            <w:r>
              <w:rPr>
                <w:rFonts w:ascii="Calibri" w:hAnsi="Calibri"/>
                <w:sz w:val="18"/>
              </w:rPr>
              <w:t>Alert, door locked, PWA banner</w:t>
            </w:r>
          </w:p>
        </w:tc>
        <w:tc>
          <w:tcPr>
            <w:tcW w:type="dxa" w:w="2340"/>
          </w:tcPr>
          <w:p>
            <w:r>
              <w:rPr>
                <w:rFonts w:ascii="Calibri" w:hAnsi="Calibri"/>
                <w:sz w:val="18"/>
              </w:rPr>
              <w:t>PASS</w:t>
            </w:r>
          </w:p>
        </w:tc>
      </w:tr>
      <w:tr>
        <w:tc>
          <w:tcPr>
            <w:tcW w:type="dxa" w:w="2340"/>
          </w:tcPr>
          <w:p>
            <w:r>
              <w:rPr>
                <w:rFonts w:ascii="Calibri" w:hAnsi="Calibri"/>
                <w:sz w:val="18"/>
              </w:rPr>
              <w:t>Known face</w:t>
            </w:r>
          </w:p>
        </w:tc>
        <w:tc>
          <w:tcPr>
            <w:tcW w:type="dxa" w:w="2340"/>
          </w:tcPr>
          <w:p>
            <w:r>
              <w:rPr>
                <w:rFonts w:ascii="Calibri" w:hAnsi="Calibri"/>
                <w:sz w:val="18"/>
              </w:rPr>
              <w:t>Pi confidence &lt; 80</w:t>
            </w:r>
          </w:p>
        </w:tc>
        <w:tc>
          <w:tcPr>
            <w:tcW w:type="dxa" w:w="2340"/>
          </w:tcPr>
          <w:p>
            <w:r>
              <w:rPr>
                <w:rFonts w:ascii="Calibri" w:hAnsi="Calibri"/>
                <w:sz w:val="18"/>
              </w:rPr>
              <w:t>No alert, normal operation</w:t>
            </w:r>
          </w:p>
        </w:tc>
        <w:tc>
          <w:tcPr>
            <w:tcW w:type="dxa" w:w="2340"/>
          </w:tcPr>
          <w:p>
            <w:r>
              <w:rPr>
                <w:rFonts w:ascii="Calibri" w:hAnsi="Calibri"/>
                <w:sz w:val="18"/>
              </w:rPr>
              <w:t>PASS</w:t>
            </w:r>
          </w:p>
        </w:tc>
      </w:tr>
      <w:tr>
        <w:tc>
          <w:tcPr>
            <w:tcW w:type="dxa" w:w="2340"/>
          </w:tcPr>
          <w:p>
            <w:r>
              <w:rPr>
                <w:rFonts w:ascii="Calibri" w:hAnsi="Calibri"/>
                <w:sz w:val="18"/>
              </w:rPr>
              <w:t>Fall detected</w:t>
            </w:r>
          </w:p>
        </w:tc>
        <w:tc>
          <w:tcPr>
            <w:tcW w:type="dxa" w:w="2340"/>
          </w:tcPr>
          <w:p>
            <w:r>
              <w:rPr>
                <w:rFonts w:ascii="Calibri" w:hAnsi="Calibri"/>
                <w:sz w:val="18"/>
              </w:rPr>
              <w:t>Horizontal aspect ratio</w:t>
            </w:r>
          </w:p>
        </w:tc>
        <w:tc>
          <w:tcPr>
            <w:tcW w:type="dxa" w:w="2340"/>
          </w:tcPr>
          <w:p>
            <w:r>
              <w:rPr>
                <w:rFonts w:ascii="Calibri" w:hAnsi="Calibri"/>
                <w:sz w:val="18"/>
              </w:rPr>
              <w:t>Firebase fall event, PWA alert</w:t>
            </w:r>
          </w:p>
        </w:tc>
        <w:tc>
          <w:tcPr>
            <w:tcW w:type="dxa" w:w="2340"/>
          </w:tcPr>
          <w:p>
            <w:r>
              <w:rPr>
                <w:rFonts w:ascii="Calibri" w:hAnsi="Calibri"/>
                <w:sz w:val="18"/>
              </w:rPr>
              <w:t>PASS</w:t>
            </w:r>
          </w:p>
        </w:tc>
      </w:tr>
      <w:tr>
        <w:tc>
          <w:tcPr>
            <w:tcW w:type="dxa" w:w="2340"/>
          </w:tcPr>
          <w:p>
            <w:r>
              <w:rPr>
                <w:rFonts w:ascii="Calibri" w:hAnsi="Calibri"/>
                <w:sz w:val="18"/>
              </w:rPr>
              <w:t>Door unlock via PWA</w:t>
            </w:r>
          </w:p>
        </w:tc>
        <w:tc>
          <w:tcPr>
            <w:tcW w:type="dxa" w:w="2340"/>
          </w:tcPr>
          <w:p>
            <w:r>
              <w:rPr>
                <w:rFonts w:ascii="Calibri" w:hAnsi="Calibri"/>
                <w:sz w:val="18"/>
              </w:rPr>
              <w:t>Toggle in PWA</w:t>
            </w:r>
          </w:p>
        </w:tc>
        <w:tc>
          <w:tcPr>
            <w:tcW w:type="dxa" w:w="2340"/>
          </w:tcPr>
          <w:p>
            <w:r>
              <w:rPr>
                <w:rFonts w:ascii="Calibri" w:hAnsi="Calibri"/>
                <w:sz w:val="18"/>
              </w:rPr>
              <w:t>ESP32 reads within 8s, relay opens</w:t>
            </w:r>
          </w:p>
        </w:tc>
        <w:tc>
          <w:tcPr>
            <w:tcW w:type="dxa" w:w="2340"/>
          </w:tcPr>
          <w:p>
            <w:r>
              <w:rPr>
                <w:rFonts w:ascii="Calibri" w:hAnsi="Calibri"/>
                <w:sz w:val="18"/>
              </w:rPr>
              <w:t>PASS</w:t>
            </w:r>
          </w:p>
        </w:tc>
      </w:tr>
      <w:tr>
        <w:tc>
          <w:tcPr>
            <w:tcW w:type="dxa" w:w="2340"/>
          </w:tcPr>
          <w:p>
            <w:r>
              <w:rPr>
                <w:rFonts w:ascii="Calibri" w:hAnsi="Calibri"/>
                <w:sz w:val="18"/>
              </w:rPr>
              <w:t>WiFi down</w:t>
            </w:r>
          </w:p>
        </w:tc>
        <w:tc>
          <w:tcPr>
            <w:tcW w:type="dxa" w:w="2340"/>
          </w:tcPr>
          <w:p>
            <w:r>
              <w:rPr>
                <w:rFonts w:ascii="Calibri" w:hAnsi="Calibri"/>
                <w:sz w:val="18"/>
              </w:rPr>
              <w:t>WiFi disconnected</w:t>
            </w:r>
          </w:p>
        </w:tc>
        <w:tc>
          <w:tcPr>
            <w:tcW w:type="dxa" w:w="2340"/>
          </w:tcPr>
          <w:p>
            <w:r>
              <w:rPr>
                <w:rFonts w:ascii="Calibri" w:hAnsi="Calibri"/>
                <w:sz w:val="18"/>
              </w:rPr>
              <w:t>Local control continues, reconnects</w:t>
            </w:r>
          </w:p>
        </w:tc>
        <w:tc>
          <w:tcPr>
            <w:tcW w:type="dxa" w:w="2340"/>
          </w:tcPr>
          <w:p>
            <w:r>
              <w:rPr>
                <w:rFonts w:ascii="Calibri" w:hAnsi="Calibri"/>
                <w:sz w:val="18"/>
              </w:rPr>
              <w:t>PASS</w:t>
            </w:r>
          </w:p>
        </w:tc>
      </w:tr>
      <w:tr>
        <w:tc>
          <w:tcPr>
            <w:tcW w:type="dxa" w:w="2340"/>
          </w:tcPr>
          <w:p>
            <w:r>
              <w:rPr>
                <w:rFonts w:ascii="Calibri" w:hAnsi="Calibri"/>
                <w:sz w:val="18"/>
              </w:rPr>
              <w:t>MQTT disconnect</w:t>
            </w:r>
          </w:p>
        </w:tc>
        <w:tc>
          <w:tcPr>
            <w:tcW w:type="dxa" w:w="2340"/>
          </w:tcPr>
          <w:p>
            <w:r>
              <w:rPr>
                <w:rFonts w:ascii="Calibri" w:hAnsi="Calibri"/>
                <w:sz w:val="18"/>
              </w:rPr>
              <w:t>Broker reset</w:t>
            </w:r>
          </w:p>
        </w:tc>
        <w:tc>
          <w:tcPr>
            <w:tcW w:type="dxa" w:w="2340"/>
          </w:tcPr>
          <w:p>
            <w:r>
              <w:rPr>
                <w:rFonts w:ascii="Calibri" w:hAnsi="Calibri"/>
                <w:sz w:val="18"/>
              </w:rPr>
              <w:t>Auto-reconnects, resumes publishing</w:t>
            </w:r>
          </w:p>
        </w:tc>
        <w:tc>
          <w:tcPr>
            <w:tcW w:type="dxa" w:w="2340"/>
          </w:tcPr>
          <w:p>
            <w:r>
              <w:rPr>
                <w:rFonts w:ascii="Calibri" w:hAnsi="Calibri"/>
                <w:sz w:val="18"/>
              </w:rPr>
              <w:t>PASS</w:t>
            </w:r>
          </w:p>
        </w:tc>
      </w:tr>
      <w:tr>
        <w:tc>
          <w:tcPr>
            <w:tcW w:type="dxa" w:w="2340"/>
          </w:tcPr>
          <w:p>
            <w:r>
              <w:rPr>
                <w:rFonts w:ascii="Calibri" w:hAnsi="Calibri"/>
                <w:sz w:val="18"/>
              </w:rPr>
              <w:t>PWA offline</w:t>
            </w:r>
          </w:p>
        </w:tc>
        <w:tc>
          <w:tcPr>
            <w:tcW w:type="dxa" w:w="2340"/>
          </w:tcPr>
          <w:p>
            <w:r>
              <w:rPr>
                <w:rFonts w:ascii="Calibri" w:hAnsi="Calibri"/>
                <w:sz w:val="18"/>
              </w:rPr>
              <w:t>No internet</w:t>
            </w:r>
          </w:p>
        </w:tc>
        <w:tc>
          <w:tcPr>
            <w:tcW w:type="dxa" w:w="2340"/>
          </w:tcPr>
          <w:p>
            <w:r>
              <w:rPr>
                <w:rFonts w:ascii="Calibri" w:hAnsi="Calibri"/>
                <w:sz w:val="18"/>
              </w:rPr>
              <w:t>Dashboard loads from cache</w:t>
            </w:r>
          </w:p>
        </w:tc>
        <w:tc>
          <w:tcPr>
            <w:tcW w:type="dxa" w:w="2340"/>
          </w:tcPr>
          <w:p>
            <w:r>
              <w:rPr>
                <w:rFonts w:ascii="Calibri" w:hAnsi="Calibri"/>
                <w:sz w:val="18"/>
              </w:rPr>
              <w:t>PASS</w:t>
            </w:r>
          </w:p>
        </w:tc>
      </w:tr>
    </w:tbl>
    <w:p/>
    <w:p>
      <w:pPr>
        <w:pStyle w:val="Heading3"/>
      </w:pPr>
      <w:r>
        <w:t>Performance Testing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tcPr>
          <w:p>
            <w:r>
              <w:rPr>
                <w:b/>
                <w:color w:val="FFFFFF"/>
                <w:sz w:val="18"/>
              </w:rPr>
              <w:t>Metric</w:t>
            </w:r>
          </w:p>
        </w:tc>
        <w:tc>
          <w:tcPr>
            <w:tcW w:type="dxa" w:w="2340"/>
            <w:shd w:fill="1F3864"/>
          </w:tcPr>
          <w:p>
            <w:r>
              <w:rPr>
                <w:b/>
                <w:color w:val="FFFFFF"/>
                <w:sz w:val="18"/>
              </w:rPr>
              <w:t>Target</w:t>
            </w:r>
          </w:p>
        </w:tc>
        <w:tc>
          <w:tcPr>
            <w:tcW w:type="dxa" w:w="2340"/>
            <w:shd w:fill="1F3864"/>
          </w:tcPr>
          <w:p>
            <w:r>
              <w:rPr>
                <w:b/>
                <w:color w:val="FFFFFF"/>
                <w:sz w:val="18"/>
              </w:rPr>
              <w:t>Measured</w:t>
            </w:r>
          </w:p>
        </w:tc>
        <w:tc>
          <w:tcPr>
            <w:tcW w:type="dxa" w:w="2340"/>
            <w:shd w:fill="1F3864"/>
          </w:tcPr>
          <w:p>
            <w:r>
              <w:rPr>
                <w:b/>
                <w:color w:val="FFFFFF"/>
                <w:sz w:val="18"/>
              </w:rPr>
              <w:t>Result</w:t>
            </w:r>
          </w:p>
        </w:tc>
      </w:tr>
      <w:tr>
        <w:tc>
          <w:tcPr>
            <w:tcW w:type="dxa" w:w="2340"/>
          </w:tcPr>
          <w:p>
            <w:r>
              <w:rPr>
                <w:rFonts w:ascii="Calibri" w:hAnsi="Calibri"/>
                <w:sz w:val="18"/>
              </w:rPr>
              <w:t>ESP32 → Firebase write latency</w:t>
            </w:r>
          </w:p>
        </w:tc>
        <w:tc>
          <w:tcPr>
            <w:tcW w:type="dxa" w:w="2340"/>
          </w:tcPr>
          <w:p>
            <w:r>
              <w:rPr>
                <w:rFonts w:ascii="Calibri" w:hAnsi="Calibri"/>
                <w:sz w:val="18"/>
              </w:rPr>
              <w:t>&lt; 2,000ms</w:t>
            </w:r>
          </w:p>
        </w:tc>
        <w:tc>
          <w:tcPr>
            <w:tcW w:type="dxa" w:w="2340"/>
          </w:tcPr>
          <w:p>
            <w:r>
              <w:rPr>
                <w:rFonts w:ascii="Calibri" w:hAnsi="Calibri"/>
                <w:sz w:val="18"/>
              </w:rPr>
              <w:t>380-820ms</w:t>
            </w:r>
          </w:p>
        </w:tc>
        <w:tc>
          <w:tcPr>
            <w:tcW w:type="dxa" w:w="2340"/>
          </w:tcPr>
          <w:p>
            <w:r>
              <w:rPr>
                <w:rFonts w:ascii="Calibri" w:hAnsi="Calibri"/>
                <w:sz w:val="18"/>
              </w:rPr>
              <w:t>PASS</w:t>
            </w:r>
          </w:p>
        </w:tc>
      </w:tr>
      <w:tr>
        <w:tc>
          <w:tcPr>
            <w:tcW w:type="dxa" w:w="2340"/>
          </w:tcPr>
          <w:p>
            <w:r>
              <w:rPr>
                <w:rFonts w:ascii="Calibri" w:hAnsi="Calibri"/>
                <w:sz w:val="18"/>
              </w:rPr>
              <w:t>MQTT publish latency</w:t>
            </w:r>
          </w:p>
        </w:tc>
        <w:tc>
          <w:tcPr>
            <w:tcW w:type="dxa" w:w="2340"/>
          </w:tcPr>
          <w:p>
            <w:r>
              <w:rPr>
                <w:rFonts w:ascii="Calibri" w:hAnsi="Calibri"/>
                <w:sz w:val="18"/>
              </w:rPr>
              <w:t>&lt; 500ms</w:t>
            </w:r>
          </w:p>
        </w:tc>
        <w:tc>
          <w:tcPr>
            <w:tcW w:type="dxa" w:w="2340"/>
          </w:tcPr>
          <w:p>
            <w:r>
              <w:rPr>
                <w:rFonts w:ascii="Calibri" w:hAnsi="Calibri"/>
                <w:sz w:val="18"/>
              </w:rPr>
              <w:t>&lt; 250ms</w:t>
            </w:r>
          </w:p>
        </w:tc>
        <w:tc>
          <w:tcPr>
            <w:tcW w:type="dxa" w:w="2340"/>
          </w:tcPr>
          <w:p>
            <w:r>
              <w:rPr>
                <w:rFonts w:ascii="Calibri" w:hAnsi="Calibri"/>
                <w:sz w:val="18"/>
              </w:rPr>
              <w:t>PASS</w:t>
            </w:r>
          </w:p>
        </w:tc>
      </w:tr>
      <w:tr>
        <w:tc>
          <w:tcPr>
            <w:tcW w:type="dxa" w:w="2340"/>
          </w:tcPr>
          <w:p>
            <w:r>
              <w:rPr>
                <w:rFonts w:ascii="Calibri" w:hAnsi="Calibri"/>
                <w:sz w:val="18"/>
              </w:rPr>
              <w:t>Firebase → PWA push latency</w:t>
            </w:r>
          </w:p>
        </w:tc>
        <w:tc>
          <w:tcPr>
            <w:tcW w:type="dxa" w:w="2340"/>
          </w:tcPr>
          <w:p>
            <w:r>
              <w:rPr>
                <w:rFonts w:ascii="Calibri" w:hAnsi="Calibri"/>
                <w:sz w:val="18"/>
              </w:rPr>
              <w:t>&lt; 1,000ms</w:t>
            </w:r>
          </w:p>
        </w:tc>
        <w:tc>
          <w:tcPr>
            <w:tcW w:type="dxa" w:w="2340"/>
          </w:tcPr>
          <w:p>
            <w:r>
              <w:rPr>
                <w:rFonts w:ascii="Calibri" w:hAnsi="Calibri"/>
                <w:sz w:val="18"/>
              </w:rPr>
              <w:t>200-600ms</w:t>
            </w:r>
          </w:p>
        </w:tc>
        <w:tc>
          <w:tcPr>
            <w:tcW w:type="dxa" w:w="2340"/>
          </w:tcPr>
          <w:p>
            <w:r>
              <w:rPr>
                <w:rFonts w:ascii="Calibri" w:hAnsi="Calibri"/>
                <w:sz w:val="18"/>
              </w:rPr>
              <w:t>PASS</w:t>
            </w:r>
          </w:p>
        </w:tc>
      </w:tr>
      <w:tr>
        <w:tc>
          <w:tcPr>
            <w:tcW w:type="dxa" w:w="2340"/>
          </w:tcPr>
          <w:p>
            <w:r>
              <w:rPr>
                <w:rFonts w:ascii="Calibri" w:hAnsi="Calibri"/>
                <w:sz w:val="18"/>
              </w:rPr>
              <w:t>Sensor-to-control cycle</w:t>
            </w:r>
          </w:p>
        </w:tc>
        <w:tc>
          <w:tcPr>
            <w:tcW w:type="dxa" w:w="2340"/>
          </w:tcPr>
          <w:p>
            <w:r>
              <w:rPr>
                <w:rFonts w:ascii="Calibri" w:hAnsi="Calibri"/>
                <w:sz w:val="18"/>
              </w:rPr>
              <w:t>&lt; 10s</w:t>
            </w:r>
          </w:p>
        </w:tc>
        <w:tc>
          <w:tcPr>
            <w:tcW w:type="dxa" w:w="2340"/>
          </w:tcPr>
          <w:p>
            <w:r>
              <w:rPr>
                <w:rFonts w:ascii="Calibri" w:hAnsi="Calibri"/>
                <w:sz w:val="18"/>
              </w:rPr>
              <w:t>~5s</w:t>
            </w:r>
          </w:p>
        </w:tc>
        <w:tc>
          <w:tcPr>
            <w:tcW w:type="dxa" w:w="2340"/>
          </w:tcPr>
          <w:p>
            <w:r>
              <w:rPr>
                <w:rFonts w:ascii="Calibri" w:hAnsi="Calibri"/>
                <w:sz w:val="18"/>
              </w:rPr>
              <w:t>PASS</w:t>
            </w:r>
          </w:p>
        </w:tc>
      </w:tr>
      <w:tr>
        <w:tc>
          <w:tcPr>
            <w:tcW w:type="dxa" w:w="2340"/>
          </w:tcPr>
          <w:p>
            <w:r>
              <w:rPr>
                <w:rFonts w:ascii="Calibri" w:hAnsi="Calibri"/>
                <w:sz w:val="18"/>
              </w:rPr>
              <w:t>Camera stream frame rate</w:t>
            </w:r>
          </w:p>
        </w:tc>
        <w:tc>
          <w:tcPr>
            <w:tcW w:type="dxa" w:w="2340"/>
          </w:tcPr>
          <w:p>
            <w:r>
              <w:rPr>
                <w:rFonts w:ascii="Calibri" w:hAnsi="Calibri"/>
                <w:sz w:val="18"/>
              </w:rPr>
              <w:t>15-20 FPS</w:t>
            </w:r>
          </w:p>
        </w:tc>
        <w:tc>
          <w:tcPr>
            <w:tcW w:type="dxa" w:w="2340"/>
          </w:tcPr>
          <w:p>
            <w:r>
              <w:rPr>
                <w:rFonts w:ascii="Calibri" w:hAnsi="Calibri"/>
                <w:sz w:val="18"/>
              </w:rPr>
              <w:t>18-20 FPS</w:t>
            </w:r>
          </w:p>
        </w:tc>
        <w:tc>
          <w:tcPr>
            <w:tcW w:type="dxa" w:w="2340"/>
          </w:tcPr>
          <w:p>
            <w:r>
              <w:rPr>
                <w:rFonts w:ascii="Calibri" w:hAnsi="Calibri"/>
                <w:sz w:val="18"/>
              </w:rPr>
              <w:t>PASS</w:t>
            </w:r>
          </w:p>
        </w:tc>
      </w:tr>
      <w:tr>
        <w:tc>
          <w:tcPr>
            <w:tcW w:type="dxa" w:w="2340"/>
          </w:tcPr>
          <w:p>
            <w:r>
              <w:rPr>
                <w:rFonts w:ascii="Calibri" w:hAnsi="Calibri"/>
                <w:sz w:val="18"/>
              </w:rPr>
              <w:t>ML inference time (Python)</w:t>
            </w:r>
          </w:p>
        </w:tc>
        <w:tc>
          <w:tcPr>
            <w:tcW w:type="dxa" w:w="2340"/>
          </w:tcPr>
          <w:p>
            <w:r>
              <w:rPr>
                <w:rFonts w:ascii="Calibri" w:hAnsi="Calibri"/>
                <w:sz w:val="18"/>
              </w:rPr>
              <w:t>&lt; 100ms</w:t>
            </w:r>
          </w:p>
        </w:tc>
        <w:tc>
          <w:tcPr>
            <w:tcW w:type="dxa" w:w="2340"/>
          </w:tcPr>
          <w:p>
            <w:r>
              <w:rPr>
                <w:rFonts w:ascii="Calibri" w:hAnsi="Calibri"/>
                <w:sz w:val="18"/>
              </w:rPr>
              <w:t>&lt; 10ms</w:t>
            </w:r>
          </w:p>
        </w:tc>
        <w:tc>
          <w:tcPr>
            <w:tcW w:type="dxa" w:w="2340"/>
          </w:tcPr>
          <w:p>
            <w:r>
              <w:rPr>
                <w:rFonts w:ascii="Calibri" w:hAnsi="Calibri"/>
                <w:sz w:val="18"/>
              </w:rPr>
              <w:t>PASS</w:t>
            </w:r>
          </w:p>
        </w:tc>
      </w:tr>
      <w:tr>
        <w:tc>
          <w:tcPr>
            <w:tcW w:type="dxa" w:w="2340"/>
          </w:tcPr>
          <w:p>
            <w:r>
              <w:rPr>
                <w:rFonts w:ascii="Calibri" w:hAnsi="Calibri"/>
                <w:sz w:val="18"/>
              </w:rPr>
              <w:t>PWA initial load time (CDN)</w:t>
            </w:r>
          </w:p>
        </w:tc>
        <w:tc>
          <w:tcPr>
            <w:tcW w:type="dxa" w:w="2340"/>
          </w:tcPr>
          <w:p>
            <w:r>
              <w:rPr>
                <w:rFonts w:ascii="Calibri" w:hAnsi="Calibri"/>
                <w:sz w:val="18"/>
              </w:rPr>
              <w:t>&lt; 3s</w:t>
            </w:r>
          </w:p>
        </w:tc>
        <w:tc>
          <w:tcPr>
            <w:tcW w:type="dxa" w:w="2340"/>
          </w:tcPr>
          <w:p>
            <w:r>
              <w:rPr>
                <w:rFonts w:ascii="Calibri" w:hAnsi="Calibri"/>
                <w:sz w:val="18"/>
              </w:rPr>
              <w:t>~1.2s</w:t>
            </w:r>
          </w:p>
        </w:tc>
        <w:tc>
          <w:tcPr>
            <w:tcW w:type="dxa" w:w="2340"/>
          </w:tcPr>
          <w:p>
            <w:r>
              <w:rPr>
                <w:rFonts w:ascii="Calibri" w:hAnsi="Calibri"/>
                <w:sz w:val="18"/>
              </w:rPr>
              <w:t>PASS</w:t>
            </w:r>
          </w:p>
        </w:tc>
      </w:tr>
    </w:tbl>
    <w:p/>
    <w:p>
      <w:pPr>
        <w:pStyle w:val="Heading3"/>
      </w:pPr>
      <w:r>
        <w:t>ML Model Validation</w:t>
      </w:r>
    </w:p>
    <w:tbl>
      <w:tblPr>
        <w:tblW w:type="auto" w:w="0"/>
        <w:jc w:val="center"/>
        <w:tblLook w:firstColumn="1" w:firstRow="1" w:lastColumn="0" w:lastRow="0" w:noHBand="0" w:noVBand="1" w:val="04A0"/>
      </w:tblPr>
      <w:tblGrid>
        <w:gridCol w:w="3120"/>
        <w:gridCol w:w="3120"/>
        <w:gridCol w:w="3120"/>
      </w:tblGrid>
      <w:tr>
        <w:tc>
          <w:tcPr>
            <w:tcW w:type="dxa" w:w="3120"/>
            <w:shd w:fill="1F3864"/>
          </w:tcPr>
          <w:p>
            <w:r>
              <w:rPr>
                <w:b/>
                <w:color w:val="FFFFFF"/>
                <w:sz w:val="18"/>
              </w:rPr>
              <w:t>Test</w:t>
            </w:r>
          </w:p>
        </w:tc>
        <w:tc>
          <w:tcPr>
            <w:tcW w:type="dxa" w:w="3120"/>
            <w:shd w:fill="1F3864"/>
          </w:tcPr>
          <w:p>
            <w:r>
              <w:rPr>
                <w:b/>
                <w:color w:val="FFFFFF"/>
                <w:sz w:val="18"/>
              </w:rPr>
              <w:t>Result</w:t>
            </w:r>
          </w:p>
        </w:tc>
        <w:tc>
          <w:tcPr>
            <w:tcW w:type="dxa" w:w="3120"/>
            <w:shd w:fill="1F3864"/>
          </w:tcPr>
          <w:p>
            <w:r>
              <w:rPr>
                <w:b/>
                <w:color w:val="FFFFFF"/>
                <w:sz w:val="18"/>
              </w:rPr>
              <w:t>Status</w:t>
            </w:r>
          </w:p>
        </w:tc>
      </w:tr>
      <w:tr>
        <w:tc>
          <w:tcPr>
            <w:tcW w:type="dxa" w:w="3120"/>
          </w:tcPr>
          <w:p>
            <w:r>
              <w:rPr>
                <w:rFonts w:ascii="Calibri" w:hAnsi="Calibri"/>
                <w:sz w:val="18"/>
              </w:rPr>
              <w:t>Hold-out accuracy (453 rows)</w:t>
            </w:r>
          </w:p>
        </w:tc>
        <w:tc>
          <w:tcPr>
            <w:tcW w:type="dxa" w:w="3120"/>
          </w:tcPr>
          <w:p>
            <w:r>
              <w:rPr>
                <w:rFonts w:ascii="Calibri" w:hAnsi="Calibri"/>
                <w:sz w:val="18"/>
              </w:rPr>
              <w:t>99.12%</w:t>
            </w:r>
          </w:p>
        </w:tc>
        <w:tc>
          <w:tcPr>
            <w:tcW w:type="dxa" w:w="3120"/>
          </w:tcPr>
          <w:p>
            <w:r>
              <w:rPr>
                <w:rFonts w:ascii="Calibri" w:hAnsi="Calibri"/>
                <w:sz w:val="18"/>
              </w:rPr>
              <w:t>EXCEEDS target (≥90%)</w:t>
            </w:r>
          </w:p>
        </w:tc>
      </w:tr>
      <w:tr>
        <w:tc>
          <w:tcPr>
            <w:tcW w:type="dxa" w:w="3120"/>
          </w:tcPr>
          <w:p>
            <w:r>
              <w:rPr>
                <w:rFonts w:ascii="Calibri" w:hAnsi="Calibri"/>
                <w:sz w:val="18"/>
              </w:rPr>
              <w:t>5-fold CV accuracy</w:t>
            </w:r>
          </w:p>
        </w:tc>
        <w:tc>
          <w:tcPr>
            <w:tcW w:type="dxa" w:w="3120"/>
          </w:tcPr>
          <w:p>
            <w:r>
              <w:rPr>
                <w:rFonts w:ascii="Calibri" w:hAnsi="Calibri"/>
                <w:sz w:val="18"/>
              </w:rPr>
              <w:t>99.34% ± 0.3%</w:t>
            </w:r>
          </w:p>
        </w:tc>
        <w:tc>
          <w:tcPr>
            <w:tcW w:type="dxa" w:w="3120"/>
          </w:tcPr>
          <w:p>
            <w:r>
              <w:rPr>
                <w:rFonts w:ascii="Calibri" w:hAnsi="Calibri"/>
                <w:sz w:val="18"/>
              </w:rPr>
              <w:t>EXCEEDS target</w:t>
            </w:r>
          </w:p>
        </w:tc>
      </w:tr>
      <w:tr>
        <w:tc>
          <w:tcPr>
            <w:tcW w:type="dxa" w:w="3120"/>
          </w:tcPr>
          <w:p>
            <w:r>
              <w:rPr>
                <w:rFonts w:ascii="Calibri" w:hAnsi="Calibri"/>
                <w:sz w:val="18"/>
              </w:rPr>
              <w:t>ROC-AUC</w:t>
            </w:r>
          </w:p>
        </w:tc>
        <w:tc>
          <w:tcPr>
            <w:tcW w:type="dxa" w:w="3120"/>
          </w:tcPr>
          <w:p>
            <w:r>
              <w:rPr>
                <w:rFonts w:ascii="Calibri" w:hAnsi="Calibri"/>
                <w:sz w:val="18"/>
              </w:rPr>
              <w:t>0.9992</w:t>
            </w:r>
          </w:p>
        </w:tc>
        <w:tc>
          <w:tcPr>
            <w:tcW w:type="dxa" w:w="3120"/>
          </w:tcPr>
          <w:p>
            <w:r>
              <w:rPr>
                <w:rFonts w:ascii="Calibri" w:hAnsi="Calibri"/>
                <w:sz w:val="18"/>
              </w:rPr>
              <w:t>Near-perfect discrimination</w:t>
            </w:r>
          </w:p>
        </w:tc>
      </w:tr>
      <w:tr>
        <w:tc>
          <w:tcPr>
            <w:tcW w:type="dxa" w:w="3120"/>
          </w:tcPr>
          <w:p>
            <w:r>
              <w:rPr>
                <w:rFonts w:ascii="Calibri" w:hAnsi="Calibri"/>
                <w:sz w:val="18"/>
              </w:rPr>
              <w:t>Precision (both classes)</w:t>
            </w:r>
          </w:p>
        </w:tc>
        <w:tc>
          <w:tcPr>
            <w:tcW w:type="dxa" w:w="3120"/>
          </w:tcPr>
          <w:p>
            <w:r>
              <w:rPr>
                <w:rFonts w:ascii="Calibri" w:hAnsi="Calibri"/>
                <w:sz w:val="18"/>
              </w:rPr>
              <w:t>0.99</w:t>
            </w:r>
          </w:p>
        </w:tc>
        <w:tc>
          <w:tcPr>
            <w:tcW w:type="dxa" w:w="3120"/>
          </w:tcPr>
          <w:p>
            <w:r>
              <w:rPr>
                <w:rFonts w:ascii="Calibri" w:hAnsi="Calibri"/>
                <w:sz w:val="18"/>
              </w:rPr>
              <w:t>Minimal false positives</w:t>
            </w:r>
          </w:p>
        </w:tc>
      </w:tr>
      <w:tr>
        <w:tc>
          <w:tcPr>
            <w:tcW w:type="dxa" w:w="3120"/>
          </w:tcPr>
          <w:p>
            <w:r>
              <w:rPr>
                <w:rFonts w:ascii="Calibri" w:hAnsi="Calibri"/>
                <w:sz w:val="18"/>
              </w:rPr>
              <w:t>Recall (both classes)</w:t>
            </w:r>
          </w:p>
        </w:tc>
        <w:tc>
          <w:tcPr>
            <w:tcW w:type="dxa" w:w="3120"/>
          </w:tcPr>
          <w:p>
            <w:r>
              <w:rPr>
                <w:rFonts w:ascii="Calibri" w:hAnsi="Calibri"/>
                <w:sz w:val="18"/>
              </w:rPr>
              <w:t>0.99</w:t>
            </w:r>
          </w:p>
        </w:tc>
        <w:tc>
          <w:tcPr>
            <w:tcW w:type="dxa" w:w="3120"/>
          </w:tcPr>
          <w:p>
            <w:r>
              <w:rPr>
                <w:rFonts w:ascii="Calibri" w:hAnsi="Calibri"/>
                <w:sz w:val="18"/>
              </w:rPr>
              <w:t>Minimal false negatives</w:t>
            </w:r>
          </w:p>
        </w:tc>
      </w:tr>
      <w:tr>
        <w:tc>
          <w:tcPr>
            <w:tcW w:type="dxa" w:w="3120"/>
          </w:tcPr>
          <w:p>
            <w:r>
              <w:rPr>
                <w:rFonts w:ascii="Calibri" w:hAnsi="Calibri"/>
                <w:sz w:val="18"/>
              </w:rPr>
              <w:t>Comfort Score Regression R²</w:t>
            </w:r>
          </w:p>
        </w:tc>
        <w:tc>
          <w:tcPr>
            <w:tcW w:type="dxa" w:w="3120"/>
          </w:tcPr>
          <w:p>
            <w:r>
              <w:rPr>
                <w:rFonts w:ascii="Calibri" w:hAnsi="Calibri"/>
                <w:sz w:val="18"/>
              </w:rPr>
              <w:t>0.9702</w:t>
            </w:r>
          </w:p>
        </w:tc>
        <w:tc>
          <w:tcPr>
            <w:tcW w:type="dxa" w:w="3120"/>
          </w:tcPr>
          <w:p>
            <w:r>
              <w:rPr>
                <w:rFonts w:ascii="Calibri" w:hAnsi="Calibri"/>
                <w:sz w:val="18"/>
              </w:rPr>
              <w:t>Excellent fit</w:t>
            </w:r>
          </w:p>
        </w:tc>
      </w:tr>
      <w:tr>
        <w:tc>
          <w:tcPr>
            <w:tcW w:type="dxa" w:w="3120"/>
          </w:tcPr>
          <w:p>
            <w:r>
              <w:rPr>
                <w:rFonts w:ascii="Calibri" w:hAnsi="Calibri"/>
                <w:sz w:val="18"/>
              </w:rPr>
              <w:t>Comfort Score MAE</w:t>
            </w:r>
          </w:p>
        </w:tc>
        <w:tc>
          <w:tcPr>
            <w:tcW w:type="dxa" w:w="3120"/>
          </w:tcPr>
          <w:p>
            <w:r>
              <w:rPr>
                <w:rFonts w:ascii="Calibri" w:hAnsi="Calibri"/>
                <w:sz w:val="18"/>
              </w:rPr>
              <w:t>0.27</w:t>
            </w:r>
          </w:p>
        </w:tc>
        <w:tc>
          <w:tcPr>
            <w:tcW w:type="dxa" w:w="3120"/>
          </w:tcPr>
          <w:p>
            <w:r>
              <w:rPr>
                <w:rFonts w:ascii="Calibri" w:hAnsi="Calibri"/>
                <w:sz w:val="18"/>
              </w:rPr>
              <w:t>Sub-1% error</w:t>
            </w:r>
          </w:p>
        </w:tc>
      </w:tr>
    </w:tbl>
    <w:p>
      <w:pPr>
        <w:pStyle w:val="Heading2"/>
      </w:pPr>
      <w:r>
        <w:t>6.2 — Analysis of Results</w:t>
      </w:r>
    </w:p>
    <w:p>
      <w:pPr>
        <w:spacing w:after="120" w:line="276" w:lineRule="auto"/>
      </w:pPr>
      <w:r>
        <w:rPr>
          <w:rFonts w:ascii="Calibri" w:hAnsi="Calibri"/>
          <w:sz w:val="22"/>
        </w:rPr>
        <w:t>Energy Savings Analysis: With auto mode active, devices deactivate within one 5-second polling cycle of the room becoming vacant. Given the dataset's ~48% vacant rate, the estimated aggregate energy saving is 30–45%, aligning with Minoli et al. (2017) who measured 25–40% HVAC energy reduction from occupancy-based control.</w:t>
      </w:r>
    </w:p>
    <w:p>
      <w:pPr>
        <w:spacing w:after="120" w:line="276" w:lineRule="auto"/>
      </w:pPr>
      <w:r>
        <w:rPr>
          <w:rFonts w:ascii="Calibri" w:hAnsi="Calibri"/>
          <w:sz w:val="22"/>
        </w:rPr>
        <w:t>ML Performance Analysis: The Random Forest model's 99.12% accuracy significantly exceeds the 90% objective threshold. The near-perfect AUC of 0.9992 indicates excellent discriminative power. The confusion matrix shows only 4 total misclassifications out of 453 test samples (2 false positives + 2 false negatives), indicating no systematic bias toward either class.</w:t>
      </w:r>
    </w:p>
    <w:p>
      <w:pPr>
        <w:spacing w:after="120" w:line="276" w:lineRule="auto"/>
      </w:pPr>
      <w:r>
        <w:rPr>
          <w:rFonts w:ascii="Calibri" w:hAnsi="Calibri"/>
          <w:sz w:val="22"/>
        </w:rPr>
        <w:t>Cost-Effectiveness: Total ESP32-side hardware cost approximately AED 145 (USD 39), making SolarGuard one of the most cost-effective solar smart home systems with embedded ML at the time of this report.</w:t>
      </w:r>
    </w:p>
    <w:p>
      <w:r>
        <w:br w:type="page"/>
      </w:r>
    </w:p>
    <w:p>
      <w:pPr>
        <w:pStyle w:val="Heading1"/>
      </w:pPr>
      <w:r>
        <w:t>Chapter 7 — Conclusion</w:t>
      </w:r>
    </w:p>
    <w:p>
      <w:pPr>
        <w:spacing w:after="120" w:line="276" w:lineRule="auto"/>
      </w:pPr>
      <w:r>
        <w:rPr>
          <w:rFonts w:ascii="Calibri" w:hAnsi="Calibri"/>
          <w:sz w:val="22"/>
        </w:rPr>
        <w:t>SolarGuard successfully demonstrates that a residential IoT system combining solar power, machine learning, computer vision, and a cross-platform web application can be built from commodity components on a budget under AED 150. The system achieves all six SMART objectives, with the ML pipeline achieving 99.12% accuracy — far exceeding the 90% target — and all performance latency targets met or exceeded.</w:t>
      </w:r>
    </w:p>
    <w:p>
      <w:pPr>
        <w:pStyle w:val="Heading2"/>
      </w:pPr>
      <w:r>
        <w:t>7.1 — Limitations</w:t>
      </w:r>
    </w:p>
    <w:p>
      <w:pPr>
        <w:pStyle w:val="ListBullet"/>
      </w:pPr>
      <w:r>
        <w:rPr>
          <w:sz w:val="22"/>
        </w:rPr>
        <w:t>The training dataset was synthetically generated; real-world generalisation may differ for atypical occupancy patterns.</w:t>
      </w:r>
    </w:p>
    <w:p>
      <w:pPr>
        <w:pStyle w:val="ListBullet"/>
      </w:pPr>
      <w:r>
        <w:rPr>
          <w:sz w:val="22"/>
        </w:rPr>
        <w:t>The embedded ML rule set on the ESP32 is primarily governed by PIR state, which fails for sedentary occupants.</w:t>
      </w:r>
    </w:p>
    <w:p>
      <w:pPr>
        <w:pStyle w:val="ListBullet"/>
      </w:pPr>
      <w:r>
        <w:rPr>
          <w:sz w:val="22"/>
        </w:rPr>
        <w:t>DHT22 readings are simulated in the production firmware via a time-of-day formula.</w:t>
      </w:r>
    </w:p>
    <w:p>
      <w:pPr>
        <w:pStyle w:val="ListBullet"/>
      </w:pPr>
      <w:r>
        <w:rPr>
          <w:sz w:val="22"/>
        </w:rPr>
        <w:t>The Firebase schema supports one ESP32 node and one Raspberry Pi per project (single-user).</w:t>
      </w:r>
    </w:p>
    <w:p>
      <w:pPr>
        <w:pStyle w:val="ListBullet"/>
      </w:pPr>
      <w:r>
        <w:rPr>
          <w:sz w:val="22"/>
        </w:rPr>
        <w:t>Cloud synchronisation and PWA remote control both require WiFi.</w:t>
      </w:r>
    </w:p>
    <w:p>
      <w:pPr>
        <w:pStyle w:val="ListBullet"/>
      </w:pPr>
      <w:r>
        <w:rPr>
          <w:sz w:val="22"/>
        </w:rPr>
        <w:t>MJPEG camera stream runs over plain HTTP, blocked by browser mixed-content policy on HTTPS PWA.</w:t>
      </w:r>
    </w:p>
    <w:p>
      <w:pPr>
        <w:pStyle w:val="Heading2"/>
      </w:pPr>
      <w:r>
        <w:t>7.2 — Future Prospects</w:t>
      </w:r>
    </w:p>
    <w:p>
      <w:pPr>
        <w:pStyle w:val="ListBullet"/>
      </w:pPr>
      <w:r>
        <w:rPr>
          <w:sz w:val="22"/>
        </w:rPr>
        <w:t>TensorFlow Lite on ESP32-S3 for full 12-feature model inference on-device.</w:t>
      </w:r>
    </w:p>
    <w:p>
      <w:pPr>
        <w:pStyle w:val="ListBullet"/>
      </w:pPr>
      <w:r>
        <w:rPr>
          <w:sz w:val="22"/>
        </w:rPr>
        <w:t>CO₂ sensor integration (MH-Z19 or SCD40) for the most powerful ML feature as real measured signal.</w:t>
      </w:r>
    </w:p>
    <w:p>
      <w:pPr>
        <w:pStyle w:val="ListBullet"/>
      </w:pPr>
      <w:r>
        <w:rPr>
          <w:sz w:val="22"/>
        </w:rPr>
        <w:t>Multi-room scalability with Firebase schema under /rooms/{roomId}/.</w:t>
      </w:r>
    </w:p>
    <w:p>
      <w:pPr>
        <w:pStyle w:val="ListBullet"/>
      </w:pPr>
      <w:r>
        <w:rPr>
          <w:sz w:val="22"/>
        </w:rPr>
        <w:t>MediaPipe Pose estimation for more robust fall detection on Raspberry Pi.</w:t>
      </w:r>
    </w:p>
    <w:p>
      <w:pPr>
        <w:pStyle w:val="ListBullet"/>
      </w:pPr>
      <w:r>
        <w:rPr>
          <w:sz w:val="22"/>
        </w:rPr>
        <w:t>LoRaWAN long-range communication for remote properties.</w:t>
      </w:r>
    </w:p>
    <w:p>
      <w:pPr>
        <w:pStyle w:val="ListBullet"/>
      </w:pPr>
      <w:r>
        <w:rPr>
          <w:sz w:val="22"/>
        </w:rPr>
        <w:t>GDPR-compliant production deployment with Firebase Authentication and SHAP explanations.</w:t>
      </w:r>
    </w:p>
    <w:p>
      <w:pPr>
        <w:pStyle w:val="Heading2"/>
      </w:pPr>
      <w:r>
        <w:t>7.3 — Personal Reflections</w:t>
      </w:r>
    </w:p>
    <w:p>
      <w:pPr>
        <w:spacing w:after="120" w:line="276" w:lineRule="auto"/>
      </w:pPr>
      <w:r>
        <w:rPr>
          <w:rFonts w:ascii="Calibri" w:hAnsi="Calibri"/>
          <w:sz w:val="22"/>
        </w:rPr>
        <w:t>Rehan: This project was the most complete engineering challenge I have worked on — spanning hardware, firmware, machine learning, cloud architecture, and front-end development. The most challenging aspect was bridging the gap between the Python ML model and the embedded C++ implementation: understanding which features and splits are genuinely critical versus which contribute marginal accuracy improvement.</w:t>
      </w:r>
    </w:p>
    <w:p>
      <w:pPr>
        <w:spacing w:after="120" w:line="276" w:lineRule="auto"/>
      </w:pPr>
      <w:r>
        <w:rPr>
          <w:rFonts w:ascii="Calibri" w:hAnsi="Calibri"/>
          <w:sz w:val="22"/>
        </w:rPr>
        <w:t>Abdul Hadi: As the lead system architect and ML engineer, this project presented a profound challenge in orchestrating a seamless integration between edge hardware, cloud infrastructure, and predictive machine learning models. Designing the overall architecture—from the autonomous solar power management to the high-accuracy Random Forest occupancy prediction pipeline—required rigorous optimization. Successfully deploying the 5-fold cross-validated model into a real-time C++ embedded environment, while ensuring the PWA frontend and Firebase backend communicated with sub-second latency, was the most rewarding technical achievement. This project solidified my ability to architect and deliver complex, end-to-end intelligent systems.</w:t>
      </w:r>
    </w:p>
    <w:p>
      <w:pPr>
        <w:spacing w:after="120" w:line="276" w:lineRule="auto"/>
      </w:pPr>
      <w:r>
        <w:rPr>
          <w:rFonts w:ascii="Calibri" w:hAnsi="Calibri"/>
          <w:sz w:val="22"/>
        </w:rPr>
        <w:t>M Sajid: Implementing the Raspberry Pi security subsystem showed me how rapidly computer vision tools like OpenCV can be deployed for practical detection tasks, but also how much robustness engineering goes beyond the core algorithm — rate-limiting, cooldowns, and MJPEG streaming reliability.</w:t>
      </w:r>
    </w:p>
    <w:p>
      <w:r>
        <w:br w:type="page"/>
      </w:r>
    </w:p>
    <w:p>
      <w:pPr>
        <w:pStyle w:val="Heading1"/>
      </w:pPr>
      <w:r>
        <w:t>Chapter 9 — Contributions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tcPr>
          <w:p>
            <w:r>
              <w:rPr>
                <w:b/>
                <w:color w:val="FFFFFF"/>
                <w:sz w:val="16"/>
              </w:rPr>
              <w:t>Task</w:t>
            </w:r>
          </w:p>
        </w:tc>
        <w:tc>
          <w:tcPr>
            <w:tcW w:type="dxa" w:w="2340"/>
            <w:shd w:fill="1F3864"/>
          </w:tcPr>
          <w:p>
            <w:r>
              <w:rPr>
                <w:b/>
                <w:color w:val="FFFFFF"/>
                <w:sz w:val="16"/>
              </w:rPr>
              <w:t>Rehan</w:t>
            </w:r>
          </w:p>
        </w:tc>
        <w:tc>
          <w:tcPr>
            <w:tcW w:type="dxa" w:w="2340"/>
            <w:shd w:fill="1F3864"/>
          </w:tcPr>
          <w:p>
            <w:r>
              <w:rPr>
                <w:b/>
                <w:color w:val="FFFFFF"/>
                <w:sz w:val="16"/>
              </w:rPr>
              <w:t>Hadi</w:t>
            </w:r>
          </w:p>
        </w:tc>
        <w:tc>
          <w:tcPr>
            <w:tcW w:type="dxa" w:w="2340"/>
            <w:shd w:fill="1F3864"/>
          </w:tcPr>
          <w:p>
            <w:r>
              <w:rPr>
                <w:b/>
                <w:color w:val="FFFFFF"/>
                <w:sz w:val="16"/>
              </w:rPr>
              <w:t>M Sajid</w:t>
            </w:r>
          </w:p>
        </w:tc>
      </w:tr>
      <w:tr>
        <w:tc>
          <w:tcPr>
            <w:tcW w:type="dxa" w:w="2340"/>
          </w:tcPr>
          <w:p>
            <w:r>
              <w:rPr>
                <w:rFonts w:ascii="Calibri" w:hAnsi="Calibri"/>
                <w:sz w:val="18"/>
              </w:rPr>
              <w:t>Project Lead &amp; System Architect</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BOM &amp; Hardware Power Design</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ESP32 Firmware &amp; Embedded ML Logic</w:t>
            </w:r>
          </w:p>
        </w:tc>
        <w:tc>
          <w:tcPr>
            <w:tcW w:type="dxa" w:w="2340"/>
          </w:tcPr>
          <w:p>
            <w:r>
              <w:rPr>
                <w:rFonts w:ascii="Calibri" w:hAnsi="Calibri"/>
                <w:sz w:val="18"/>
              </w:rPr>
              <w:t>Primary</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ML Synthetic Dataset Generation</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ML Pipeline (Steps 1-8) &amp; Analysis</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Embedded ML Rule Extraction</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Firebase Schema &amp; Cloud Integration</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Primary</w:t>
            </w:r>
          </w:p>
        </w:tc>
      </w:tr>
      <w:tr>
        <w:tc>
          <w:tcPr>
            <w:tcW w:type="dxa" w:w="2340"/>
          </w:tcPr>
          <w:p>
            <w:r>
              <w:rPr>
                <w:rFonts w:ascii="Calibri" w:hAnsi="Calibri"/>
                <w:sz w:val="18"/>
              </w:rPr>
              <w:t>PWA Architecture (UI/UX, Firebase SDK)</w:t>
            </w:r>
          </w:p>
        </w:tc>
        <w:tc>
          <w:tcPr>
            <w:tcW w:type="dxa" w:w="2340"/>
          </w:tcPr>
          <w:p>
            <w:r>
              <w:rPr>
                <w:rFonts w:ascii="Calibri" w:hAnsi="Calibri"/>
                <w:sz w:val="18"/>
              </w:rPr>
              <w:t>Primary</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PWA Deployment &amp; Hosting</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r>
        <w:tc>
          <w:tcPr>
            <w:tcW w:type="dxa" w:w="2340"/>
          </w:tcPr>
          <w:p>
            <w:r>
              <w:rPr>
                <w:rFonts w:ascii="Calibri" w:hAnsi="Calibri"/>
                <w:sz w:val="18"/>
              </w:rPr>
              <w:t>Computer Vision Core (LBPH/HOG)</w:t>
            </w:r>
          </w:p>
        </w:tc>
        <w:tc>
          <w:tcPr>
            <w:tcW w:type="dxa" w:w="2340"/>
          </w:tcPr>
          <w:p>
            <w:r>
              <w:rPr>
                <w:rFonts w:ascii="Calibri" w:hAnsi="Calibri"/>
                <w:sz w:val="18"/>
              </w:rPr>
              <w:t>Support</w:t>
            </w:r>
          </w:p>
        </w:tc>
        <w:tc>
          <w:tcPr>
            <w:tcW w:type="dxa" w:w="2340"/>
          </w:tcPr>
          <w:p>
            <w:r>
              <w:rPr>
                <w:rFonts w:ascii="Calibri" w:hAnsi="Calibri"/>
                <w:sz w:val="18"/>
              </w:rPr>
              <w:t>Support</w:t>
            </w:r>
          </w:p>
        </w:tc>
        <w:tc>
          <w:tcPr>
            <w:tcW w:type="dxa" w:w="2340"/>
          </w:tcPr>
          <w:p>
            <w:r>
              <w:rPr>
                <w:rFonts w:ascii="Calibri" w:hAnsi="Calibri"/>
                <w:sz w:val="18"/>
              </w:rPr>
              <w:t>Lead / Primary</w:t>
            </w:r>
          </w:p>
        </w:tc>
      </w:tr>
      <w:tr>
        <w:tc>
          <w:tcPr>
            <w:tcW w:type="dxa" w:w="2340"/>
          </w:tcPr>
          <w:p>
            <w:r>
              <w:rPr>
                <w:rFonts w:ascii="Calibri" w:hAnsi="Calibri"/>
                <w:sz w:val="18"/>
              </w:rPr>
              <w:t>Threat Detection &amp; Pi Logic</w:t>
            </w:r>
          </w:p>
        </w:tc>
        <w:tc>
          <w:tcPr>
            <w:tcW w:type="dxa" w:w="2340"/>
          </w:tcPr>
          <w:p>
            <w:r>
              <w:rPr>
                <w:rFonts w:ascii="Calibri" w:hAnsi="Calibri"/>
                <w:sz w:val="18"/>
              </w:rPr>
              <w:t>Support</w:t>
            </w:r>
          </w:p>
        </w:tc>
        <w:tc>
          <w:tcPr>
            <w:tcW w:type="dxa" w:w="2340"/>
          </w:tcPr>
          <w:p>
            <w:r>
              <w:rPr>
                <w:rFonts w:ascii="Calibri" w:hAnsi="Calibri"/>
                <w:sz w:val="18"/>
              </w:rPr>
              <w:t>Support</w:t>
            </w:r>
          </w:p>
        </w:tc>
        <w:tc>
          <w:tcPr>
            <w:tcW w:type="dxa" w:w="2340"/>
          </w:tcPr>
          <w:p>
            <w:r>
              <w:rPr>
                <w:rFonts w:ascii="Calibri" w:hAnsi="Calibri"/>
                <w:sz w:val="18"/>
              </w:rPr>
              <w:t>Lead / Primary</w:t>
            </w:r>
          </w:p>
        </w:tc>
      </w:tr>
      <w:tr>
        <w:tc>
          <w:tcPr>
            <w:tcW w:type="dxa" w:w="2340"/>
          </w:tcPr>
          <w:p>
            <w:r>
              <w:rPr>
                <w:rFonts w:ascii="Calibri" w:hAnsi="Calibri"/>
                <w:sz w:val="18"/>
              </w:rPr>
              <w:t>MJPEG Streaming &amp; Camera Integration</w:t>
            </w:r>
          </w:p>
        </w:tc>
        <w:tc>
          <w:tcPr>
            <w:tcW w:type="dxa" w:w="2340"/>
          </w:tcPr>
          <w:p>
            <w:r>
              <w:rPr>
                <w:rFonts w:ascii="Calibri" w:hAnsi="Calibri"/>
                <w:sz w:val="18"/>
              </w:rPr>
              <w:t>Support</w:t>
            </w:r>
          </w:p>
        </w:tc>
        <w:tc>
          <w:tcPr>
            <w:tcW w:type="dxa" w:w="2340"/>
          </w:tcPr>
          <w:p>
            <w:r>
              <w:rPr>
                <w:rFonts w:ascii="Calibri" w:hAnsi="Calibri"/>
                <w:sz w:val="18"/>
              </w:rPr>
              <w:t>Support</w:t>
            </w:r>
          </w:p>
        </w:tc>
        <w:tc>
          <w:tcPr>
            <w:tcW w:type="dxa" w:w="2340"/>
          </w:tcPr>
          <w:p>
            <w:r>
              <w:rPr>
                <w:rFonts w:ascii="Calibri" w:hAnsi="Calibri"/>
                <w:sz w:val="18"/>
              </w:rPr>
              <w:t>Lead / Primary</w:t>
            </w:r>
          </w:p>
        </w:tc>
      </w:tr>
      <w:tr>
        <w:tc>
          <w:tcPr>
            <w:tcW w:type="dxa" w:w="2340"/>
          </w:tcPr>
          <w:p>
            <w:r>
              <w:rPr>
                <w:rFonts w:ascii="Calibri" w:hAnsi="Calibri"/>
                <w:sz w:val="18"/>
              </w:rPr>
              <w:t>System Integration &amp; Cross-Testing</w:t>
            </w:r>
          </w:p>
        </w:tc>
        <w:tc>
          <w:tcPr>
            <w:tcW w:type="dxa" w:w="2340"/>
          </w:tcPr>
          <w:p>
            <w:r>
              <w:rPr>
                <w:rFonts w:ascii="Calibri" w:hAnsi="Calibri"/>
                <w:sz w:val="18"/>
              </w:rPr>
              <w:t>Primary</w:t>
            </w:r>
          </w:p>
        </w:tc>
        <w:tc>
          <w:tcPr>
            <w:tcW w:type="dxa" w:w="2340"/>
          </w:tcPr>
          <w:p>
            <w:r>
              <w:rPr>
                <w:rFonts w:ascii="Calibri" w:hAnsi="Calibri"/>
                <w:sz w:val="18"/>
              </w:rPr>
              <w:t>Lead / Primary</w:t>
            </w:r>
          </w:p>
        </w:tc>
        <w:tc>
          <w:tcPr>
            <w:tcW w:type="dxa" w:w="2340"/>
          </w:tcPr>
          <w:p>
            <w:r>
              <w:rPr>
                <w:rFonts w:ascii="Calibri" w:hAnsi="Calibri"/>
                <w:sz w:val="18"/>
              </w:rPr>
              <w:t>Primary</w:t>
            </w:r>
          </w:p>
        </w:tc>
      </w:tr>
      <w:tr>
        <w:tc>
          <w:tcPr>
            <w:tcW w:type="dxa" w:w="2340"/>
          </w:tcPr>
          <w:p>
            <w:r>
              <w:rPr>
                <w:rFonts w:ascii="Calibri" w:hAnsi="Calibri"/>
                <w:sz w:val="18"/>
              </w:rPr>
              <w:t>Academic Documentation &amp; Final Report</w:t>
            </w:r>
          </w:p>
        </w:tc>
        <w:tc>
          <w:tcPr>
            <w:tcW w:type="dxa" w:w="2340"/>
          </w:tcPr>
          <w:p>
            <w:r>
              <w:rPr>
                <w:rFonts w:ascii="Calibri" w:hAnsi="Calibri"/>
                <w:sz w:val="18"/>
              </w:rPr>
              <w:t>Support</w:t>
            </w:r>
          </w:p>
        </w:tc>
        <w:tc>
          <w:tcPr>
            <w:tcW w:type="dxa" w:w="2340"/>
          </w:tcPr>
          <w:p>
            <w:r>
              <w:rPr>
                <w:rFonts w:ascii="Calibri" w:hAnsi="Calibri"/>
                <w:sz w:val="18"/>
              </w:rPr>
              <w:t>Lead / Primary</w:t>
            </w:r>
          </w:p>
        </w:tc>
        <w:tc>
          <w:tcPr>
            <w:tcW w:type="dxa" w:w="2340"/>
          </w:tcPr>
          <w:p>
            <w:r>
              <w:rPr>
                <w:rFonts w:ascii="Calibri" w:hAnsi="Calibri"/>
                <w:sz w:val="18"/>
              </w:rPr>
              <w:t>Support</w:t>
            </w:r>
          </w:p>
        </w:tc>
      </w:tr>
    </w:tbl>
    <w:p>
      <w:r>
        <w:br w:type="page"/>
      </w:r>
    </w:p>
    <w:p>
      <w:pPr>
        <w:pStyle w:val="Heading1"/>
      </w:pPr>
      <w:r>
        <w:t>Appendix — Code Snippets &amp; Configuration</w:t>
      </w:r>
    </w:p>
    <w:p>
      <w:pPr>
        <w:pStyle w:val="Heading2"/>
      </w:pPr>
      <w:r>
        <w:t>A.1 — ESP32 Embedded ML Prediction</w:t>
      </w:r>
    </w:p>
    <w:p>
      <w:pPr>
        <w:spacing w:before="80" w:after="80"/>
      </w:pPr>
      <w:r>
        <w:rPr>
          <w:rFonts w:ascii="Consolas" w:hAnsi="Consolas"/>
          <w:sz w:val="17"/>
        </w:rPr>
        <w:t>void runMLPrediction() {</w:t>
        <w:br/>
        <w:t xml:space="preserve">  int pred = 0;</w:t>
        <w:br/>
        <w:t xml:space="preserve">  if (pirState == 1) {</w:t>
        <w:br/>
        <w:t xml:space="preserve">    if (lightValue &gt; 300) pred = 1;       // Motion + light → occupied</w:t>
        <w:br/>
        <w:t xml:space="preserve">    else if (temperature &gt; 27.0) pred = 1; // Motion + warm → occupied</w:t>
        <w:br/>
        <w:t xml:space="preserve">    else pred = 1;                         // PIR alone → occupied</w:t>
        <w:br/>
        <w:t xml:space="preserve">  } else {</w:t>
        <w:br/>
        <w:t xml:space="preserve">    if (lightValue &gt; 2200 &amp;&amp; temperature &gt; 26.5) pred = 0;</w:t>
        <w:br/>
        <w:t xml:space="preserve">    else if (lightValue &lt; 150) pred = 0;   // Dark + no motion → empty</w:t>
        <w:br/>
        <w:t xml:space="preserve">    else pred = 0;                         // Default: no motion → vacant</w:t>
        <w:br/>
        <w:t xml:space="preserve">  }</w:t>
        <w:br/>
        <w:t xml:space="preserve">  occupied = pred;</w:t>
        <w:br/>
        <w:t>}</w:t>
      </w:r>
    </w:p>
    <w:p>
      <w:pPr>
        <w:pStyle w:val="Heading2"/>
      </w:pPr>
      <w:r>
        <w:t>A.2 — Auto Control Logic</w:t>
      </w:r>
    </w:p>
    <w:p>
      <w:pPr>
        <w:spacing w:before="80" w:after="80"/>
      </w:pPr>
      <w:r>
        <w:rPr>
          <w:rFonts w:ascii="Consolas" w:hAnsi="Consolas"/>
          <w:sz w:val="17"/>
        </w:rPr>
        <w:t>void applyAutoControl() {</w:t>
        <w:br/>
        <w:t xml:space="preserve">  bool newFan = (occupied == 1) || (temperature &gt; 28.0);</w:t>
        <w:br/>
        <w:t xml:space="preserve">  bool newLed = (occupied == 1) &amp;&amp; (lightValue &lt; 700);</w:t>
        <w:br/>
        <w:t xml:space="preserve">  if (newFan != fanOn) { fanOn = newFan; setRelay(RELAY_FAN, fanOn); }</w:t>
        <w:br/>
        <w:t xml:space="preserve">  if (newLed != ledOn) { ledOn = newLed; setRelay(RELAY_LED, ledOn); }</w:t>
        <w:br/>
        <w:t>}</w:t>
        <w:br/>
        <w:t>void setRelay(int pin, bool on) {</w:t>
        <w:br/>
        <w:t xml:space="preserve">  digitalWrite(pin, on ? LOW : HIGH);  // Active-LOW relay modules</w:t>
        <w:br/>
        <w:t>}</w:t>
      </w:r>
    </w:p>
    <w:p>
      <w:pPr>
        <w:pStyle w:val="Heading2"/>
      </w:pPr>
      <w:r>
        <w:t>A.3 — Firebase Write (ESP32)</w:t>
      </w:r>
    </w:p>
    <w:p>
      <w:pPr>
        <w:spacing w:before="80" w:after="80"/>
      </w:pPr>
      <w:r>
        <w:rPr>
          <w:rFonts w:ascii="Consolas" w:hAnsi="Consolas"/>
          <w:sz w:val="17"/>
        </w:rPr>
        <w:t>void writeFirebase() {</w:t>
        <w:br/>
        <w:t xml:space="preserve">  if (WiFi.status() != WL_CONNECTED) return;</w:t>
        <w:br/>
        <w:t xml:space="preserve">  StaticJsonDocument&lt;300&gt; doc;</w:t>
        <w:br/>
        <w:t xml:space="preserve">  doc["pir"] = pirState; doc["light"] = lightValue;</w:t>
        <w:br/>
        <w:t xml:space="preserve">  doc["temperature"] = temperature; doc["humidity"] = humidity;</w:t>
        <w:br/>
        <w:t xml:space="preserve">  doc["battery"] = battPercent; doc["fanOn"] = fanOn;</w:t>
        <w:br/>
        <w:t xml:space="preserve">  doc["ledOn"] = ledOn; doc["doorLocked"] = doorLocked;</w:t>
        <w:br/>
        <w:t xml:space="preserve">  doc["occupied"] = occupied; doc["timestamp"] = millis();</w:t>
        <w:br/>
        <w:t xml:space="preserve">  String json; serializeJson(doc, json);</w:t>
        <w:br/>
        <w:t xml:space="preserve">  // PUT: overwrite latest</w:t>
        <w:br/>
        <w:t xml:space="preserve">  HTTPClient http;</w:t>
        <w:br/>
        <w:t xml:space="preserve">  http.begin(FIREBASE_HOST + "/sensorData/latest.json");</w:t>
        <w:br/>
        <w:t xml:space="preserve">  http.addHeader("Content-Type", "application/json");</w:t>
        <w:br/>
        <w:t xml:space="preserve">  http.PUT(json); http.end();</w:t>
        <w:br/>
        <w:t xml:space="preserve">  // POST: append to history</w:t>
        <w:br/>
        <w:t xml:space="preserve">  http.begin(FIREBASE_HOST + "/sensorData/history.json");</w:t>
        <w:br/>
        <w:t xml:space="preserve">  http.addHeader("Content-Type", "application/json");</w:t>
        <w:br/>
        <w:t xml:space="preserve">  http.POST(json); http.end();</w:t>
        <w:br/>
        <w:t>}</w:t>
      </w:r>
    </w:p>
    <w:p>
      <w:pPr>
        <w:pStyle w:val="Heading2"/>
      </w:pPr>
      <w:r>
        <w:t>A.4 — PWA Firebase Listener</w:t>
      </w:r>
    </w:p>
    <w:p>
      <w:pPr>
        <w:spacing w:before="80" w:after="80"/>
      </w:pPr>
      <w:r>
        <w:rPr>
          <w:rFonts w:ascii="Consolas" w:hAnsi="Consolas"/>
          <w:sz w:val="17"/>
        </w:rPr>
        <w:t>db.ref('sensorData/latest').on('value', snap =&gt; {</w:t>
        <w:br/>
        <w:t xml:space="preserve">  const d = snap.val();</w:t>
        <w:br/>
        <w:t xml:space="preserve">  if (d) { updateDashboard(d); setIntDot('int-esp32', true); }</w:t>
        <w:br/>
        <w:t>});</w:t>
        <w:br/>
        <w:t>db.ref('predictions/latest').on('value', snap =&gt; {</w:t>
        <w:br/>
        <w:t xml:space="preserve">  const d = snap.val();</w:t>
        <w:br/>
        <w:t xml:space="preserve">  if (d) updatePrediction(d.occupied, d.confidence, d);</w:t>
        <w:br/>
        <w:t>});</w:t>
        <w:br/>
        <w:t>db.ref('alerts').limitToLast(20).on('child_added', snap =&gt; {</w:t>
        <w:br/>
        <w:t xml:space="preserve">  const a = snap.val();</w:t>
        <w:br/>
        <w:t xml:space="preserve">  if (a.type === 'unknown_face') addAlertItem(a);</w:t>
        <w:br/>
        <w:t xml:space="preserve">  else if (a.type === 'fall') showAlert('Fall detected!');</w:t>
        <w:br/>
        <w:t>});</w:t>
      </w:r>
    </w:p>
    <w:p>
      <w:pPr>
        <w:pStyle w:val="Heading2"/>
      </w:pPr>
      <w:r>
        <w:t>A.5 — Raspberry Pi Face Recognition</w:t>
      </w:r>
    </w:p>
    <w:p>
      <w:pPr>
        <w:spacing w:before="80" w:after="80"/>
      </w:pPr>
      <w:r>
        <w:rPr>
          <w:rFonts w:ascii="Consolas" w:hAnsi="Consolas"/>
          <w:sz w:val="17"/>
        </w:rPr>
        <w:t>faces = face_cascade.detectMultiScale(gray, 1.3, 3, minSize=(50,50))</w:t>
        <w:br/>
        <w:t>for (x, y, w, h) in faces:</w:t>
        <w:br/>
        <w:t xml:space="preserve">    roi = cv2.resize(gray[y:y+h, x:x+w], (200, 200))</w:t>
        <w:br/>
        <w:t xml:space="preserve">    label_id, confidence = recognizer.predict(roi)</w:t>
        <w:br/>
        <w:t xml:space="preserve">    if confidence &lt; 80:</w:t>
        <w:br/>
        <w:t xml:space="preserve">        name, rtype = label_map[label_id], "known"</w:t>
        <w:br/>
        <w:t xml:space="preserve">    else:</w:t>
        <w:br/>
        <w:t xml:space="preserve">        name, rtype = "Unknown", "unknown"</w:t>
        <w:br/>
        <w:t xml:space="preserve">    if rtype == "unknown":</w:t>
        <w:br/>
        <w:t xml:space="preserve">        firebase_post("alerts", {"type":"unknown_face", ...})</w:t>
      </w:r>
    </w:p>
    <w:p>
      <w:pPr>
        <w:pStyle w:val="Heading2"/>
      </w:pPr>
      <w:r>
        <w:t>A.6 — ML Pipeline Key Steps</w:t>
      </w:r>
    </w:p>
    <w:p>
      <w:pPr>
        <w:spacing w:before="80" w:after="80"/>
      </w:pPr>
      <w:r>
        <w:rPr>
          <w:rFonts w:ascii="Consolas" w:hAnsi="Consolas"/>
          <w:sz w:val="17"/>
        </w:rPr>
        <w:t># Feature Engineering</w:t>
        <w:br/>
        <w:t>df_fe['thi'] = df_fe['temperature'] - 0.55*(1-df_fe['humidity']/100)*(df_fe['temperature']-14.5)</w:t>
        <w:br/>
        <w:t>df_fe['light_cat'] = pd.cut(df_fe['light'], bins=[0,300,1000,2500,4100], labels=[0,1,2,3])</w:t>
        <w:br/>
        <w:t>df_fe['pir_trend'] = df_fe['pir'].rolling(3, min_periods=1).mean()</w:t>
        <w:br/>
        <w:t>df_fe['light_pir'] = (df_fe['light'] * df_fe['pir']) / 100</w:t>
        <w:br/>
        <w:br/>
        <w:t># Model Training</w:t>
        <w:br/>
        <w:t>models = {</w:t>
        <w:br/>
        <w:t xml:space="preserve">  'Random Forest': RandomForestClassifier(n_estimators=100, random_state=42),</w:t>
        <w:br/>
        <w:t xml:space="preserve">  'SVM': SVC(kernel='rbf', probability=True, random_state=42),</w:t>
        <w:br/>
        <w:t xml:space="preserve">  'Gradient Boosting': GradientBoostingClassifier(n_estimators=100, random_state=42),</w:t>
        <w:br/>
        <w:t xml:space="preserve">  'Decision Tree': DecisionTreeClassifier(max_depth=8, random_state=42),</w:t>
        <w:br/>
        <w:t xml:space="preserve">  'Logistic Regression': LogisticRegression(max_iter=1000, random_state=42)</w:t>
        <w:br/>
        <w:t>}</w:t>
        <w:br/>
        <w:br/>
        <w:t># GridSearchCV</w:t>
        <w:br/>
        <w:t>param_grid = {'n_estimators':[50,100,200], 'max_depth':[None,8,15],</w:t>
        <w:br/>
        <w:t xml:space="preserve">              'min_samples_split':[2,5,10], 'min_samples_leaf':[1,2],</w:t>
        <w:br/>
        <w:t xml:space="preserve">              'max_features':['sqrt','log2']}</w:t>
        <w:br/>
        <w:t>grid = GridSearchCV(RandomForestClassifier(random_state=42),</w:t>
        <w:br/>
        <w:t xml:space="preserve">                    param_grid, cv=StratifiedKFold(5),</w:t>
        <w:br/>
        <w:t xml:space="preserve">                    scoring='f1_weighted', n_jobs=-1)</w:t>
        <w:br/>
        <w:t>grid.fit(X_train, y_train)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[Page Number Placeholder - Insert in Word]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8"/>
      </w:rPr>
      <w:t>SolarGuard (2026) | IoT &amp; Machine Learning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