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cs="Times New Roman" w:ascii="Times New Roman" w:hAnsi="Times New Roman"/>
          <w:b/>
          <w:bCs/>
          <w:color w:val="000000"/>
        </w:rPr>
        <w:t xml:space="preserve">Thermal dust emission </w:t>
      </w:r>
      <w:r>
        <w:rPr>
          <w:rFonts w:cs="Times New Roman" w:ascii="Times New Roman" w:hAnsi="Times New Roman"/>
          <w:b/>
          <w:bCs/>
          <w:i/>
          <w:iCs/>
          <w:color w:val="000000"/>
        </w:rPr>
        <w:t>τ</w:t>
      </w:r>
      <w:r>
        <w:rPr>
          <w:rFonts w:cs="Times New Roman" w:ascii="Times New Roman" w:hAnsi="Times New Roman"/>
          <w:b/>
          <w:bCs/>
          <w:i/>
          <w:iCs/>
          <w:color w:val="000000"/>
          <w:vertAlign w:val="subscript"/>
        </w:rPr>
        <w:t>353</w:t>
      </w:r>
      <w:r>
        <w:rPr>
          <w:rFonts w:cs="Times New Roman" w:ascii="Times New Roman" w:hAnsi="Times New Roman"/>
          <w:b/>
          <w:bCs/>
          <w:color w:val="000000"/>
        </w:rPr>
        <w:t xml:space="preserve"> to total proton column density </w:t>
      </w:r>
      <w:r>
        <w:rPr>
          <w:rFonts w:cs="Times New Roman" w:ascii="Times New Roman" w:hAnsi="Times New Roman"/>
          <w:b/>
          <w:bCs/>
          <w:i/>
          <w:iCs/>
          <w:color w:val="000000"/>
        </w:rPr>
        <w:t>N</w:t>
      </w:r>
      <w:r>
        <w:rPr>
          <w:rFonts w:cs="Times New Roman" w:ascii="Times New Roman" w:hAnsi="Times New Roman"/>
          <w:b/>
          <w:bCs/>
          <w:i/>
          <w:iCs/>
          <w:color w:val="000000"/>
          <w:vertAlign w:val="subscript"/>
        </w:rPr>
        <w:t>H</w:t>
      </w:r>
    </w:p>
    <w:p>
      <w:pPr>
        <w:pStyle w:val="Normal"/>
        <w:rPr>
          <w:rFonts w:ascii="Times New Roman" w:hAnsi="Times New Roman" w:cs="Times New Roman"/>
          <w:color w:val="000000"/>
        </w:rPr>
      </w:pPr>
      <w:r>
        <w:rPr/>
      </w:r>
    </w:p>
    <w:p>
      <w:pPr>
        <w:pStyle w:val="Normal"/>
        <w:rPr/>
      </w:pPr>
      <w:r>
        <w:rPr>
          <w:rFonts w:cs="Times New Roman" w:ascii="Times New Roman" w:hAnsi="Times New Roman"/>
          <w:color w:val="000000"/>
        </w:rPr>
        <w:t>- The Planck paper on All-sky model of thermal dust emission (2013) (</w:t>
      </w:r>
      <w:hyperlink r:id="rId2">
        <w:r>
          <w:rPr>
            <w:rStyle w:val="InternetLink"/>
            <w:rFonts w:cs="Times New Roman" w:ascii="Times New Roman" w:hAnsi="Times New Roman"/>
            <w:color w:val="000000"/>
          </w:rPr>
          <w:t>https://arxiv.org/pdf/1312</w:t>
        </w:r>
      </w:hyperlink>
      <w:r>
        <w:fldChar w:fldCharType="begin"/>
      </w:r>
      <w:r>
        <w:instrText> HYPERLINK "https://arxiv.org/pdf/1312.1300v5.pdf" \l "_blank"</w:instrText>
      </w:r>
      <w:r>
        <w:fldChar w:fldCharType="separate"/>
      </w:r>
      <w:r>
        <w:rPr>
          <w:rStyle w:val="InternetLink"/>
          <w:rFonts w:cs="Times New Roman" w:ascii="Times New Roman" w:hAnsi="Times New Roman"/>
          <w:color w:val="000000"/>
        </w:rPr>
        <w:t>.</w:t>
      </w:r>
      <w:r>
        <w:fldChar w:fldCharType="end"/>
      </w:r>
      <w:r>
        <w:rPr>
          <w:rFonts w:cs="Times New Roman" w:ascii="Times New Roman" w:hAnsi="Times New Roman"/>
          <w:color w:val="000000"/>
        </w:rPr>
        <w:t xml:space="preserve">) indicates a link between the optical depth of thermal dust emission at 353GHz, </w:t>
      </w:r>
      <w:r>
        <w:rPr>
          <w:rFonts w:cs="Times New Roman" w:ascii="Times New Roman" w:hAnsi="Times New Roman"/>
          <w:i/>
          <w:iCs/>
          <w:color w:val="000000"/>
        </w:rPr>
        <w:t>τ</w:t>
      </w:r>
      <w:r>
        <w:rPr>
          <w:rFonts w:cs="Times New Roman" w:ascii="Times New Roman" w:hAnsi="Times New Roman"/>
          <w:i/>
          <w:iCs/>
          <w:color w:val="000000"/>
          <w:vertAlign w:val="subscript"/>
        </w:rPr>
        <w:t>353</w:t>
      </w:r>
      <w:r>
        <w:rPr>
          <w:rFonts w:cs="Times New Roman" w:ascii="Times New Roman" w:hAnsi="Times New Roman"/>
          <w:color w:val="000000"/>
        </w:rPr>
        <w:t xml:space="preserve">, and the total gas column density </w:t>
      </w:r>
      <w:r>
        <w:rPr>
          <w:rFonts w:cs="Times New Roman" w:ascii="Times New Roman" w:hAnsi="Times New Roman"/>
          <w:i/>
          <w:iCs/>
          <w:color w:val="000000"/>
        </w:rPr>
        <w:t>N</w:t>
      </w:r>
      <w:r>
        <w:rPr>
          <w:rFonts w:cs="Times New Roman" w:ascii="Times New Roman" w:hAnsi="Times New Roman"/>
          <w:i/>
          <w:iCs/>
          <w:color w:val="000000"/>
          <w:vertAlign w:val="subscript"/>
        </w:rPr>
        <w:t>H</w:t>
      </w:r>
      <w:r>
        <w:rPr>
          <w:rFonts w:cs="Times New Roman" w:ascii="Times New Roman" w:hAnsi="Times New Roman"/>
          <w:color w:val="000000"/>
        </w:rPr>
        <w:t>:</w:t>
      </w:r>
    </w:p>
    <w:p>
      <w:pPr>
        <w:pStyle w:val="Normal"/>
        <w:rPr>
          <w:rFonts w:ascii="Times New Roman" w:hAnsi="Times New Roman" w:cs="Times New Roman"/>
          <w:color w:val="000000"/>
        </w:rPr>
      </w:pPr>
      <w:r>
        <w:rPr>
          <w:rFonts w:cs="Times New Roman" w:ascii="Times New Roman" w:hAnsi="Times New Roman"/>
          <w:color w:val="000000"/>
        </w:rPr>
        <w:tab/>
      </w:r>
      <w:r>
        <w:rPr>
          <w:rFonts w:cs="Times New Roman" w:ascii="Times New Roman" w:hAnsi="Times New Roman"/>
          <w:i/>
          <w:iCs/>
          <w:color w:val="000000"/>
        </w:rPr>
        <w:t>τ</w:t>
      </w:r>
      <w:r>
        <w:rPr>
          <w:rFonts w:cs="Times New Roman" w:ascii="Times New Roman" w:hAnsi="Times New Roman"/>
          <w:i/>
          <w:iCs/>
          <w:color w:val="000000"/>
          <w:vertAlign w:val="subscript"/>
        </w:rPr>
        <w:t>353</w:t>
      </w:r>
      <w:r>
        <w:rPr>
          <w:rFonts w:cs="Times New Roman" w:ascii="Times New Roman" w:hAnsi="Times New Roman"/>
          <w:i/>
          <w:iCs/>
          <w:color w:val="000000"/>
        </w:rPr>
        <w:t xml:space="preserve"> = σ</w:t>
      </w:r>
      <w:r>
        <w:rPr>
          <w:rFonts w:cs="Times New Roman" w:ascii="Times New Roman" w:hAnsi="Times New Roman"/>
          <w:i/>
          <w:iCs/>
          <w:color w:val="000000"/>
          <w:vertAlign w:val="subscript"/>
        </w:rPr>
        <w:t>353</w:t>
      </w:r>
      <w:r>
        <w:rPr>
          <w:rFonts w:cs="Times New Roman" w:ascii="Times New Roman" w:hAnsi="Times New Roman"/>
          <w:i/>
          <w:iCs/>
          <w:color w:val="000000"/>
        </w:rPr>
        <w:t>*N</w:t>
      </w:r>
      <w:r>
        <w:rPr>
          <w:rFonts w:cs="Times New Roman" w:ascii="Times New Roman" w:hAnsi="Times New Roman"/>
          <w:i/>
          <w:iCs/>
          <w:color w:val="000000"/>
          <w:vertAlign w:val="subscript"/>
        </w:rPr>
        <w:t>H</w:t>
      </w:r>
      <w:r>
        <w:rPr>
          <w:rFonts w:cs="Times New Roman" w:ascii="Times New Roman" w:hAnsi="Times New Roman"/>
          <w:iCs/>
          <w:color w:val="000000"/>
        </w:rPr>
        <w:t xml:space="preserve"> </w:t>
      </w:r>
      <w:r>
        <w:rPr>
          <w:rFonts w:cs="Times New Roman" w:ascii="Times New Roman" w:hAnsi="Times New Roman"/>
          <w:i/>
          <w:iCs/>
          <w:color w:val="000000"/>
        </w:rPr>
        <w:t>(1)</w:t>
      </w:r>
    </w:p>
    <w:p>
      <w:pPr>
        <w:pStyle w:val="Normal"/>
        <w:rPr/>
      </w:pPr>
      <w:r>
        <w:rPr>
          <w:rFonts w:cs="Times New Roman" w:ascii="Times New Roman" w:hAnsi="Times New Roman"/>
          <w:color w:val="000000"/>
        </w:rPr>
        <w:tab/>
        <w:t xml:space="preserve">where: </w:t>
      </w:r>
      <w:r>
        <w:rPr>
          <w:rFonts w:cs="Times New Roman" w:ascii="Times New Roman" w:hAnsi="Times New Roman"/>
          <w:i/>
          <w:iCs/>
          <w:color w:val="000000"/>
        </w:rPr>
        <w:t>σ</w:t>
      </w:r>
      <w:r>
        <w:rPr>
          <w:rFonts w:cs="Times New Roman" w:ascii="Times New Roman" w:hAnsi="Times New Roman"/>
          <w:i/>
          <w:iCs/>
          <w:color w:val="000000"/>
          <w:vertAlign w:val="subscript"/>
        </w:rPr>
        <w:t>353</w:t>
      </w:r>
      <w:r>
        <w:rPr>
          <w:rFonts w:cs="Times New Roman" w:ascii="Times New Roman" w:hAnsi="Times New Roman"/>
          <w:i/>
          <w:iCs/>
          <w:color w:val="000000"/>
        </w:rPr>
        <w:t>:</w:t>
      </w:r>
      <w:r>
        <w:rPr>
          <w:rFonts w:cs="Times New Roman" w:ascii="Times New Roman" w:hAnsi="Times New Roman"/>
          <w:color w:val="000000"/>
        </w:rPr>
        <w:t xml:space="preserve"> dust-to-gas conversion factor</w:t>
      </w:r>
      <w:r>
        <w:rPr>
          <w:rFonts w:cs="Times New Roman" w:ascii="Times New Roman" w:hAnsi="Times New Roman"/>
          <w:color w:val="000000"/>
        </w:rPr>
        <w:t xml:space="preserve"> or Dust opacity</w:t>
      </w:r>
      <w:r>
        <w:rPr>
          <w:rFonts w:cs="Times New Roman" w:ascii="Times New Roman" w:hAnsi="Times New Roman"/>
          <w:color w:val="000000"/>
        </w:rPr>
        <w:br/>
        <w:tab/>
        <w:tab/>
      </w:r>
      <w:r>
        <w:rPr>
          <w:rFonts w:cs="Times New Roman" w:ascii="Times New Roman" w:hAnsi="Times New Roman"/>
          <w:i/>
          <w:iCs/>
          <w:color w:val="000000"/>
        </w:rPr>
        <w:t>τ</w:t>
      </w:r>
      <w:r>
        <w:rPr>
          <w:rFonts w:cs="Times New Roman" w:ascii="Times New Roman" w:hAnsi="Times New Roman"/>
          <w:i/>
          <w:color w:val="000000"/>
          <w:vertAlign w:val="subscript"/>
        </w:rPr>
        <w:t>353</w:t>
      </w:r>
      <w:r>
        <w:rPr>
          <w:rFonts w:cs="Times New Roman" w:ascii="Times New Roman" w:hAnsi="Times New Roman"/>
          <w:color w:val="000000"/>
        </w:rPr>
        <w:t xml:space="preserve"> map and </w:t>
      </w:r>
      <w:r>
        <w:rPr>
          <w:rFonts w:cs="Times New Roman" w:ascii="Times New Roman" w:hAnsi="Times New Roman"/>
          <w:i/>
          <w:iCs/>
          <w:color w:val="000000"/>
        </w:rPr>
        <w:t>τ</w:t>
      </w:r>
      <w:r>
        <w:rPr>
          <w:rFonts w:cs="Times New Roman" w:ascii="Times New Roman" w:hAnsi="Times New Roman"/>
          <w:i/>
          <w:color w:val="000000"/>
          <w:vertAlign w:val="subscript"/>
        </w:rPr>
        <w:t>353</w:t>
      </w:r>
      <w:r>
        <w:rPr>
          <w:rFonts w:cs="Times New Roman" w:ascii="Times New Roman" w:hAnsi="Times New Roman"/>
          <w:color w:val="000000"/>
        </w:rPr>
        <w:t xml:space="preserve"> error map (release R1.20) can be accessed here:</w:t>
      </w:r>
    </w:p>
    <w:p>
      <w:pPr>
        <w:pStyle w:val="Normal"/>
        <w:rPr/>
      </w:pPr>
      <w:r>
        <w:rPr>
          <w:rFonts w:cs="Times New Roman" w:ascii="Times New Roman" w:hAnsi="Times New Roman"/>
          <w:b/>
          <w:bCs/>
          <w:color w:val="000000"/>
          <w:sz w:val="12"/>
          <w:szCs w:val="12"/>
        </w:rPr>
        <w:tab/>
        <w:tab/>
      </w:r>
      <w:hyperlink r:id="rId3">
        <w:r>
          <w:rPr>
            <w:rStyle w:val="InternetLink"/>
            <w:rFonts w:cs="Times New Roman" w:ascii="Times New Roman" w:hAnsi="Times New Roman"/>
            <w:b/>
            <w:bCs/>
            <w:color w:val="000000"/>
            <w:sz w:val="12"/>
            <w:szCs w:val="12"/>
          </w:rPr>
          <w:t>http://irsa.ipac.caltech.edu/data/Planck/release_1/all-sky-maps/previews/HFI_CompMap_ThermalDustModel_2048_R1.20/index.html</w:t>
        </w:r>
      </w:hyperlink>
    </w:p>
    <w:p>
      <w:pPr>
        <w:pStyle w:val="Normal"/>
        <w:rPr>
          <w:rFonts w:ascii="Times New Roman" w:hAnsi="Times New Roman" w:cs="Times New Roman"/>
          <w:b/>
          <w:b/>
          <w:bCs/>
          <w:color w:val="000000"/>
          <w:sz w:val="12"/>
          <w:szCs w:val="12"/>
        </w:rPr>
      </w:pPr>
      <w:r>
        <w:rPr/>
      </w:r>
    </w:p>
    <w:p>
      <w:pPr>
        <w:pStyle w:val="Normal"/>
        <w:spacing w:before="0" w:after="283"/>
        <w:rPr/>
      </w:pPr>
      <w:r>
        <w:rPr/>
        <w:t xml:space="preserve">- </w:t>
      </w:r>
      <w:r>
        <w:rPr/>
        <w:t>T</w:t>
      </w:r>
      <w:r>
        <w:rPr/>
        <w:t xml:space="preserve">he values of </w:t>
      </w:r>
      <w:r>
        <w:rPr>
          <w:rFonts w:cs="Times New Roman" w:ascii="Times New Roman" w:hAnsi="Times New Roman"/>
          <w:i/>
          <w:iCs/>
          <w:color w:val="000000"/>
        </w:rPr>
        <w:t>σ</w:t>
      </w:r>
      <w:r>
        <w:rPr>
          <w:rFonts w:cs="Times New Roman" w:ascii="Times New Roman" w:hAnsi="Times New Roman"/>
          <w:i/>
          <w:iCs/>
          <w:color w:val="000000"/>
          <w:vertAlign w:val="subscript"/>
        </w:rPr>
        <w:t>353</w:t>
      </w:r>
      <w:r>
        <w:rPr/>
        <w:t xml:space="preserve"> vary from region to region as shown in Table 3, </w:t>
      </w:r>
      <w:r>
        <w:rPr/>
        <w:t>thank you for sending me these masks</w:t>
      </w:r>
      <w:r>
        <w:rPr/>
        <w:t>.</w:t>
      </w:r>
    </w:p>
    <w:tbl>
      <w:tblPr>
        <w:tblW w:w="9644"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4" w:type="dxa"/>
          <w:bottom w:w="55" w:type="dxa"/>
          <w:right w:w="55" w:type="dxa"/>
        </w:tblCellMar>
        <w:tblLook w:val="0000" w:noVBand="0" w:noHBand="0" w:lastColumn="0" w:firstColumn="0" w:lastRow="0" w:firstRow="0"/>
      </w:tblPr>
      <w:tblGrid>
        <w:gridCol w:w="3212"/>
        <w:gridCol w:w="3212"/>
        <w:gridCol w:w="3220"/>
      </w:tblGrid>
      <w:tr>
        <w:trPr/>
        <w:tc>
          <w:tcPr>
            <w:tcW w:w="3212" w:type="dxa"/>
            <w:tcBorders>
              <w:top w:val="single" w:sz="2" w:space="0" w:color="000001"/>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Mask</w:t>
            </w:r>
          </w:p>
        </w:tc>
        <w:tc>
          <w:tcPr>
            <w:tcW w:w="3212" w:type="dxa"/>
            <w:tcBorders>
              <w:top w:val="single" w:sz="2" w:space="0" w:color="000001"/>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&lt;</w:t>
            </w:r>
            <w:r>
              <w:rPr>
                <w:rFonts w:cs="Times New Roman" w:ascii="Times New Roman" w:hAnsi="Times New Roman"/>
                <w:i/>
                <w:iCs/>
                <w:color w:val="000000"/>
              </w:rPr>
              <w:t>σ</w:t>
            </w:r>
            <w:r>
              <w:rPr>
                <w:rFonts w:cs="Times New Roman" w:ascii="Times New Roman" w:hAnsi="Times New Roman"/>
                <w:i/>
                <w:iCs/>
                <w:color w:val="000000"/>
                <w:vertAlign w:val="subscript"/>
              </w:rPr>
              <w:t>353</w:t>
            </w:r>
            <w:r>
              <w:rPr/>
              <w:t>&gt;</w:t>
            </w:r>
          </w:p>
          <w:p>
            <w:pPr>
              <w:pStyle w:val="TableContents"/>
              <w:jc w:val="center"/>
              <w:rPr/>
            </w:pPr>
            <w:r>
              <w:rPr/>
              <w:t>[cm</w:t>
            </w:r>
            <w:r>
              <w:rPr>
                <w:vertAlign w:val="superscript"/>
              </w:rPr>
              <w:t>2</w:t>
            </w:r>
            <w:r>
              <w:rPr/>
              <w:t>H</w:t>
            </w:r>
            <w:r>
              <w:rPr>
                <w:vertAlign w:val="superscript"/>
              </w:rPr>
              <w:t>-1</w:t>
            </w:r>
            <w:r>
              <w:rPr/>
              <w:t>]</w:t>
            </w:r>
          </w:p>
        </w:tc>
        <w:tc>
          <w:tcPr>
            <w:tcW w:w="32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4" w:type="dxa"/>
            </w:tcMar>
          </w:tcPr>
          <w:p>
            <w:pPr>
              <w:pStyle w:val="TableContents"/>
              <w:jc w:val="center"/>
              <w:rPr/>
            </w:pPr>
            <w:r>
              <w:rPr>
                <w:rFonts w:cs="Times New Roman" w:ascii="Times New Roman" w:hAnsi="Times New Roman"/>
                <w:i/>
                <w:iCs/>
                <w:color w:val="000000"/>
              </w:rPr>
              <w:t>σ(σ</w:t>
            </w:r>
            <w:r>
              <w:rPr>
                <w:rFonts w:cs="Times New Roman" w:ascii="Times New Roman" w:hAnsi="Times New Roman"/>
                <w:i/>
                <w:iCs/>
                <w:color w:val="000000"/>
                <w:vertAlign w:val="subscript"/>
              </w:rPr>
              <w:t>353</w:t>
            </w:r>
            <w:r>
              <w:rPr>
                <w:rFonts w:cs="Times New Roman" w:ascii="Times New Roman" w:hAnsi="Times New Roman"/>
                <w:i/>
                <w:iCs/>
                <w:color w:val="000000"/>
              </w:rPr>
              <w:t>)</w:t>
            </w:r>
          </w:p>
          <w:p>
            <w:pPr>
              <w:pStyle w:val="TableContents"/>
              <w:jc w:val="center"/>
              <w:rPr/>
            </w:pPr>
            <w:r>
              <w:rPr/>
              <w:t>[cm</w:t>
            </w:r>
            <w:r>
              <w:rPr>
                <w:vertAlign w:val="superscript"/>
              </w:rPr>
              <w:t>2</w:t>
            </w:r>
            <w:r>
              <w:rPr/>
              <w:t>H</w:t>
            </w:r>
            <w:r>
              <w:rPr>
                <w:vertAlign w:val="superscript"/>
              </w:rPr>
              <w:t>-1</w:t>
            </w:r>
            <w:r>
              <w:rPr/>
              <w:t>]</w:t>
            </w:r>
          </w:p>
        </w:tc>
      </w:tr>
      <w:tr>
        <w:trPr/>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Whole sky</w:t>
            </w:r>
          </w:p>
        </w:tc>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8.4x10</w:t>
            </w:r>
            <w:r>
              <w:rPr>
                <w:vertAlign w:val="superscript"/>
              </w:rPr>
              <w:t>-27</w:t>
            </w:r>
          </w:p>
        </w:tc>
        <w:tc>
          <w:tcPr>
            <w:tcW w:w="3220" w:type="dxa"/>
            <w:tcBorders>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4" w:type="dxa"/>
            </w:tcMar>
          </w:tcPr>
          <w:p>
            <w:pPr>
              <w:pStyle w:val="TableContents"/>
              <w:jc w:val="center"/>
              <w:rPr/>
            </w:pPr>
            <w:r>
              <w:rPr/>
              <w:t>3.0x10</w:t>
            </w:r>
            <w:r>
              <w:rPr>
                <w:vertAlign w:val="superscript"/>
              </w:rPr>
              <w:t>-27</w:t>
            </w:r>
          </w:p>
        </w:tc>
      </w:tr>
      <w:tr>
        <w:trPr/>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G56</w:t>
            </w:r>
          </w:p>
        </w:tc>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7.1x10</w:t>
            </w:r>
            <w:r>
              <w:rPr>
                <w:vertAlign w:val="superscript"/>
              </w:rPr>
              <w:t>-27</w:t>
            </w:r>
          </w:p>
        </w:tc>
        <w:tc>
          <w:tcPr>
            <w:tcW w:w="3220" w:type="dxa"/>
            <w:tcBorders>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4" w:type="dxa"/>
            </w:tcMar>
          </w:tcPr>
          <w:p>
            <w:pPr>
              <w:pStyle w:val="TableContents"/>
              <w:jc w:val="center"/>
              <w:rPr/>
            </w:pPr>
            <w:r>
              <w:rPr/>
              <w:t>1.9x10</w:t>
            </w:r>
            <w:r>
              <w:rPr>
                <w:vertAlign w:val="superscript"/>
              </w:rPr>
              <w:t>-27</w:t>
            </w:r>
          </w:p>
        </w:tc>
      </w:tr>
      <w:tr>
        <w:trPr/>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|b| &gt; 15</w:t>
            </w:r>
            <w:r>
              <w:rPr>
                <w:vertAlign w:val="superscript"/>
              </w:rPr>
              <w:t>o</w:t>
            </w:r>
          </w:p>
        </w:tc>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7.0x10</w:t>
            </w:r>
            <w:r>
              <w:rPr>
                <w:vertAlign w:val="superscript"/>
              </w:rPr>
              <w:t>-27</w:t>
            </w:r>
          </w:p>
        </w:tc>
        <w:tc>
          <w:tcPr>
            <w:tcW w:w="3220" w:type="dxa"/>
            <w:tcBorders>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4" w:type="dxa"/>
            </w:tcMar>
          </w:tcPr>
          <w:p>
            <w:pPr>
              <w:pStyle w:val="TableContents"/>
              <w:jc w:val="center"/>
              <w:rPr/>
            </w:pPr>
            <w:r>
              <w:rPr/>
              <w:t>2.0x10</w:t>
            </w:r>
            <w:r>
              <w:rPr>
                <w:vertAlign w:val="superscript"/>
              </w:rPr>
              <w:t>-27</w:t>
            </w:r>
          </w:p>
        </w:tc>
      </w:tr>
      <w:tr>
        <w:trPr/>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G45</w:t>
            </w:r>
          </w:p>
        </w:tc>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6.8x10</w:t>
            </w:r>
            <w:r>
              <w:rPr>
                <w:vertAlign w:val="superscript"/>
              </w:rPr>
              <w:t>-27</w:t>
            </w:r>
          </w:p>
        </w:tc>
        <w:tc>
          <w:tcPr>
            <w:tcW w:w="3220" w:type="dxa"/>
            <w:tcBorders>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4" w:type="dxa"/>
            </w:tcMar>
          </w:tcPr>
          <w:p>
            <w:pPr>
              <w:pStyle w:val="TableContents"/>
              <w:jc w:val="center"/>
              <w:rPr/>
            </w:pPr>
            <w:r>
              <w:rPr/>
              <w:t>1.8x10</w:t>
            </w:r>
            <w:r>
              <w:rPr>
                <w:vertAlign w:val="superscript"/>
              </w:rPr>
              <w:t>-27</w:t>
            </w:r>
          </w:p>
        </w:tc>
      </w:tr>
      <w:tr>
        <w:trPr/>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G35</w:t>
            </w:r>
          </w:p>
        </w:tc>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6.5x10</w:t>
            </w:r>
            <w:r>
              <w:rPr>
                <w:vertAlign w:val="superscript"/>
              </w:rPr>
              <w:t>-27</w:t>
            </w:r>
          </w:p>
        </w:tc>
        <w:tc>
          <w:tcPr>
            <w:tcW w:w="3220" w:type="dxa"/>
            <w:tcBorders>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4" w:type="dxa"/>
            </w:tcMar>
          </w:tcPr>
          <w:p>
            <w:pPr>
              <w:pStyle w:val="TableContents"/>
              <w:jc w:val="center"/>
              <w:rPr/>
            </w:pPr>
            <w:r>
              <w:rPr/>
              <w:t>1.8x10</w:t>
            </w:r>
            <w:r>
              <w:rPr>
                <w:vertAlign w:val="superscript"/>
              </w:rPr>
              <w:t>-27</w:t>
            </w:r>
          </w:p>
        </w:tc>
      </w:tr>
      <w:tr>
        <w:trPr/>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South Cap</w:t>
            </w:r>
          </w:p>
        </w:tc>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6.5x10</w:t>
            </w:r>
            <w:r>
              <w:rPr>
                <w:vertAlign w:val="superscript"/>
              </w:rPr>
              <w:t>-27</w:t>
            </w:r>
          </w:p>
        </w:tc>
        <w:tc>
          <w:tcPr>
            <w:tcW w:w="3220" w:type="dxa"/>
            <w:tcBorders>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4" w:type="dxa"/>
            </w:tcMar>
          </w:tcPr>
          <w:p>
            <w:pPr>
              <w:pStyle w:val="TableContents"/>
              <w:jc w:val="center"/>
              <w:rPr/>
            </w:pPr>
            <w:r>
              <w:rPr/>
              <w:t>1.9x10</w:t>
            </w:r>
            <w:r>
              <w:rPr>
                <w:vertAlign w:val="superscript"/>
              </w:rPr>
              <w:t>-27</w:t>
            </w:r>
          </w:p>
        </w:tc>
      </w:tr>
      <w:tr>
        <w:trPr/>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 xml:space="preserve">Low </w:t>
            </w:r>
            <w:r>
              <w:rPr>
                <w:i/>
                <w:iCs/>
              </w:rPr>
              <w:t>N</w:t>
            </w:r>
            <w:r>
              <w:rPr>
                <w:i/>
                <w:iCs/>
                <w:vertAlign w:val="subscript"/>
              </w:rPr>
              <w:t>HI</w:t>
            </w:r>
          </w:p>
        </w:tc>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6.6x10</w:t>
            </w:r>
            <w:r>
              <w:rPr>
                <w:vertAlign w:val="superscript"/>
              </w:rPr>
              <w:t>-27</w:t>
            </w:r>
          </w:p>
        </w:tc>
        <w:tc>
          <w:tcPr>
            <w:tcW w:w="3220" w:type="dxa"/>
            <w:tcBorders>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4" w:type="dxa"/>
            </w:tcMar>
          </w:tcPr>
          <w:p>
            <w:pPr>
              <w:pStyle w:val="TableContents"/>
              <w:jc w:val="center"/>
              <w:rPr/>
            </w:pPr>
            <w:r>
              <w:rPr/>
              <w:t>1.7x10</w:t>
            </w:r>
            <w:r>
              <w:rPr>
                <w:vertAlign w:val="superscript"/>
              </w:rPr>
              <w:t>-27</w:t>
            </w:r>
          </w:p>
        </w:tc>
      </w:tr>
      <w:tr>
        <w:trPr/>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Lowest 1%</w:t>
            </w:r>
          </w:p>
        </w:tc>
        <w:tc>
          <w:tcPr>
            <w:tcW w:w="3212" w:type="dxa"/>
            <w:tcBorders>
              <w:left w:val="single" w:sz="2" w:space="0" w:color="000001"/>
              <w:bottom w:val="single" w:sz="2" w:space="0" w:color="000001"/>
              <w:insideH w:val="single" w:sz="2" w:space="0" w:color="000001"/>
            </w:tcBorders>
            <w:shd w:color="auto" w:fill="auto" w:val="clear"/>
            <w:tcMar>
              <w:left w:w="54" w:type="dxa"/>
            </w:tcMar>
          </w:tcPr>
          <w:p>
            <w:pPr>
              <w:pStyle w:val="TableContents"/>
              <w:jc w:val="center"/>
              <w:rPr/>
            </w:pPr>
            <w:r>
              <w:rPr/>
              <w:t>7.9x10</w:t>
            </w:r>
            <w:r>
              <w:rPr>
                <w:vertAlign w:val="superscript"/>
              </w:rPr>
              <w:t>-27</w:t>
            </w:r>
          </w:p>
        </w:tc>
        <w:tc>
          <w:tcPr>
            <w:tcW w:w="3220" w:type="dxa"/>
            <w:tcBorders>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54" w:type="dxa"/>
            </w:tcMar>
          </w:tcPr>
          <w:p>
            <w:pPr>
              <w:pStyle w:val="TableContents"/>
              <w:jc w:val="center"/>
              <w:rPr/>
            </w:pPr>
            <w:r>
              <w:rPr/>
              <w:t>1.9x10</w:t>
            </w:r>
            <w:r>
              <w:rPr>
                <w:vertAlign w:val="superscript"/>
              </w:rPr>
              <w:t>-27</w:t>
            </w:r>
          </w:p>
        </w:tc>
      </w:tr>
    </w:tbl>
    <w:p>
      <w:pPr>
        <w:pStyle w:val="Normal"/>
        <w:spacing w:before="0" w:after="283"/>
        <w:rPr/>
      </w:pPr>
      <w:r>
        <w:rPr>
          <w:sz w:val="20"/>
          <w:szCs w:val="20"/>
        </w:rPr>
        <w:t xml:space="preserve">Table </w:t>
      </w:r>
      <w:r>
        <w:rPr>
          <w:sz w:val="20"/>
          <w:szCs w:val="20"/>
        </w:rPr>
        <w:t>1</w:t>
      </w:r>
      <w:r>
        <w:rPr>
          <w:sz w:val="20"/>
          <w:szCs w:val="20"/>
        </w:rPr>
        <w:t>: Mask used in Planck 2013 paper for the values of &lt;</w:t>
      </w:r>
      <w:r>
        <w:rPr>
          <w:rFonts w:cs="Times New Roman" w:ascii="Times New Roman" w:hAnsi="Times New Roman"/>
          <w:i/>
          <w:iCs/>
          <w:color w:val="000000"/>
          <w:sz w:val="20"/>
          <w:szCs w:val="20"/>
        </w:rPr>
        <w:t>σ</w:t>
      </w:r>
      <w:r>
        <w:rPr>
          <w:rFonts w:cs="Times New Roman" w:ascii="Times New Roman" w:hAnsi="Times New Roman"/>
          <w:i/>
          <w:iCs/>
          <w:color w:val="000000"/>
          <w:sz w:val="20"/>
          <w:szCs w:val="20"/>
          <w:vertAlign w:val="subscript"/>
        </w:rPr>
        <w:t>353</w:t>
      </w:r>
      <w:r>
        <w:rPr>
          <w:sz w:val="20"/>
          <w:szCs w:val="20"/>
        </w:rPr>
        <w:t xml:space="preserve">&gt; and its uncertainties </w:t>
      </w:r>
      <w:r>
        <w:rPr>
          <w:rFonts w:cs="Times New Roman" w:ascii="Times New Roman" w:hAnsi="Times New Roman"/>
          <w:i/>
          <w:iCs/>
          <w:color w:val="000000"/>
          <w:sz w:val="20"/>
          <w:szCs w:val="20"/>
        </w:rPr>
        <w:t>σ(σ</w:t>
      </w:r>
      <w:r>
        <w:rPr>
          <w:rFonts w:cs="Times New Roman" w:ascii="Times New Roman" w:hAnsi="Times New Roman"/>
          <w:i/>
          <w:iCs/>
          <w:color w:val="000000"/>
          <w:sz w:val="20"/>
          <w:szCs w:val="20"/>
          <w:vertAlign w:val="subscript"/>
        </w:rPr>
        <w:t>353</w:t>
      </w:r>
      <w:r>
        <w:rPr>
          <w:rFonts w:cs="Times New Roman" w:ascii="Times New Roman" w:hAnsi="Times New Roman"/>
          <w:i/>
          <w:iCs/>
          <w:color w:val="000000"/>
          <w:sz w:val="20"/>
          <w:szCs w:val="20"/>
        </w:rPr>
        <w:t>).</w:t>
      </w:r>
    </w:p>
    <w:p>
      <w:pPr>
        <w:pStyle w:val="Normal"/>
        <w:spacing w:before="0" w:after="283"/>
        <w:rPr/>
      </w:pPr>
      <w:r>
        <w:rPr/>
        <w:drawing>
          <wp:anchor behindDoc="0" distT="0" distB="2540" distL="0" distR="0" simplePos="0" locked="0" layoutInCell="1" allowOverlap="1" relativeHeight="2">
            <wp:simplePos x="0" y="0"/>
            <wp:positionH relativeFrom="column">
              <wp:posOffset>-225425</wp:posOffset>
            </wp:positionH>
            <wp:positionV relativeFrom="paragraph">
              <wp:posOffset>40005</wp:posOffset>
            </wp:positionV>
            <wp:extent cx="2460625" cy="1064260"/>
            <wp:effectExtent l="0" t="0" r="0" b="0"/>
            <wp:wrapNone/>
            <wp:docPr id="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
                    <pic:cNvPicPr>
                      <a:picLocks noChangeAspect="1" noChangeArrowheads="1"/>
                    </pic:cNvPicPr>
                  </pic:nvPicPr>
                  <pic:blipFill>
                    <a:blip r:embed="rId4"/>
                    <a:stretch>
                      <a:fillRect/>
                    </a:stretch>
                  </pic:blipFill>
                  <pic:spPr bwMode="auto">
                    <a:xfrm>
                      <a:off x="0" y="0"/>
                      <a:ext cx="2460625" cy="1064260"/>
                    </a:xfrm>
                    <a:prstGeom prst="rect">
                      <a:avLst/>
                    </a:prstGeom>
                  </pic:spPr>
                </pic:pic>
              </a:graphicData>
            </a:graphic>
          </wp:anchor>
        </w:drawing>
        <w:drawing>
          <wp:anchor behindDoc="0" distT="0" distB="0" distL="0" distR="635" simplePos="0" locked="0" layoutInCell="1" allowOverlap="1" relativeHeight="3">
            <wp:simplePos x="0" y="0"/>
            <wp:positionH relativeFrom="column">
              <wp:posOffset>2099310</wp:posOffset>
            </wp:positionH>
            <wp:positionV relativeFrom="paragraph">
              <wp:posOffset>40005</wp:posOffset>
            </wp:positionV>
            <wp:extent cx="2190115" cy="1170305"/>
            <wp:effectExtent l="0" t="0" r="0" b="0"/>
            <wp:wrapNone/>
            <wp:docPr id="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
                    <pic:cNvPicPr>
                      <a:picLocks noChangeAspect="1" noChangeArrowheads="1"/>
                    </pic:cNvPicPr>
                  </pic:nvPicPr>
                  <pic:blipFill>
                    <a:blip r:embed="rId5"/>
                    <a:stretch>
                      <a:fillRect/>
                    </a:stretch>
                  </pic:blipFill>
                  <pic:spPr bwMode="auto">
                    <a:xfrm>
                      <a:off x="0" y="0"/>
                      <a:ext cx="2190115" cy="1170305"/>
                    </a:xfrm>
                    <a:prstGeom prst="rect">
                      <a:avLst/>
                    </a:prstGeom>
                  </pic:spPr>
                </pic:pic>
              </a:graphicData>
            </a:graphic>
          </wp:anchor>
        </w:drawing>
        <w:drawing>
          <wp:anchor behindDoc="0" distT="0" distB="7620" distL="0" distR="8255" simplePos="0" locked="0" layoutInCell="1" allowOverlap="1" relativeHeight="4">
            <wp:simplePos x="0" y="0"/>
            <wp:positionH relativeFrom="column">
              <wp:posOffset>4216400</wp:posOffset>
            </wp:positionH>
            <wp:positionV relativeFrom="paragraph">
              <wp:posOffset>74930</wp:posOffset>
            </wp:positionV>
            <wp:extent cx="2125345" cy="1135380"/>
            <wp:effectExtent l="0" t="0" r="0" b="0"/>
            <wp:wrapNone/>
            <wp:docPr id="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descr=""/>
                    <pic:cNvPicPr>
                      <a:picLocks noChangeAspect="1" noChangeArrowheads="1"/>
                    </pic:cNvPicPr>
                  </pic:nvPicPr>
                  <pic:blipFill>
                    <a:blip r:embed="rId6"/>
                    <a:stretch>
                      <a:fillRect/>
                    </a:stretch>
                  </pic:blipFill>
                  <pic:spPr bwMode="auto">
                    <a:xfrm>
                      <a:off x="0" y="0"/>
                      <a:ext cx="2125345" cy="1135380"/>
                    </a:xfrm>
                    <a:prstGeom prst="rect">
                      <a:avLst/>
                    </a:prstGeom>
                  </pic:spPr>
                </pic:pic>
              </a:graphicData>
            </a:graphic>
          </wp:anchor>
        </w:drawing>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drawing>
          <wp:anchor behindDoc="0" distT="0" distB="0" distL="0" distR="5715" simplePos="0" locked="0" layoutInCell="1" allowOverlap="1" relativeHeight="5">
            <wp:simplePos x="0" y="0"/>
            <wp:positionH relativeFrom="column">
              <wp:posOffset>-100330</wp:posOffset>
            </wp:positionH>
            <wp:positionV relativeFrom="paragraph">
              <wp:posOffset>143510</wp:posOffset>
            </wp:positionV>
            <wp:extent cx="2318385" cy="1238885"/>
            <wp:effectExtent l="0" t="0" r="0" b="0"/>
            <wp:wrapNone/>
            <wp:docPr id="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
                    <pic:cNvPicPr>
                      <a:picLocks noChangeAspect="1" noChangeArrowheads="1"/>
                    </pic:cNvPicPr>
                  </pic:nvPicPr>
                  <pic:blipFill>
                    <a:blip r:embed="rId7"/>
                    <a:stretch>
                      <a:fillRect/>
                    </a:stretch>
                  </pic:blipFill>
                  <pic:spPr bwMode="auto">
                    <a:xfrm>
                      <a:off x="0" y="0"/>
                      <a:ext cx="2318385" cy="1238885"/>
                    </a:xfrm>
                    <a:prstGeom prst="rect">
                      <a:avLst/>
                    </a:prstGeom>
                  </pic:spPr>
                </pic:pic>
              </a:graphicData>
            </a:graphic>
          </wp:anchor>
        </w:drawing>
      </w:r>
    </w:p>
    <w:p>
      <w:pPr>
        <w:pStyle w:val="Normal"/>
        <w:rPr>
          <w:rFonts w:ascii="Times New Roman" w:hAnsi="Times New Roman" w:cs="Times New Roman"/>
          <w:color w:val="000000"/>
        </w:rPr>
      </w:pPr>
      <w:r>
        <w:rPr>
          <w:rFonts w:cs="Times New Roman" w:ascii="Times New Roman" w:hAnsi="Times New Roman"/>
          <w:color w:val="000000"/>
        </w:rPr>
        <w:drawing>
          <wp:anchor behindDoc="0" distT="0" distB="635" distL="0" distR="8255" simplePos="0" locked="0" layoutInCell="1" allowOverlap="1" relativeHeight="6">
            <wp:simplePos x="0" y="0"/>
            <wp:positionH relativeFrom="column">
              <wp:posOffset>2004060</wp:posOffset>
            </wp:positionH>
            <wp:positionV relativeFrom="paragraph">
              <wp:posOffset>12700</wp:posOffset>
            </wp:positionV>
            <wp:extent cx="2315845" cy="1237615"/>
            <wp:effectExtent l="0" t="0" r="0" b="0"/>
            <wp:wrapSquare wrapText="largest"/>
            <wp:docPr id="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descr=""/>
                    <pic:cNvPicPr>
                      <a:picLocks noChangeAspect="1" noChangeArrowheads="1"/>
                    </pic:cNvPicPr>
                  </pic:nvPicPr>
                  <pic:blipFill>
                    <a:blip r:embed="rId8"/>
                    <a:stretch>
                      <a:fillRect/>
                    </a:stretch>
                  </pic:blipFill>
                  <pic:spPr bwMode="auto">
                    <a:xfrm>
                      <a:off x="0" y="0"/>
                      <a:ext cx="2315845" cy="1237615"/>
                    </a:xfrm>
                    <a:prstGeom prst="rect">
                      <a:avLst/>
                    </a:prstGeom>
                  </pic:spPr>
                </pic:pic>
              </a:graphicData>
            </a:graphic>
          </wp:anchor>
        </w:drawing>
        <w:drawing>
          <wp:anchor behindDoc="0" distT="0" distB="4445" distL="0" distR="0" simplePos="0" locked="0" layoutInCell="1" allowOverlap="1" relativeHeight="7">
            <wp:simplePos x="0" y="0"/>
            <wp:positionH relativeFrom="column">
              <wp:posOffset>4181475</wp:posOffset>
            </wp:positionH>
            <wp:positionV relativeFrom="paragraph">
              <wp:posOffset>12700</wp:posOffset>
            </wp:positionV>
            <wp:extent cx="2274570" cy="1214755"/>
            <wp:effectExtent l="0" t="0" r="0" b="0"/>
            <wp:wrapSquare wrapText="largest"/>
            <wp:docPr id="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
                    <pic:cNvPicPr>
                      <a:picLocks noChangeAspect="1" noChangeArrowheads="1"/>
                    </pic:cNvPicPr>
                  </pic:nvPicPr>
                  <pic:blipFill>
                    <a:blip r:embed="rId9"/>
                    <a:stretch>
                      <a:fillRect/>
                    </a:stretch>
                  </pic:blipFill>
                  <pic:spPr bwMode="auto">
                    <a:xfrm>
                      <a:off x="0" y="0"/>
                      <a:ext cx="2274570" cy="1214755"/>
                    </a:xfrm>
                    <a:prstGeom prst="rect">
                      <a:avLst/>
                    </a:prstGeom>
                  </pic:spPr>
                </pic:pic>
              </a:graphicData>
            </a:graphic>
          </wp:anchor>
        </w:drawing>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drawing>
          <wp:anchor behindDoc="0" distT="0" distB="0" distL="0" distR="2540" simplePos="0" locked="0" layoutInCell="1" allowOverlap="1" relativeHeight="8">
            <wp:simplePos x="0" y="0"/>
            <wp:positionH relativeFrom="column">
              <wp:posOffset>1964055</wp:posOffset>
            </wp:positionH>
            <wp:positionV relativeFrom="paragraph">
              <wp:posOffset>102235</wp:posOffset>
            </wp:positionV>
            <wp:extent cx="2188210" cy="1169035"/>
            <wp:effectExtent l="0" t="0" r="0" b="0"/>
            <wp:wrapNone/>
            <wp:docPr id="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
                    <pic:cNvPicPr>
                      <a:picLocks noChangeAspect="1" noChangeArrowheads="1"/>
                    </pic:cNvPicPr>
                  </pic:nvPicPr>
                  <pic:blipFill>
                    <a:blip r:embed="rId10"/>
                    <a:stretch>
                      <a:fillRect/>
                    </a:stretch>
                  </pic:blipFill>
                  <pic:spPr bwMode="auto">
                    <a:xfrm>
                      <a:off x="0" y="0"/>
                      <a:ext cx="2188210" cy="1169035"/>
                    </a:xfrm>
                    <a:prstGeom prst="rect">
                      <a:avLst/>
                    </a:prstGeom>
                  </pic:spPr>
                </pic:pic>
              </a:graphicData>
            </a:graphic>
          </wp:anchor>
        </w:drawing>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color w:val="000000"/>
        </w:rPr>
      </w:pPr>
      <w:r>
        <w:rPr>
          <w:rFonts w:cs="Times New Roman" w:ascii="Times New Roman" w:hAnsi="Times New Roman"/>
          <w:color w:val="000000"/>
        </w:rPr>
      </w:r>
    </w:p>
    <w:p>
      <w:pPr>
        <w:pStyle w:val="Normal"/>
        <w:ind w:firstLine="709"/>
        <w:rPr/>
      </w:pPr>
      <w:r>
        <w:rPr>
          <w:rFonts w:cs="Times New Roman" w:ascii="Times New Roman" w:hAnsi="Times New Roman"/>
          <w:i/>
          <w:color w:val="000000"/>
          <w:sz w:val="20"/>
          <w:szCs w:val="20"/>
        </w:rPr>
        <w:t>Figure ??: The masks from Planck 2013 paper.</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color w:val="000000"/>
        </w:rPr>
        <w:t xml:space="preserve">-  I use the equation (1) to calculate the total gas column densities </w:t>
      </w:r>
      <w:r>
        <w:rPr>
          <w:rFonts w:cs="Times New Roman" w:ascii="Times New Roman" w:hAnsi="Times New Roman"/>
          <w:i/>
          <w:iCs/>
          <w:color w:val="000000"/>
        </w:rPr>
        <w:t>N</w:t>
      </w:r>
      <w:r>
        <w:rPr>
          <w:rFonts w:cs="Times New Roman" w:ascii="Times New Roman" w:hAnsi="Times New Roman"/>
          <w:i/>
          <w:iCs/>
          <w:color w:val="000000"/>
          <w:vertAlign w:val="subscript"/>
        </w:rPr>
        <w:t>H</w:t>
      </w:r>
      <w:r>
        <w:rPr>
          <w:rFonts w:cs="Times New Roman" w:ascii="Times New Roman" w:hAnsi="Times New Roman"/>
          <w:color w:val="000000"/>
        </w:rPr>
        <w:t xml:space="preserve"> along 26 lines-of-sight where  CO lines are not detected.</w:t>
      </w:r>
    </w:p>
    <w:p>
      <w:pPr>
        <w:pStyle w:val="Normal"/>
        <w:jc w:val="both"/>
        <w:rPr/>
      </w:pPr>
      <w:r>
        <w:rPr/>
        <w:t xml:space="preserve">- I installed HEALPix software (in Python, it is healpy package) to read Planck FITS data file, the </w:t>
      </w:r>
      <w:r>
        <w:rPr>
          <w:rFonts w:cs="Times New Roman" w:ascii="Times New Roman" w:hAnsi="Times New Roman"/>
          <w:color w:val="000000"/>
        </w:rPr>
        <w:t xml:space="preserve">optical depth map of thermal dust emission at 353GHz, </w:t>
      </w:r>
      <w:r>
        <w:rPr>
          <w:rFonts w:cs="Times New Roman" w:ascii="Times New Roman" w:hAnsi="Times New Roman"/>
          <w:i/>
          <w:iCs/>
          <w:color w:val="000000"/>
        </w:rPr>
        <w:t>τ</w:t>
      </w:r>
      <w:r>
        <w:rPr>
          <w:rFonts w:cs="Times New Roman" w:ascii="Times New Roman" w:hAnsi="Times New Roman"/>
          <w:i/>
          <w:iCs/>
          <w:color w:val="000000"/>
          <w:vertAlign w:val="subscript"/>
        </w:rPr>
        <w:t>353</w:t>
      </w:r>
      <w:r>
        <w:rPr>
          <w:rFonts w:cs="Times New Roman" w:ascii="Times New Roman" w:hAnsi="Times New Roman"/>
          <w:color w:val="000000"/>
        </w:rPr>
        <w:t xml:space="preserve">, </w:t>
      </w:r>
      <w:r>
        <w:rPr/>
        <w:t>in Mollview, and Cartview is displayed in Figure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1905" simplePos="0" locked="0" layoutInCell="1" allowOverlap="1" relativeHeight="23">
            <wp:simplePos x="0" y="0"/>
            <wp:positionH relativeFrom="column">
              <wp:posOffset>381635</wp:posOffset>
            </wp:positionH>
            <wp:positionV relativeFrom="paragraph">
              <wp:posOffset>92075</wp:posOffset>
            </wp:positionV>
            <wp:extent cx="5141595" cy="2138045"/>
            <wp:effectExtent l="0" t="0" r="0" b="0"/>
            <wp:wrapNone/>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1"/>
                    <a:stretch>
                      <a:fillRect/>
                    </a:stretch>
                  </pic:blipFill>
                  <pic:spPr bwMode="auto">
                    <a:xfrm>
                      <a:off x="0" y="0"/>
                      <a:ext cx="5141595" cy="21380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pPr>
      <w:r>
        <w:rPr>
          <w:i/>
          <w:sz w:val="20"/>
          <w:szCs w:val="20"/>
        </w:rPr>
        <w:t>Figure ??: O</w:t>
      </w:r>
      <w:r>
        <w:rPr>
          <w:rFonts w:cs="Times New Roman" w:ascii="Times New Roman" w:hAnsi="Times New Roman"/>
          <w:i/>
          <w:color w:val="000000"/>
          <w:sz w:val="20"/>
          <w:szCs w:val="20"/>
        </w:rPr>
        <w:t xml:space="preserve">ptical depth map of thermal dust emission at 353GHz, </w:t>
      </w:r>
      <w:r>
        <w:rPr>
          <w:rFonts w:cs="Times New Roman" w:ascii="Times New Roman" w:hAnsi="Times New Roman"/>
          <w:i/>
          <w:iCs/>
          <w:color w:val="000000"/>
          <w:sz w:val="20"/>
          <w:szCs w:val="20"/>
        </w:rPr>
        <w:t>τ</w:t>
      </w:r>
      <w:r>
        <w:rPr>
          <w:rFonts w:cs="Times New Roman" w:ascii="Times New Roman" w:hAnsi="Times New Roman"/>
          <w:i/>
          <w:iCs/>
          <w:color w:val="000000"/>
          <w:sz w:val="20"/>
          <w:szCs w:val="20"/>
          <w:vertAlign w:val="subscript"/>
        </w:rPr>
        <w:t>353</w:t>
      </w:r>
      <w:r>
        <w:rPr>
          <w:rFonts w:cs="Times New Roman" w:ascii="Times New Roman" w:hAnsi="Times New Roman"/>
          <w:i/>
          <w:color w:val="000000"/>
          <w:sz w:val="20"/>
          <w:szCs w:val="20"/>
        </w:rPr>
        <w:t xml:space="preserve">, </w:t>
      </w:r>
      <w:r>
        <w:rPr>
          <w:i/>
          <w:sz w:val="20"/>
          <w:szCs w:val="20"/>
        </w:rPr>
        <w:t>in Mollview and Cartview and positions of 26 sources without CO.</w:t>
      </w:r>
    </w:p>
    <w:p>
      <w:pPr>
        <w:pStyle w:val="Normal"/>
        <w:rPr/>
      </w:pPr>
      <w:r>
        <w:rPr/>
      </w:r>
    </w:p>
    <w:p>
      <w:pPr>
        <w:pStyle w:val="Normal"/>
        <w:rPr/>
      </w:pPr>
      <w:r>
        <w:rPr/>
        <w:t xml:space="preserve">- I also calculate the Total Proton Column Density </w:t>
      </w:r>
      <w:r>
        <w:rPr>
          <w:i/>
          <w:iCs/>
        </w:rPr>
        <w:t>N</w:t>
      </w:r>
      <w:r>
        <w:rPr>
          <w:i/>
          <w:iCs/>
          <w:vertAlign w:val="subscript"/>
        </w:rPr>
        <w:t>H</w:t>
      </w:r>
      <w:r>
        <w:rPr/>
        <w:t xml:space="preserve"> from </w:t>
      </w:r>
      <w:r>
        <w:rPr>
          <w:rFonts w:cs="Liberation Serif"/>
          <w:i/>
          <w:iCs/>
        </w:rPr>
        <w:t>τ</w:t>
      </w:r>
      <w:r>
        <w:rPr>
          <w:i/>
          <w:iCs/>
          <w:vertAlign w:val="subscript"/>
        </w:rPr>
        <w:t>353</w:t>
      </w:r>
      <w:r>
        <w:rPr/>
        <w:t xml:space="preserve"> for the above 26 MS line-of-sights using Fukui conversion factors (Fukui et al. 2015), namely:</w:t>
      </w:r>
    </w:p>
    <w:p>
      <w:pPr>
        <w:pStyle w:val="Normal"/>
        <w:rPr/>
      </w:pPr>
      <w:r>
        <w:rPr>
          <w:i/>
          <w:iCs/>
        </w:rPr>
        <w:tab/>
        <w:t>N</w:t>
      </w:r>
      <w:r>
        <w:rPr>
          <w:i/>
          <w:iCs/>
          <w:vertAlign w:val="subscript"/>
        </w:rPr>
        <w:t xml:space="preserve">H </w:t>
      </w:r>
      <w:r>
        <w:rPr>
          <w:i/>
          <w:iCs/>
        </w:rPr>
        <w:t>= [2.0 x 10</w:t>
      </w:r>
      <w:r>
        <w:rPr>
          <w:i/>
          <w:iCs/>
          <w:vertAlign w:val="superscript"/>
        </w:rPr>
        <w:t>26</w:t>
      </w:r>
      <w:r>
        <w:rPr>
          <w:i/>
          <w:iCs/>
        </w:rPr>
        <w:t xml:space="preserve">  </w:t>
      </w:r>
      <w:r>
        <w:rPr>
          <w:rFonts w:cs="Liberation Serif"/>
          <w:i/>
          <w:iCs/>
        </w:rPr>
        <w:t>±</w:t>
      </w:r>
      <w:r>
        <w:rPr>
          <w:i/>
          <w:iCs/>
        </w:rPr>
        <w:t xml:space="preserve"> &lt;no error&gt;] * </w:t>
      </w:r>
      <w:r>
        <w:rPr>
          <w:rFonts w:cs="Liberation Serif"/>
          <w:i/>
          <w:iCs/>
        </w:rPr>
        <w:t>τ</w:t>
      </w:r>
      <w:r>
        <w:rPr>
          <w:rFonts w:cs="Liberation Serif"/>
          <w:i/>
          <w:iCs/>
          <w:vertAlign w:val="subscript"/>
        </w:rPr>
        <w:t>353</w:t>
      </w:r>
      <w:r>
        <w:rPr>
          <w:i/>
          <w:iCs/>
        </w:rPr>
        <w:t xml:space="preserve"> </w:t>
      </w:r>
      <w:r>
        <w:rPr>
          <w:i/>
          <w:iCs/>
          <w:vertAlign w:val="subscript"/>
        </w:rPr>
        <w:t xml:space="preserve"> </w:t>
      </w:r>
      <w:r>
        <w:rPr>
          <w:i/>
          <w:iCs/>
        </w:rPr>
        <w:t>(2)</w:t>
      </w:r>
    </w:p>
    <w:p>
      <w:pPr>
        <w:pStyle w:val="Normal"/>
        <w:rPr/>
      </w:pPr>
      <w:r>
        <w:rPr/>
        <w:tab/>
        <w:t>The purpose of this is to compare and check if there exists a consistency (?^^?).</w:t>
      </w:r>
    </w:p>
    <w:p>
      <w:pPr>
        <w:pStyle w:val="Normal"/>
        <w:rPr/>
      </w:pPr>
      <w:r>
        <w:rPr/>
        <w:t xml:space="preserve">- For selected MS line-of-sights, I compute the Mean Value of </w:t>
      </w:r>
      <w:r>
        <w:rPr>
          <w:rFonts w:cs="Liberation Serif"/>
          <w:i/>
          <w:iCs/>
        </w:rPr>
        <w:t>τ</w:t>
      </w:r>
      <w:r>
        <w:rPr>
          <w:i/>
          <w:iCs/>
          <w:vertAlign w:val="subscript"/>
        </w:rPr>
        <w:t>353</w:t>
      </w:r>
      <w:r>
        <w:rPr/>
        <w:t xml:space="preserve"> in an area about the Arecibo Beam (3.5').</w:t>
      </w:r>
    </w:p>
    <w:p>
      <w:pPr>
        <w:pStyle w:val="Normal"/>
        <w:rPr/>
      </w:pPr>
      <w:r>
        <w:rPr/>
        <w:t>- It means:</w:t>
      </w:r>
    </w:p>
    <w:p>
      <w:pPr>
        <w:pStyle w:val="Normal"/>
        <w:rPr/>
      </w:pPr>
      <w:r>
        <w:rPr/>
        <w:tab/>
        <w:t>- Define a very small area around the point-source at (</w:t>
      </w:r>
      <w:r>
        <w:rPr>
          <w:i/>
          <w:iCs/>
        </w:rPr>
        <w:t>l</w:t>
      </w:r>
      <w:r>
        <w:rPr>
          <w:i/>
          <w:iCs/>
          <w:vertAlign w:val="subscript"/>
        </w:rPr>
        <w:t>0</w:t>
      </w:r>
      <w:r>
        <w:rPr>
          <w:i/>
          <w:iCs/>
        </w:rPr>
        <w:t>,b</w:t>
      </w:r>
      <w:r>
        <w:rPr>
          <w:i/>
          <w:iCs/>
          <w:vertAlign w:val="subscript"/>
        </w:rPr>
        <w:t>0</w:t>
      </w:r>
      <w:r>
        <w:rPr/>
        <w:t xml:space="preserve">)  with the radius of 3.5 arcmin, </w:t>
        <w:tab/>
        <w:t xml:space="preserve">   the beam of Arecibo telescope.</w:t>
      </w:r>
    </w:p>
    <w:p>
      <w:pPr>
        <w:pStyle w:val="Normal"/>
        <w:rPr/>
      </w:pPr>
      <w:r>
        <w:rPr/>
        <w:tab/>
        <w:t>- Find the pixels within the area.</w:t>
      </w:r>
    </w:p>
    <w:p>
      <w:pPr>
        <w:pStyle w:val="Normal"/>
        <w:rPr/>
      </w:pPr>
      <w:r>
        <w:rPr/>
        <w:tab/>
        <w:t xml:space="preserve">- Get the value of optical depth </w:t>
      </w:r>
      <w:r>
        <w:rPr>
          <w:rFonts w:cs="Liberation Serif"/>
          <w:i/>
          <w:iCs/>
        </w:rPr>
        <w:t>τ</w:t>
      </w:r>
      <w:r>
        <w:rPr>
          <w:rFonts w:cs="Liberation Serif"/>
          <w:i/>
          <w:iCs/>
          <w:vertAlign w:val="subscript"/>
        </w:rPr>
        <w:t>353</w:t>
      </w:r>
      <w:r>
        <w:rPr/>
        <w:t xml:space="preserve"> in each pixel.</w:t>
      </w:r>
    </w:p>
    <w:p>
      <w:pPr>
        <w:pStyle w:val="Normal"/>
        <w:rPr/>
      </w:pPr>
      <w:r>
        <w:rPr/>
        <w:tab/>
        <w:t xml:space="preserve">- Take the average of all </w:t>
      </w:r>
      <w:r>
        <w:rPr>
          <w:rFonts w:cs="Liberation Serif"/>
          <w:i/>
          <w:iCs/>
        </w:rPr>
        <w:t>τ</w:t>
      </w:r>
      <w:r>
        <w:rPr>
          <w:rFonts w:cs="Liberation Serif"/>
          <w:i/>
          <w:iCs/>
          <w:vertAlign w:val="subscript"/>
        </w:rPr>
        <w:t>353</w:t>
      </w:r>
      <w:r>
        <w:rPr/>
        <w:t xml:space="preserve"> values, and this is the value of </w:t>
      </w:r>
      <w:r>
        <w:rPr>
          <w:rFonts w:cs="Liberation Serif"/>
          <w:i/>
          <w:iCs/>
        </w:rPr>
        <w:t>τ</w:t>
      </w:r>
      <w:r>
        <w:rPr>
          <w:rFonts w:cs="Liberation Serif"/>
          <w:i/>
          <w:iCs/>
          <w:vertAlign w:val="subscript"/>
        </w:rPr>
        <w:t xml:space="preserve">353  </w:t>
      </w:r>
      <w:r>
        <w:rPr>
          <w:rFonts w:cs="Liberation Serif"/>
        </w:rPr>
        <w:t>obtained</w:t>
      </w:r>
      <w:r>
        <w:rPr/>
        <w:t>.</w:t>
      </w:r>
    </w:p>
    <w:p>
      <w:pPr>
        <w:pStyle w:val="Normal"/>
        <w:rPr/>
      </w:pPr>
      <w:r>
        <w:rPr/>
      </w:r>
    </w:p>
    <w:p>
      <w:pPr>
        <w:pStyle w:val="Normal"/>
        <w:spacing w:before="0" w:after="283"/>
        <w:rPr/>
      </w:pPr>
      <w:r>
        <w:rPr/>
        <w:t xml:space="preserve">- The </w:t>
      </w:r>
      <w:r>
        <w:rPr>
          <w:rFonts w:cs="Liberation Serif"/>
          <w:i/>
          <w:iCs/>
        </w:rPr>
        <w:t>τ</w:t>
      </w:r>
      <w:r>
        <w:rPr>
          <w:i/>
          <w:iCs/>
          <w:vertAlign w:val="subscript"/>
        </w:rPr>
        <w:t>353</w:t>
      </w:r>
      <w:r>
        <w:rPr>
          <w:vertAlign w:val="subscript"/>
        </w:rPr>
        <w:t xml:space="preserve"> </w:t>
      </w:r>
      <w:r>
        <w:rPr/>
        <w:t>error for each point source will similarly be calculated.</w:t>
      </w:r>
    </w:p>
    <w:p>
      <w:pPr>
        <w:pStyle w:val="Normal"/>
        <w:spacing w:before="0" w:after="283"/>
        <w:rPr/>
      </w:pPr>
      <w:r>
        <w:drawing>
          <wp:anchor behindDoc="0" distT="0" distB="0" distL="0" distR="0" simplePos="0" locked="0" layoutInCell="1" allowOverlap="1" relativeHeight="11">
            <wp:simplePos x="0" y="0"/>
            <wp:positionH relativeFrom="column">
              <wp:posOffset>3768090</wp:posOffset>
            </wp:positionH>
            <wp:positionV relativeFrom="paragraph">
              <wp:posOffset>147320</wp:posOffset>
            </wp:positionV>
            <wp:extent cx="1905000" cy="1812925"/>
            <wp:effectExtent l="0" t="0" r="0" b="0"/>
            <wp:wrapNone/>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2"/>
                    <a:stretch>
                      <a:fillRect/>
                    </a:stretch>
                  </pic:blipFill>
                  <pic:spPr bwMode="auto">
                    <a:xfrm>
                      <a:off x="0" y="0"/>
                      <a:ext cx="1905000" cy="1812925"/>
                    </a:xfrm>
                    <a:prstGeom prst="rect">
                      <a:avLst/>
                    </a:prstGeom>
                  </pic:spPr>
                </pic:pic>
              </a:graphicData>
            </a:graphic>
          </wp:anchor>
        </w:drawing>
      </w:r>
      <w:r>
        <w:rPr/>
        <w:t>-</w:t>
      </w:r>
      <w:r>
        <w:rPr/>
        <w:t xml:space="preserve"> Examples are shown in figure ??</w:t>
      </w:r>
    </w:p>
    <w:p>
      <w:pPr>
        <w:pStyle w:val="Normal"/>
        <w:spacing w:before="0" w:after="283"/>
        <w:rPr/>
      </w:pPr>
      <w:r>
        <w:rPr/>
        <w:drawing>
          <wp:anchor behindDoc="0" distT="0" distB="7620" distL="0" distR="0" simplePos="0" locked="0" layoutInCell="1" allowOverlap="1" relativeHeight="9">
            <wp:simplePos x="0" y="0"/>
            <wp:positionH relativeFrom="column">
              <wp:posOffset>-635</wp:posOffset>
            </wp:positionH>
            <wp:positionV relativeFrom="paragraph">
              <wp:posOffset>-95250</wp:posOffset>
            </wp:positionV>
            <wp:extent cx="1739900" cy="1668780"/>
            <wp:effectExtent l="0" t="0" r="0" b="0"/>
            <wp:wrapNone/>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3"/>
                    <a:stretch>
                      <a:fillRect/>
                    </a:stretch>
                  </pic:blipFill>
                  <pic:spPr bwMode="auto">
                    <a:xfrm>
                      <a:off x="0" y="0"/>
                      <a:ext cx="1739900" cy="1668780"/>
                    </a:xfrm>
                    <a:prstGeom prst="rect">
                      <a:avLst/>
                    </a:prstGeom>
                  </pic:spPr>
                </pic:pic>
              </a:graphicData>
            </a:graphic>
          </wp:anchor>
        </w:drawing>
        <w:drawing>
          <wp:anchor behindDoc="0" distT="0" distB="0" distL="0" distR="2540" simplePos="0" locked="0" layoutInCell="1" allowOverlap="1" relativeHeight="10">
            <wp:simplePos x="0" y="0"/>
            <wp:positionH relativeFrom="column">
              <wp:posOffset>1788160</wp:posOffset>
            </wp:positionH>
            <wp:positionV relativeFrom="paragraph">
              <wp:posOffset>-146050</wp:posOffset>
            </wp:positionV>
            <wp:extent cx="1807210" cy="1720215"/>
            <wp:effectExtent l="0" t="0" r="0" b="0"/>
            <wp:wrapNone/>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4"/>
                    <a:stretch>
                      <a:fillRect/>
                    </a:stretch>
                  </pic:blipFill>
                  <pic:spPr bwMode="auto">
                    <a:xfrm>
                      <a:off x="0" y="0"/>
                      <a:ext cx="1807210" cy="1720215"/>
                    </a:xfrm>
                    <a:prstGeom prst="rect">
                      <a:avLst/>
                    </a:prstGeom>
                  </pic:spPr>
                </pic:pic>
              </a:graphicData>
            </a:graphic>
          </wp:anchor>
        </w:drawing>
      </w:r>
    </w:p>
    <w:p>
      <w:pPr>
        <w:pStyle w:val="Normal"/>
        <w:spacing w:before="0" w:after="283"/>
        <w:rPr/>
      </w:pPr>
      <w:r>
        <w:rPr/>
      </w:r>
    </w:p>
    <w:p>
      <w:pPr>
        <w:pStyle w:val="Normal"/>
        <w:spacing w:before="0" w:after="283"/>
        <w:rPr/>
      </w:pPr>
      <w:r>
        <w:rPr/>
      </w:r>
    </w:p>
    <w:p>
      <w:pPr>
        <w:pStyle w:val="Normal"/>
        <w:spacing w:before="0" w:after="283"/>
        <w:rPr/>
      </w:pPr>
      <w:r>
        <w:rPr/>
      </w:r>
    </w:p>
    <w:p>
      <w:pPr>
        <w:pStyle w:val="Normal"/>
        <w:rPr/>
      </w:pPr>
      <w:r>
        <w:rPr/>
      </w:r>
    </w:p>
    <w:p>
      <w:pPr>
        <w:pStyle w:val="Normal"/>
        <w:rPr/>
      </w:pPr>
      <w:r>
        <w:rPr/>
        <w:drawing>
          <wp:anchor behindDoc="0" distT="0" distB="6350" distL="0" distR="0" simplePos="0" locked="0" layoutInCell="1" allowOverlap="1" relativeHeight="12">
            <wp:simplePos x="0" y="0"/>
            <wp:positionH relativeFrom="column">
              <wp:posOffset>-32385</wp:posOffset>
            </wp:positionH>
            <wp:positionV relativeFrom="paragraph">
              <wp:posOffset>106045</wp:posOffset>
            </wp:positionV>
            <wp:extent cx="1814830" cy="1727200"/>
            <wp:effectExtent l="0" t="0" r="0" b="0"/>
            <wp:wrapNone/>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5"/>
                    <a:stretch>
                      <a:fillRect/>
                    </a:stretch>
                  </pic:blipFill>
                  <pic:spPr bwMode="auto">
                    <a:xfrm>
                      <a:off x="0" y="0"/>
                      <a:ext cx="1814830" cy="1727200"/>
                    </a:xfrm>
                    <a:prstGeom prst="rect">
                      <a:avLst/>
                    </a:prstGeom>
                  </pic:spPr>
                </pic:pic>
              </a:graphicData>
            </a:graphic>
          </wp:anchor>
        </w:drawing>
        <w:drawing>
          <wp:anchor behindDoc="0" distT="0" distB="8255" distL="0" distR="1270" simplePos="0" locked="0" layoutInCell="1" allowOverlap="1" relativeHeight="13">
            <wp:simplePos x="0" y="0"/>
            <wp:positionH relativeFrom="column">
              <wp:posOffset>1884680</wp:posOffset>
            </wp:positionH>
            <wp:positionV relativeFrom="paragraph">
              <wp:posOffset>153670</wp:posOffset>
            </wp:positionV>
            <wp:extent cx="1732280" cy="1649095"/>
            <wp:effectExtent l="0" t="0" r="0" b="0"/>
            <wp:wrapNone/>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16"/>
                    <a:stretch>
                      <a:fillRect/>
                    </a:stretch>
                  </pic:blipFill>
                  <pic:spPr bwMode="auto">
                    <a:xfrm>
                      <a:off x="0" y="0"/>
                      <a:ext cx="1732280" cy="164909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3759200</wp:posOffset>
            </wp:positionH>
            <wp:positionV relativeFrom="paragraph">
              <wp:posOffset>95250</wp:posOffset>
            </wp:positionV>
            <wp:extent cx="1837690" cy="1742440"/>
            <wp:effectExtent l="0" t="0" r="0" b="0"/>
            <wp:wrapNone/>
            <wp:docPr id="1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
                    <pic:cNvPicPr>
                      <a:picLocks noChangeAspect="1" noChangeArrowheads="1"/>
                    </pic:cNvPicPr>
                  </pic:nvPicPr>
                  <pic:blipFill>
                    <a:blip r:embed="rId17"/>
                    <a:stretch>
                      <a:fillRect/>
                    </a:stretch>
                  </pic:blipFill>
                  <pic:spPr bwMode="auto">
                    <a:xfrm>
                      <a:off x="0" y="0"/>
                      <a:ext cx="1837690" cy="17424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i/>
        </w:rPr>
        <w:t xml:space="preserve">Figure ??: Patches of </w:t>
      </w:r>
      <w:r>
        <w:rPr>
          <w:rFonts w:cs="Liberation Serif"/>
          <w:i/>
          <w:iCs/>
        </w:rPr>
        <w:t>τ</w:t>
      </w:r>
      <w:r>
        <w:rPr>
          <w:rFonts w:cs="Liberation Serif"/>
          <w:i/>
          <w:iCs/>
          <w:vertAlign w:val="subscript"/>
        </w:rPr>
        <w:t xml:space="preserve">353  </w:t>
      </w:r>
      <w:r>
        <w:rPr>
          <w:rFonts w:cs="Liberation Serif"/>
          <w:i/>
        </w:rPr>
        <w:t>map</w:t>
      </w:r>
      <w:r>
        <w:rPr>
          <w:rFonts w:cs="Liberation Serif"/>
          <w:i/>
          <w:iCs/>
        </w:rPr>
        <w:t xml:space="preserve"> </w:t>
      </w:r>
      <w:r>
        <w:rPr>
          <w:i/>
        </w:rPr>
        <w:t xml:space="preserve">around point-sources showing the pixels within the round area of 3.5 arcminutes. </w:t>
      </w:r>
    </w:p>
    <w:p>
      <w:pPr>
        <w:pStyle w:val="Normal"/>
        <w:rPr/>
      </w:pPr>
      <w:r>
        <w:rPr/>
      </w:r>
    </w:p>
    <w:p>
      <w:pPr>
        <w:pStyle w:val="Normal"/>
        <w:rPr/>
      </w:pPr>
      <w:r>
        <w:rPr/>
      </w:r>
    </w:p>
    <w:p>
      <w:pPr>
        <w:pStyle w:val="Normal"/>
        <w:rPr/>
      </w:pPr>
      <w:r>
        <w:rPr/>
        <w:t xml:space="preserve">- The errors of the whole </w:t>
      </w:r>
      <w:r>
        <w:rPr>
          <w:rFonts w:cs="Liberation Serif"/>
          <w:i/>
          <w:iCs/>
        </w:rPr>
        <w:t>τ</w:t>
      </w:r>
      <w:r>
        <w:rPr>
          <w:rFonts w:cs="Liberation Serif"/>
          <w:i/>
          <w:iCs/>
          <w:vertAlign w:val="subscript"/>
        </w:rPr>
        <w:t>353</w:t>
      </w:r>
      <w:r>
        <w:rPr/>
        <w:t xml:space="preserve"> map are ~ 5%, see the figure below:</w:t>
      </w:r>
    </w:p>
    <w:p>
      <w:pPr>
        <w:pStyle w:val="Normal"/>
        <w:rPr/>
      </w:pPr>
      <w:r>
        <w:rPr/>
        <w:drawing>
          <wp:anchor behindDoc="0" distT="0" distB="0" distL="0" distR="0" simplePos="0" locked="0" layoutInCell="1" allowOverlap="1" relativeHeight="24">
            <wp:simplePos x="0" y="0"/>
            <wp:positionH relativeFrom="column">
              <wp:posOffset>1015365</wp:posOffset>
            </wp:positionH>
            <wp:positionV relativeFrom="paragraph">
              <wp:posOffset>67310</wp:posOffset>
            </wp:positionV>
            <wp:extent cx="4027170" cy="2844165"/>
            <wp:effectExtent l="0" t="0" r="0" b="0"/>
            <wp:wrapNone/>
            <wp:docPr id="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
                    <pic:cNvPicPr>
                      <a:picLocks noChangeAspect="1" noChangeArrowheads="1"/>
                    </pic:cNvPicPr>
                  </pic:nvPicPr>
                  <pic:blipFill>
                    <a:blip r:embed="rId18"/>
                    <a:stretch>
                      <a:fillRect/>
                    </a:stretch>
                  </pic:blipFill>
                  <pic:spPr bwMode="auto">
                    <a:xfrm>
                      <a:off x="0" y="0"/>
                      <a:ext cx="4027170" cy="28441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i/>
        </w:rPr>
        <w:tab/>
        <w:tab/>
        <w:tab/>
        <w:t xml:space="preserve">Figure ??:  Errors of the </w:t>
      </w:r>
      <w:r>
        <w:rPr>
          <w:rFonts w:cs="Liberation Serif"/>
          <w:i/>
          <w:iCs/>
        </w:rPr>
        <w:t>τ</w:t>
      </w:r>
      <w:r>
        <w:rPr>
          <w:rFonts w:cs="Liberation Serif"/>
          <w:i/>
          <w:iCs/>
          <w:vertAlign w:val="subscript"/>
        </w:rPr>
        <w:t>353</w:t>
      </w:r>
      <w:r>
        <w:rPr>
          <w:i/>
          <w:iCs/>
        </w:rPr>
        <w:t xml:space="preserve"> </w:t>
      </w:r>
      <w:r>
        <w:rPr>
          <w:i/>
        </w:rPr>
        <w:t>map</w:t>
      </w:r>
    </w:p>
    <w:p>
      <w:pPr>
        <w:pStyle w:val="Normal"/>
        <w:rPr/>
      </w:pPr>
      <w:r>
        <w:rPr/>
      </w:r>
    </w:p>
    <w:p>
      <w:pPr>
        <w:pStyle w:val="Normal"/>
        <w:rPr/>
      </w:pPr>
      <w:r>
        <w:rPr/>
        <w:t>- Along 26 lines-of-sight without CO, I see that :</w:t>
      </w:r>
    </w:p>
    <w:p>
      <w:pPr>
        <w:pStyle w:val="Normal"/>
        <w:rPr/>
      </w:pPr>
      <w:r>
        <w:rPr/>
        <w:tab/>
        <w:t xml:space="preserve">+ If use Planck conversion factor, </w:t>
      </w:r>
      <w:r>
        <w:rPr>
          <w:i/>
          <w:iCs/>
        </w:rPr>
        <w:t>N</w:t>
      </w:r>
      <w:r>
        <w:rPr>
          <w:i/>
          <w:iCs/>
          <w:vertAlign w:val="subscript"/>
        </w:rPr>
        <w:t>H</w:t>
      </w:r>
      <w:r>
        <w:rPr/>
        <w:t xml:space="preserve"> values obtained are closed to Heiles &amp; Troland </w:t>
      </w:r>
      <w:r>
        <w:rPr>
          <w:i/>
        </w:rPr>
        <w:t>N</w:t>
      </w:r>
      <w:r>
        <w:rPr>
          <w:i/>
          <w:vertAlign w:val="subscript"/>
        </w:rPr>
        <w:t>HI</w:t>
      </w:r>
      <w:r>
        <w:rPr/>
        <w:t xml:space="preserve"> values (the factor ~ 1.48).</w:t>
      </w:r>
    </w:p>
    <w:p>
      <w:pPr>
        <w:pStyle w:val="Normal"/>
        <w:rPr/>
      </w:pPr>
      <w:r>
        <w:rPr/>
        <w:tab/>
        <w:t xml:space="preserve">+ If use Fukui conversion factor, </w:t>
      </w:r>
      <w:r>
        <w:rPr>
          <w:i/>
          <w:iCs/>
        </w:rPr>
        <w:t>N</w:t>
      </w:r>
      <w:r>
        <w:rPr>
          <w:i/>
          <w:iCs/>
          <w:vertAlign w:val="subscript"/>
        </w:rPr>
        <w:t>H</w:t>
      </w:r>
      <w:r>
        <w:rPr/>
        <w:t xml:space="preserve"> values obtained are about double the Heiles &amp; Troland </w:t>
      </w:r>
      <w:r>
        <w:rPr>
          <w:i/>
          <w:iCs/>
        </w:rPr>
        <w:t>N</w:t>
      </w:r>
      <w:r>
        <w:rPr>
          <w:i/>
          <w:iCs/>
          <w:vertAlign w:val="subscript"/>
        </w:rPr>
        <w:t>HI</w:t>
      </w:r>
      <w:r>
        <w:rPr/>
        <w:t xml:space="preserve"> values (the factor ~ 2.31) as shown in below figure.</w:t>
      </w:r>
    </w:p>
    <w:p>
      <w:pPr>
        <w:pStyle w:val="Normal"/>
        <w:rPr/>
      </w:pPr>
      <w:r>
        <w:rPr/>
        <w:drawing>
          <wp:anchor behindDoc="0" distT="0" distB="0" distL="0" distR="4445" simplePos="0" locked="0" layoutInCell="1" allowOverlap="1" relativeHeight="15">
            <wp:simplePos x="0" y="0"/>
            <wp:positionH relativeFrom="column">
              <wp:posOffset>861695</wp:posOffset>
            </wp:positionH>
            <wp:positionV relativeFrom="paragraph">
              <wp:posOffset>166370</wp:posOffset>
            </wp:positionV>
            <wp:extent cx="4396105" cy="2575560"/>
            <wp:effectExtent l="0" t="0" r="0" b="0"/>
            <wp:wrapNone/>
            <wp:docPr id="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pic:cNvPicPr>
                      <a:picLocks noChangeAspect="1" noChangeArrowheads="1"/>
                    </pic:cNvPicPr>
                  </pic:nvPicPr>
                  <pic:blipFill>
                    <a:blip r:embed="rId19"/>
                    <a:stretch>
                      <a:fillRect/>
                    </a:stretch>
                  </pic:blipFill>
                  <pic:spPr bwMode="auto">
                    <a:xfrm>
                      <a:off x="0" y="0"/>
                      <a:ext cx="4396105" cy="2575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i/>
        </w:rPr>
        <w:t xml:space="preserve">Figure ??: Histogram of </w:t>
      </w:r>
      <w:r>
        <w:rPr>
          <w:i/>
          <w:iCs/>
        </w:rPr>
        <w:t>N</w:t>
      </w:r>
      <w:r>
        <w:rPr>
          <w:i/>
          <w:iCs/>
          <w:vertAlign w:val="subscript"/>
        </w:rPr>
        <w:t>H</w:t>
      </w:r>
      <w:r>
        <w:rPr>
          <w:i/>
          <w:iCs/>
        </w:rPr>
        <w:t>/N</w:t>
      </w:r>
      <w:r>
        <w:rPr>
          <w:i/>
          <w:iCs/>
          <w:vertAlign w:val="subscript"/>
        </w:rPr>
        <w:t>HI</w:t>
      </w:r>
      <w:r>
        <w:rPr>
          <w:i/>
        </w:rPr>
        <w:t xml:space="preserve"> along 26 sources without CO obtained from equations 1 and 2 for Fukui and Planck conversion factors respectively. The mean value of </w:t>
      </w:r>
      <w:r>
        <w:rPr>
          <w:i/>
          <w:iCs/>
        </w:rPr>
        <w:t>N</w:t>
      </w:r>
      <w:r>
        <w:rPr>
          <w:i/>
          <w:iCs/>
          <w:vertAlign w:val="subscript"/>
        </w:rPr>
        <w:t>H_Fukui</w:t>
      </w:r>
      <w:r>
        <w:rPr>
          <w:i/>
          <w:iCs/>
        </w:rPr>
        <w:t>/N</w:t>
      </w:r>
      <w:r>
        <w:rPr>
          <w:i/>
          <w:iCs/>
          <w:vertAlign w:val="subscript"/>
        </w:rPr>
        <w:t>HI</w:t>
      </w:r>
      <w:r>
        <w:rPr>
          <w:i/>
          <w:iCs/>
        </w:rPr>
        <w:t xml:space="preserve"> = 2.31 and N</w:t>
      </w:r>
      <w:r>
        <w:rPr>
          <w:i/>
          <w:iCs/>
          <w:vertAlign w:val="subscript"/>
        </w:rPr>
        <w:t>H_Dust</w:t>
      </w:r>
      <w:r>
        <w:rPr>
          <w:i/>
          <w:iCs/>
        </w:rPr>
        <w:t>/N</w:t>
      </w:r>
      <w:r>
        <w:rPr>
          <w:i/>
          <w:iCs/>
          <w:vertAlign w:val="subscript"/>
        </w:rPr>
        <w:t>HI</w:t>
      </w:r>
      <w:r>
        <w:rPr>
          <w:i/>
          <w:iCs/>
        </w:rPr>
        <w:t xml:space="preserve"> = 1.48</w:t>
      </w:r>
    </w:p>
    <w:p>
      <w:pPr>
        <w:pStyle w:val="Normal"/>
        <w:rPr/>
      </w:pPr>
      <w:r>
        <w:rPr/>
      </w:r>
    </w:p>
    <w:p>
      <w:pPr>
        <w:pStyle w:val="Normal"/>
        <w:rPr/>
      </w:pPr>
      <w:r>
        <w:rPr/>
      </w:r>
    </w:p>
    <w:p>
      <w:pPr>
        <w:pStyle w:val="Normal"/>
        <w:rPr/>
      </w:pPr>
      <w:r>
        <w:rPr/>
        <w:t xml:space="preserve">- Considering only 26 sources without the presence of CO, there is a agreement in Total Gas Column Density values </w:t>
      </w:r>
      <w:r>
        <w:rPr>
          <w:i/>
          <w:iCs/>
        </w:rPr>
        <w:t>N</w:t>
      </w:r>
      <w:r>
        <w:rPr>
          <w:i/>
          <w:iCs/>
          <w:vertAlign w:val="subscript"/>
        </w:rPr>
        <w:t>H</w:t>
      </w:r>
      <w:r>
        <w:rPr/>
        <w:t xml:space="preserve"> (</w:t>
      </w:r>
      <w:r>
        <w:rPr>
          <w:i/>
          <w:iCs/>
        </w:rPr>
        <w:t>N</w:t>
      </w:r>
      <w:r>
        <w:rPr>
          <w:i/>
          <w:iCs/>
          <w:vertAlign w:val="subscript"/>
        </w:rPr>
        <w:t>HI</w:t>
      </w:r>
      <w:r>
        <w:rPr/>
        <w:t xml:space="preserve"> in fact ) obtained from Millennium Survey and Planck data on thermal dust optical depth </w:t>
      </w:r>
      <w:r>
        <w:rPr>
          <w:rFonts w:cs="Liberation Serif"/>
          <w:i/>
          <w:iCs/>
        </w:rPr>
        <w:t>τ</w:t>
      </w:r>
      <w:r>
        <w:rPr>
          <w:i/>
          <w:iCs/>
          <w:vertAlign w:val="subscript"/>
        </w:rPr>
        <w:t>353</w:t>
      </w:r>
      <w:r>
        <w:rPr/>
        <w:t xml:space="preserve">. In the assumption of optically thick HI emission line that Fukui et al. 2015 made, the </w:t>
      </w:r>
      <w:r>
        <w:rPr>
          <w:i/>
          <w:iCs/>
        </w:rPr>
        <w:t>N</w:t>
      </w:r>
      <w:r>
        <w:rPr>
          <w:i/>
          <w:iCs/>
          <w:vertAlign w:val="subscript"/>
        </w:rPr>
        <w:t>H</w:t>
      </w:r>
      <w:r>
        <w:rPr/>
        <w:t xml:space="preserve"> calculated from 26 selected sources using their conversion factor is about twice higher.</w:t>
      </w:r>
    </w:p>
    <w:p>
      <w:pPr>
        <w:pStyle w:val="Normal"/>
        <w:rPr/>
      </w:pPr>
      <w:r>
        <w:rPr/>
      </w:r>
    </w:p>
    <w:p>
      <w:pPr>
        <w:pStyle w:val="Normal"/>
        <w:rPr/>
      </w:pPr>
      <w:r>
        <w:rPr/>
        <w:t>- I've just found some interesting information:</w:t>
      </w:r>
    </w:p>
    <w:p>
      <w:pPr>
        <w:pStyle w:val="Normal"/>
        <w:spacing w:before="0" w:after="283"/>
        <w:rPr/>
      </w:pPr>
      <w:r>
        <w:rPr/>
        <w:t xml:space="preserve">1. The distribution of </w:t>
      </w:r>
      <w:r>
        <w:rPr>
          <w:i/>
        </w:rPr>
        <w:t>N</w:t>
      </w:r>
      <w:r>
        <w:rPr>
          <w:i/>
          <w:vertAlign w:val="subscript"/>
        </w:rPr>
        <w:t>HI_Fukui</w:t>
      </w:r>
      <w:r>
        <w:rPr/>
        <w:t>/</w:t>
      </w:r>
      <w:r>
        <w:rPr>
          <w:i/>
        </w:rPr>
        <w:t>N</w:t>
      </w:r>
      <w:r>
        <w:rPr>
          <w:i/>
          <w:vertAlign w:val="subscript"/>
        </w:rPr>
        <w:t>HI_Heiles</w:t>
      </w:r>
      <w:r>
        <w:rPr/>
        <w:t xml:space="preserve"> that I computed is comparable to that from the paper Fuikui et al. 2015, both of them are about 1.0-3.0. Please see the figure below. </w:t>
      </w:r>
    </w:p>
    <w:p>
      <w:pPr>
        <w:pStyle w:val="Normal"/>
        <w:spacing w:before="0" w:after="283"/>
        <w:rPr/>
      </w:pPr>
      <w:r>
        <w:rPr/>
        <w:t>(Jo: Hmm... I guess this doesn't seem too surprising, considering that our sub-sample of sight lines in this HI-only analysis tends to be dominated by warm HI (is that right?). i.e. the N(HI)_heiles values are not vastly different from the optically thin HI values? Then the ratio of N(HI_fukui)/N(HI)_thin shouldn't be too different to N(HI_fukui)/N(HI)_heiles.)</w:t>
      </w:r>
    </w:p>
    <w:p>
      <w:pPr>
        <w:pStyle w:val="Normal"/>
        <w:spacing w:before="0" w:after="283"/>
        <w:rPr/>
      </w:pPr>
      <w:r>
        <w:rPr/>
        <w:drawing>
          <wp:anchor behindDoc="0" distT="0" distB="5715" distL="0" distR="0" simplePos="0" locked="0" layoutInCell="1" allowOverlap="1" relativeHeight="16">
            <wp:simplePos x="0" y="0"/>
            <wp:positionH relativeFrom="column">
              <wp:posOffset>-33655</wp:posOffset>
            </wp:positionH>
            <wp:positionV relativeFrom="paragraph">
              <wp:posOffset>-41910</wp:posOffset>
            </wp:positionV>
            <wp:extent cx="6117590" cy="2699385"/>
            <wp:effectExtent l="0" t="0" r="0" b="0"/>
            <wp:wrapNone/>
            <wp:docPr id="1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
                    <pic:cNvPicPr>
                      <a:picLocks noChangeAspect="1" noChangeArrowheads="1"/>
                    </pic:cNvPicPr>
                  </pic:nvPicPr>
                  <pic:blipFill>
                    <a:blip r:embed="rId20"/>
                    <a:stretch>
                      <a:fillRect/>
                    </a:stretch>
                  </pic:blipFill>
                  <pic:spPr bwMode="auto">
                    <a:xfrm>
                      <a:off x="0" y="0"/>
                      <a:ext cx="6117590" cy="2699385"/>
                    </a:xfrm>
                    <a:prstGeom prst="rect">
                      <a:avLst/>
                    </a:prstGeom>
                  </pic:spPr>
                </pic:pic>
              </a:graphicData>
            </a:graphic>
          </wp:anchor>
        </w:drawing>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rPr/>
      </w:pPr>
      <w:r>
        <w:rPr/>
        <w:t xml:space="preserve">Yes, that's right, the sub-sample (26 sources) is dominated by Warm HI. There are 19/26 light-of-sights having </w:t>
      </w:r>
      <w:r>
        <w:rPr>
          <w:i/>
        </w:rPr>
        <w:t>N</w:t>
      </w:r>
      <w:r>
        <w:rPr>
          <w:i/>
          <w:vertAlign w:val="subscript"/>
        </w:rPr>
        <w:t>HI_Warm</w:t>
      </w:r>
      <w:r>
        <w:rPr/>
        <w:t xml:space="preserve"> &gt; </w:t>
      </w:r>
      <w:r>
        <w:rPr>
          <w:i/>
        </w:rPr>
        <w:t>N</w:t>
      </w:r>
      <w:r>
        <w:rPr>
          <w:i/>
          <w:vertAlign w:val="subscript"/>
        </w:rPr>
        <w:t>HI_Cold</w:t>
      </w:r>
      <w:r>
        <w:rPr/>
        <w:t xml:space="preserve">, and so 7/26 sources with </w:t>
      </w:r>
      <w:r>
        <w:rPr>
          <w:i/>
        </w:rPr>
        <w:t>N</w:t>
      </w:r>
      <w:r>
        <w:rPr>
          <w:i/>
          <w:vertAlign w:val="subscript"/>
        </w:rPr>
        <w:t>HI_Warm</w:t>
      </w:r>
      <w:r>
        <w:rPr/>
        <w:t xml:space="preserve"> &lt; </w:t>
      </w:r>
      <w:r>
        <w:rPr>
          <w:i/>
        </w:rPr>
        <w:t>N</w:t>
      </w:r>
      <w:r>
        <w:rPr>
          <w:i/>
          <w:vertAlign w:val="subscript"/>
        </w:rPr>
        <w:t>HI_Cold</w:t>
      </w:r>
      <w:r>
        <w:rPr/>
        <w:t xml:space="preserve">. </w:t>
      </w:r>
      <w:r>
        <w:rPr>
          <w:i/>
        </w:rPr>
        <w:t>(Please see figure ??)</w:t>
      </w:r>
      <w:r>
        <w:rPr/>
        <w:t>. In this figure, I just want to check if I'm correct.</w:t>
      </w:r>
    </w:p>
    <w:p>
      <w:pPr>
        <w:pStyle w:val="Normal"/>
        <w:spacing w:before="0" w:after="283"/>
        <w:rPr/>
      </w:pPr>
      <w:r>
        <w:rPr/>
        <w:drawing>
          <wp:anchor behindDoc="0" distT="0" distB="0" distL="0" distR="0" simplePos="0" locked="0" layoutInCell="1" allowOverlap="1" relativeHeight="17">
            <wp:simplePos x="0" y="0"/>
            <wp:positionH relativeFrom="column">
              <wp:posOffset>185420</wp:posOffset>
            </wp:positionH>
            <wp:positionV relativeFrom="paragraph">
              <wp:posOffset>132715</wp:posOffset>
            </wp:positionV>
            <wp:extent cx="4998720" cy="2484755"/>
            <wp:effectExtent l="0" t="0" r="0" b="0"/>
            <wp:wrapSquare wrapText="largest"/>
            <wp:docPr id="1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
                    <pic:cNvPicPr>
                      <a:picLocks noChangeAspect="1" noChangeArrowheads="1"/>
                    </pic:cNvPicPr>
                  </pic:nvPicPr>
                  <pic:blipFill>
                    <a:blip r:embed="rId21"/>
                    <a:stretch>
                      <a:fillRect/>
                    </a:stretch>
                  </pic:blipFill>
                  <pic:spPr bwMode="auto">
                    <a:xfrm>
                      <a:off x="0" y="0"/>
                      <a:ext cx="4998720" cy="2484755"/>
                    </a:xfrm>
                    <a:prstGeom prst="rect">
                      <a:avLst/>
                    </a:prstGeom>
                  </pic:spPr>
                </pic:pic>
              </a:graphicData>
            </a:graphic>
          </wp:anchor>
        </w:drawing>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i/>
          <w:i/>
        </w:rPr>
      </w:pPr>
      <w:r>
        <w:rPr>
          <w:i/>
        </w:rPr>
        <w:t xml:space="preserve">Figure ??: Comparison between </w:t>
      </w:r>
      <w:r>
        <w:rPr>
          <w:i/>
          <w:iCs/>
        </w:rPr>
        <w:t>N</w:t>
      </w:r>
      <w:r>
        <w:rPr>
          <w:i/>
          <w:iCs/>
          <w:vertAlign w:val="subscript"/>
        </w:rPr>
        <w:t>CNM</w:t>
      </w:r>
      <w:r>
        <w:rPr>
          <w:i/>
        </w:rPr>
        <w:t xml:space="preserve"> and </w:t>
      </w:r>
      <w:r>
        <w:rPr>
          <w:i/>
          <w:iCs/>
        </w:rPr>
        <w:t>N</w:t>
      </w:r>
      <w:r>
        <w:rPr>
          <w:i/>
          <w:iCs/>
          <w:vertAlign w:val="subscript"/>
        </w:rPr>
        <w:t>WNM</w:t>
      </w:r>
      <w:r>
        <w:rPr>
          <w:i/>
          <w:iCs/>
        </w:rPr>
        <w:t>.</w:t>
      </w:r>
    </w:p>
    <w:p>
      <w:pPr>
        <w:pStyle w:val="Normal"/>
        <w:spacing w:before="0" w:after="283"/>
        <w:rPr/>
      </w:pPr>
      <w:r>
        <w:rPr/>
        <w:t xml:space="preserve">2. I calculated </w:t>
      </w:r>
      <w:r>
        <w:rPr>
          <w:i/>
          <w:iCs/>
        </w:rPr>
        <w:t>f = N</w:t>
      </w:r>
      <w:r>
        <w:rPr>
          <w:i/>
          <w:iCs/>
          <w:vertAlign w:val="subscript"/>
        </w:rPr>
        <w:t>H_planck</w:t>
      </w:r>
      <w:r>
        <w:rPr>
          <w:i/>
          <w:iCs/>
        </w:rPr>
        <w:t>/N</w:t>
      </w:r>
      <w:r>
        <w:rPr>
          <w:i/>
          <w:iCs/>
          <w:vertAlign w:val="subscript"/>
        </w:rPr>
        <w:t>HI</w:t>
      </w:r>
      <w:r>
        <w:rPr/>
        <w:t xml:space="preserve"> then I plot: </w:t>
      </w:r>
      <w:r>
        <w:rPr>
          <w:i/>
        </w:rPr>
        <w:t>f vs N</w:t>
      </w:r>
      <w:r>
        <w:rPr>
          <w:i/>
          <w:vertAlign w:val="subscript"/>
        </w:rPr>
        <w:t>HI</w:t>
      </w:r>
      <w:r>
        <w:rPr/>
        <w:t xml:space="preserve">. It seems that there is a linear relation between them </w:t>
      </w:r>
      <w:r>
        <w:rPr>
          <w:i/>
          <w:iCs/>
        </w:rPr>
        <w:t>f</w:t>
      </w:r>
      <w:r>
        <w:rPr/>
        <w:t xml:space="preserve"> and N</w:t>
      </w:r>
      <w:r>
        <w:rPr>
          <w:vertAlign w:val="subscript"/>
        </w:rPr>
        <w:t xml:space="preserve">HI </w:t>
      </w:r>
      <w:r>
        <w:rPr/>
        <w:t>as illustrated in</w:t>
      </w:r>
      <w:r>
        <w:rPr>
          <w:vertAlign w:val="subscript"/>
        </w:rPr>
        <w:t xml:space="preserve"> </w:t>
      </w:r>
      <w:r>
        <w:rPr/>
        <w:t>the figures below:</w:t>
      </w:r>
    </w:p>
    <w:p>
      <w:pPr>
        <w:pStyle w:val="Normal"/>
        <w:spacing w:before="0" w:after="283"/>
        <w:rPr/>
      </w:pPr>
      <w:r>
        <w:rPr/>
        <w:drawing>
          <wp:anchor behindDoc="0" distT="0" distB="8255" distL="0" distR="0" simplePos="0" locked="0" layoutInCell="1" allowOverlap="1" relativeHeight="18">
            <wp:simplePos x="0" y="0"/>
            <wp:positionH relativeFrom="column">
              <wp:align>center</wp:align>
            </wp:positionH>
            <wp:positionV relativeFrom="paragraph">
              <wp:posOffset>179705</wp:posOffset>
            </wp:positionV>
            <wp:extent cx="4974590" cy="2658745"/>
            <wp:effectExtent l="0" t="0" r="0" b="0"/>
            <wp:wrapNone/>
            <wp:docPr id="1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
                    <pic:cNvPicPr>
                      <a:picLocks noChangeAspect="1" noChangeArrowheads="1"/>
                    </pic:cNvPicPr>
                  </pic:nvPicPr>
                  <pic:blipFill>
                    <a:blip r:embed="rId22"/>
                    <a:stretch>
                      <a:fillRect/>
                    </a:stretch>
                  </pic:blipFill>
                  <pic:spPr bwMode="auto">
                    <a:xfrm>
                      <a:off x="0" y="0"/>
                      <a:ext cx="4974590" cy="2658745"/>
                    </a:xfrm>
                    <a:prstGeom prst="rect">
                      <a:avLst/>
                    </a:prstGeom>
                  </pic:spPr>
                </pic:pic>
              </a:graphicData>
            </a:graphic>
          </wp:anchor>
        </w:drawing>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t xml:space="preserve">Figure ??: The ratio </w:t>
      </w:r>
      <w:r>
        <w:rPr>
          <w:i/>
          <w:iCs/>
        </w:rPr>
        <w:t>f = N</w:t>
      </w:r>
      <w:r>
        <w:rPr>
          <w:i/>
          <w:iCs/>
          <w:vertAlign w:val="subscript"/>
        </w:rPr>
        <w:t>H</w:t>
      </w:r>
      <w:r>
        <w:rPr>
          <w:i/>
          <w:iCs/>
        </w:rPr>
        <w:t xml:space="preserve"> /N</w:t>
      </w:r>
      <w:r>
        <w:rPr>
          <w:i/>
          <w:iCs/>
          <w:vertAlign w:val="subscript"/>
        </w:rPr>
        <w:t>HI</w:t>
      </w:r>
      <w:r>
        <w:rPr/>
        <w:t xml:space="preserve"> as a function of log</w:t>
      </w:r>
      <w:r>
        <w:rPr>
          <w:vertAlign w:val="subscript"/>
        </w:rPr>
        <w:t>10</w:t>
      </w:r>
      <w:r>
        <w:rPr/>
        <w:t>(N</w:t>
      </w:r>
      <w:r>
        <w:rPr>
          <w:vertAlign w:val="subscript"/>
        </w:rPr>
        <w:t>HI</w:t>
      </w:r>
      <w:r>
        <w:rPr/>
        <w:t>/10</w:t>
      </w:r>
      <w:r>
        <w:rPr>
          <w:vertAlign w:val="superscript"/>
        </w:rPr>
        <w:t>20</w:t>
      </w:r>
      <w:r>
        <w:rPr/>
        <w:t xml:space="preserve"> cm</w:t>
      </w:r>
      <w:r>
        <w:rPr>
          <w:vertAlign w:val="superscript"/>
        </w:rPr>
        <w:t>-2</w:t>
      </w:r>
      <w:r>
        <w:rPr/>
        <w:t>). The linear fit determined for 26 data points without the presence of CO is indicated as red line.</w:t>
      </w:r>
    </w:p>
    <w:p>
      <w:pPr>
        <w:pStyle w:val="Normal"/>
        <w:spacing w:before="0" w:after="283"/>
        <w:rPr/>
      </w:pPr>
      <w:r>
        <w:rPr/>
        <w:drawing>
          <wp:anchor behindDoc="0" distT="0" distB="3175" distL="0" distR="0" simplePos="0" locked="0" layoutInCell="1" allowOverlap="1" relativeHeight="19">
            <wp:simplePos x="0" y="0"/>
            <wp:positionH relativeFrom="column">
              <wp:posOffset>223520</wp:posOffset>
            </wp:positionH>
            <wp:positionV relativeFrom="paragraph">
              <wp:posOffset>132715</wp:posOffset>
            </wp:positionV>
            <wp:extent cx="5375910" cy="2873375"/>
            <wp:effectExtent l="0" t="0" r="0" b="0"/>
            <wp:wrapSquare wrapText="largest"/>
            <wp:docPr id="2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
                    <pic:cNvPicPr>
                      <a:picLocks noChangeAspect="1" noChangeArrowheads="1"/>
                    </pic:cNvPicPr>
                  </pic:nvPicPr>
                  <pic:blipFill>
                    <a:blip r:embed="rId23"/>
                    <a:stretch>
                      <a:fillRect/>
                    </a:stretch>
                  </pic:blipFill>
                  <pic:spPr bwMode="auto">
                    <a:xfrm>
                      <a:off x="0" y="0"/>
                      <a:ext cx="5375910" cy="2873375"/>
                    </a:xfrm>
                    <a:prstGeom prst="rect">
                      <a:avLst/>
                    </a:prstGeom>
                  </pic:spPr>
                </pic:pic>
              </a:graphicData>
            </a:graphic>
          </wp:anchor>
        </w:drawing>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r>
    </w:p>
    <w:p>
      <w:pPr>
        <w:pStyle w:val="Normal"/>
        <w:spacing w:before="0" w:after="283"/>
        <w:rPr/>
      </w:pPr>
      <w:r>
        <w:rPr/>
        <w:t>Figure ??: Same as Figure ?? above but only for Cold Neutral Medium. The linear fit is indicated as red line.</w:t>
      </w:r>
    </w:p>
    <w:p>
      <w:pPr>
        <w:pStyle w:val="Normal"/>
        <w:spacing w:before="0" w:after="283"/>
        <w:rPr/>
      </w:pPr>
      <w:r>
        <w:rPr/>
        <w:t>(First thoughts: there is more hidden material as you go to higher HI column densities (and the Fukui factor just overestimates things more). If true, this is definitely very interesting! It says there is a larger fraction of dark ISM (presumably CO-dark H2 in our case since Heiles' numbers already include opaque HI) where there is more HI to begin with. What I hope/suspect should be driving this correlation is a correlation between the factor and larger CNM column densities. i.e. you find more CO-dark H2 where the atomic gas tends to be colder/denser. Can you compare that? Plot log(N(HI)_heiles[cold components only]) vs the factor? That plot would be interesting to see!)</w:t>
      </w:r>
    </w:p>
    <w:p>
      <w:pPr>
        <w:pStyle w:val="Normal"/>
        <w:spacing w:before="0" w:after="283"/>
        <w:rPr/>
      </w:pPr>
      <w:r>
        <w:rPr/>
      </w:r>
    </w:p>
    <w:p>
      <w:pPr>
        <w:pStyle w:val="Normal"/>
        <w:spacing w:before="0" w:after="283"/>
        <w:rPr/>
      </w:pPr>
      <w:r>
        <w:rPr/>
        <w:t>- Large fraction of CO-dark H 2 is found in the sightlines where there is more atomic hydrogen. From the correlation between the ratio f and CNM column densities, it seems that one can find more CO-dark H 2 where the atomic gas tends to be colder or denser.</w:t>
      </w:r>
    </w:p>
    <w:p>
      <w:pPr>
        <w:pStyle w:val="Normal"/>
        <w:rPr/>
      </w:pPr>
      <w:r>
        <w:rPr/>
        <w:t xml:space="preserve">- I have so far used the offset ~1 beam width (3.5') around the sources, but as illustrated below, I also calculated for larger offsets for comparison, x-axis </w:t>
      </w:r>
      <w:r>
        <w:rPr>
          <w:i/>
        </w:rPr>
        <w:t>N</w:t>
      </w:r>
      <w:r>
        <w:rPr>
          <w:i/>
          <w:vertAlign w:val="subscript"/>
        </w:rPr>
        <w:t>HI</w:t>
      </w:r>
      <w:r>
        <w:rPr/>
        <w:t xml:space="preserve"> from </w:t>
      </w:r>
      <w:r>
        <w:rPr>
          <w:i/>
        </w:rPr>
        <w:t>Tau</w:t>
      </w:r>
      <w:r>
        <w:rPr>
          <w:i/>
          <w:vertAlign w:val="subscript"/>
        </w:rPr>
        <w:t>353</w:t>
      </w:r>
      <w:r>
        <w:rPr/>
        <w:t xml:space="preserve"> divided by the </w:t>
      </w:r>
      <w:r>
        <w:rPr>
          <w:i/>
        </w:rPr>
        <w:t>N</w:t>
      </w:r>
      <w:r>
        <w:rPr>
          <w:i/>
          <w:vertAlign w:val="subscript"/>
        </w:rPr>
        <w:t>HI</w:t>
      </w:r>
      <w:r>
        <w:rPr/>
        <w:t xml:space="preserve"> from Heiles and Troland:</w:t>
      </w:r>
    </w:p>
    <w:p>
      <w:pPr>
        <w:pStyle w:val="Normal"/>
        <w:spacing w:before="0" w:after="283"/>
        <w:rPr/>
      </w:pPr>
      <w:r>
        <w:rPr/>
      </w:r>
    </w:p>
    <w:p>
      <w:pPr>
        <w:pStyle w:val="Normal"/>
        <w:spacing w:before="0" w:after="283"/>
        <w:rPr/>
      </w:pPr>
      <w:r>
        <w:drawing>
          <wp:anchor behindDoc="0" distT="0" distB="3175" distL="0" distR="0" simplePos="0" locked="0" layoutInCell="1" allowOverlap="1" relativeHeight="20">
            <wp:simplePos x="0" y="0"/>
            <wp:positionH relativeFrom="column">
              <wp:align>center</wp:align>
            </wp:positionH>
            <wp:positionV relativeFrom="paragraph">
              <wp:posOffset>0</wp:posOffset>
            </wp:positionV>
            <wp:extent cx="6117590" cy="3368675"/>
            <wp:effectExtent l="0" t="0" r="0" b="0"/>
            <wp:wrapSquare wrapText="largest"/>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24"/>
                    <a:stretch>
                      <a:fillRect/>
                    </a:stretch>
                  </pic:blipFill>
                  <pic:spPr bwMode="auto">
                    <a:xfrm>
                      <a:off x="0" y="0"/>
                      <a:ext cx="6117590" cy="3368675"/>
                    </a:xfrm>
                    <a:prstGeom prst="rect">
                      <a:avLst/>
                    </a:prstGeom>
                  </pic:spPr>
                </pic:pic>
              </a:graphicData>
            </a:graphic>
          </wp:anchor>
        </w:drawing>
      </w:r>
      <w:r>
        <w:rPr/>
        <w:t>F</w:t>
      </w:r>
      <w:r>
        <w:rPr/>
        <w:t xml:space="preserve">igure ??: </w:t>
      </w:r>
    </w:p>
    <w:p>
      <w:pPr>
        <w:pStyle w:val="Normal"/>
        <w:spacing w:before="0" w:after="283"/>
        <w:rPr/>
      </w:pPr>
      <w:r>
        <w:rPr/>
        <w:drawing>
          <wp:anchor behindDoc="0" distT="0" distB="3175" distL="0" distR="0" simplePos="0" locked="0" layoutInCell="1" allowOverlap="1" relativeHeight="21">
            <wp:simplePos x="0" y="0"/>
            <wp:positionH relativeFrom="column">
              <wp:posOffset>34290</wp:posOffset>
            </wp:positionH>
            <wp:positionV relativeFrom="paragraph">
              <wp:posOffset>-156210</wp:posOffset>
            </wp:positionV>
            <wp:extent cx="6117590" cy="3368675"/>
            <wp:effectExtent l="0" t="0" r="0" b="0"/>
            <wp:wrapSquare wrapText="largest"/>
            <wp:docPr id="2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
                    <pic:cNvPicPr>
                      <a:picLocks noChangeAspect="1" noChangeArrowheads="1"/>
                    </pic:cNvPicPr>
                  </pic:nvPicPr>
                  <pic:blipFill>
                    <a:blip r:embed="rId25"/>
                    <a:stretch>
                      <a:fillRect/>
                    </a:stretch>
                  </pic:blipFill>
                  <pic:spPr bwMode="auto">
                    <a:xfrm>
                      <a:off x="0" y="0"/>
                      <a:ext cx="6117590" cy="3368675"/>
                    </a:xfrm>
                    <a:prstGeom prst="rect">
                      <a:avLst/>
                    </a:prstGeom>
                  </pic:spPr>
                </pic:pic>
              </a:graphicData>
            </a:graphic>
          </wp:anchor>
        </w:drawing>
      </w:r>
    </w:p>
    <w:p>
      <w:pPr>
        <w:pStyle w:val="Normal"/>
        <w:rPr/>
      </w:pPr>
      <w:r>
        <w:rPr/>
      </w:r>
    </w:p>
    <w:p>
      <w:pPr>
        <w:pStyle w:val="Normal"/>
        <w:rPr/>
      </w:pPr>
      <w:r>
        <w:rPr/>
        <w:t xml:space="preserve">- I see that the ratio of </w:t>
      </w:r>
      <w:r>
        <w:rPr>
          <w:i/>
        </w:rPr>
        <w:t>N</w:t>
      </w:r>
      <w:r>
        <w:rPr>
          <w:i/>
          <w:vertAlign w:val="subscript"/>
        </w:rPr>
        <w:t>H_Planck</w:t>
      </w:r>
      <w:r>
        <w:rPr/>
        <w:t xml:space="preserve"> at all offsets is close to it at offset of 1 beam-width.</w:t>
      </w:r>
    </w:p>
    <w:p>
      <w:pPr>
        <w:pStyle w:val="Normal"/>
        <w:rPr/>
      </w:pPr>
      <w:r>
        <w:rPr/>
        <w:t>- The distribution of ratios for all offsets.</w:t>
      </w:r>
    </w:p>
    <w:p>
      <w:pPr>
        <w:pStyle w:val="Normal"/>
        <w:spacing w:before="0" w:after="283"/>
        <w:rPr/>
      </w:pPr>
      <w:r>
        <w:drawing>
          <wp:anchor behindDoc="0" distT="0" distB="635" distL="0" distR="0" simplePos="0" locked="0" layoutInCell="1" allowOverlap="1" relativeHeight="22">
            <wp:simplePos x="0" y="0"/>
            <wp:positionH relativeFrom="column">
              <wp:align>center</wp:align>
            </wp:positionH>
            <wp:positionV relativeFrom="paragraph">
              <wp:posOffset>0</wp:posOffset>
            </wp:positionV>
            <wp:extent cx="6117590" cy="4609465"/>
            <wp:effectExtent l="0" t="0" r="0" b="0"/>
            <wp:wrapSquare wrapText="largest"/>
            <wp:docPr id="2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
                    <pic:cNvPicPr>
                      <a:picLocks noChangeAspect="1" noChangeArrowheads="1"/>
                    </pic:cNvPicPr>
                  </pic:nvPicPr>
                  <pic:blipFill>
                    <a:blip r:embed="rId26"/>
                    <a:stretch>
                      <a:fillRect/>
                    </a:stretch>
                  </pic:blipFill>
                  <pic:spPr bwMode="auto">
                    <a:xfrm>
                      <a:off x="0" y="0"/>
                      <a:ext cx="6117590" cy="4609465"/>
                    </a:xfrm>
                    <a:prstGeom prst="rect">
                      <a:avLst/>
                    </a:prstGeom>
                  </pic:spPr>
                </pic:pic>
              </a:graphicData>
            </a:graphic>
          </wp:anchor>
        </w:drawing>
      </w:r>
      <w:r>
        <w:rPr/>
        <w:t>F</w:t>
      </w:r>
      <w:r>
        <w:rPr/>
        <w:t xml:space="preserve">igure ??: </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1"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imSun">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4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A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80e29"/>
    <w:pPr>
      <w:widowControl w:val="false"/>
      <w:suppressAutoHyphens w:val="true"/>
      <w:bidi w:val="0"/>
      <w:spacing w:lineRule="auto" w:line="240" w:before="0" w:after="0"/>
      <w:jc w:val="left"/>
    </w:pPr>
    <w:rPr>
      <w:rFonts w:ascii="Liberation Serif" w:hAnsi="Liberation Serif" w:eastAsia="Droid Sans Fallback" w:cs="FreeSans"/>
      <w:color w:val="auto"/>
      <w:sz w:val="24"/>
      <w:szCs w:val="24"/>
      <w:lang w:eastAsia="zh-CN" w:bidi="hi-IN" w:val="en-AU"/>
    </w:rPr>
  </w:style>
  <w:style w:type="character" w:styleId="DefaultParagraphFont" w:default="1">
    <w:name w:val="Default Paragraph Font"/>
    <w:uiPriority w:val="1"/>
    <w:semiHidden/>
    <w:unhideWhenUsed/>
    <w:qFormat/>
    <w:rPr/>
  </w:style>
  <w:style w:type="character" w:styleId="InternetLink">
    <w:name w:val="Internet Link"/>
    <w:rsid w:val="00880e29"/>
    <w:rPr>
      <w:color w:val="000080"/>
      <w:u w:val="single"/>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LTGliederung2" w:customStyle="1">
    <w:name w:val="Default~LT~Gliederung 2"/>
    <w:basedOn w:val="Normal"/>
    <w:qFormat/>
    <w:rsid w:val="00880e29"/>
    <w:pPr>
      <w:widowControl/>
      <w:tabs>
        <w:tab w:val="left" w:pos="0" w:leader="none"/>
        <w:tab w:val="left" w:pos="245" w:leader="none"/>
        <w:tab w:val="left" w:pos="952"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139" w:after="0"/>
      <w:ind w:left="1170" w:hanging="450"/>
    </w:pPr>
    <w:rPr>
      <w:rFonts w:ascii="SimSun" w:hAnsi="SimSun" w:eastAsia="DejaVu Sans" w:cs="SimSun"/>
      <w:color w:val="000000"/>
      <w:sz w:val="56"/>
    </w:rPr>
  </w:style>
  <w:style w:type="paragraph" w:styleId="TableContents" w:customStyle="1">
    <w:name w:val="Table Contents"/>
    <w:basedOn w:val="Normal"/>
    <w:qFormat/>
    <w:rsid w:val="00880e29"/>
    <w:pPr>
      <w:suppressLineNumbers/>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rxiv.org/pdf/1312" TargetMode="External"/><Relationship Id="rId3" Type="http://schemas.openxmlformats.org/officeDocument/2006/relationships/hyperlink" Target="http://irsa.ipac.caltech.edu/data/Planck/release_1/all-sky-maps/previews/HFI_CompMap_ThermalDustModel_2048_R1.20/index.html"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LibreOffice/5.0.6.2$Linux_X86_64 LibreOffice_project/00m0$Build-2</Application>
  <Paragraphs>74</Paragraphs>
  <Company>Macquarie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2016-12-12T22:52:00Z</dcterms:created>
  <dc:creator>MR Van Hiep Nguyen</dc:creator>
  <dc:language>en-AU</dc:language>
  <dcterms:modified xsi:type="dcterms:W3CDTF">2017-01-05T16:43:32Z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Macquarie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