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40"/>
      </w:pPr>
      <w:r>
        <w:t xml:space="preserve">PCA-Based</w:t>
      </w:r>
      <w:r>
        <w:t xml:space="preserve"> </w:t>
      </w:r>
      <w:r>
        <w:t xml:space="preserve">Null-Space</w:t>
      </w:r>
      <w:r>
        <w:t xml:space="preserve"> </w:t>
      </w:r>
      <w:r>
        <w:t xml:space="preserve">Representation</w:t>
      </w:r>
      <w:r>
        <w:t xml:space="preserve"> </w:t>
      </w:r>
      <w:r>
        <w:t xml:space="preserve">for</w:t>
      </w:r>
      <w:r>
        <w:t xml:space="preserve"> </w:t>
      </w:r>
      <w:r>
        <w:t xml:space="preserve">Super-Resolution</w:t>
      </w:r>
    </w:p>
    <w:p>
      <w:pPr>
        <w:pStyle w:val="Subtitle"/>
        <w:spacing w:after="240"/>
      </w:pPr>
      <w:r>
        <w:t xml:space="preserve">Cơ</w:t>
      </w:r>
      <w:r>
        <w:t xml:space="preserve"> </w:t>
      </w:r>
      <w:r>
        <w:t xml:space="preserve">sở</w:t>
      </w:r>
      <w:r>
        <w:t xml:space="preserve"> </w:t>
      </w:r>
      <w:r>
        <w:t xml:space="preserve">lý</w:t>
      </w:r>
      <w:r>
        <w:t xml:space="preserve"> </w:t>
      </w:r>
      <w:r>
        <w:t xml:space="preserve">thuyết</w:t>
      </w:r>
      <w:r>
        <w:t xml:space="preserve"> </w:t>
      </w:r>
      <w:r>
        <w:t xml:space="preserve">và</w:t>
      </w:r>
      <w:r>
        <w:t xml:space="preserve"> </w:t>
      </w:r>
      <w:r>
        <w:t xml:space="preserve">chứng</w:t>
      </w:r>
      <w:r>
        <w:t xml:space="preserve"> </w:t>
      </w:r>
      <w:r>
        <w:t xml:space="preserve">minh</w:t>
      </w:r>
      <w:r>
        <w:t xml:space="preserve"> </w:t>
      </w:r>
      <w:r>
        <w:t xml:space="preserve">ngắn</w:t>
      </w:r>
      <w:r>
        <w:t xml:space="preserve"> </w:t>
      </w:r>
      <w:r>
        <w:t xml:space="preserve">gọn</w:t>
      </w:r>
    </w:p>
    <w:p>
      <w:pPr>
        <w:pStyle w:val="FirstParagraph"/>
      </w:pPr>
      <w:r>
        <w:rPr>
          <w:b/>
          <w:bCs/>
        </w:rPr>
        <w:t xml:space="preserve">Mục tiêu.</w:t>
      </w:r>
      <w:r>
        <w:t xml:space="preserve"> </w:t>
      </w:r>
      <w:r>
        <w:t xml:space="preserve">Thay đầu ra correction kích thước</w:t>
      </w:r>
      <w:r>
        <w:t xml:space="preserve"> </w:t>
      </w:r>
      <m:oMath>
        <m:r>
          <m:t>N</m:t>
        </m:r>
      </m:oMath>
      <w:r>
        <w:t xml:space="preserve"> </w:t>
      </w:r>
      <w:r>
        <w:t xml:space="preserve">của Null-Space Network bằng</w:t>
      </w:r>
      <w:r>
        <w:t xml:space="preserve"> </w:t>
      </w:r>
      <m:oMath>
        <m:r>
          <m:t>k</m:t>
        </m:r>
      </m:oMath>
      <w:r>
        <w:t xml:space="preserve"> </w:t>
      </w:r>
      <w:r>
        <w:t xml:space="preserve">hệ số PCA (</w:t>
      </w:r>
      <m:oMath>
        <m:r>
          <m:t>k</m:t>
        </m:r>
        <m:r>
          <m:rPr>
            <m:sty m:val="p"/>
          </m:rPr>
          <m:t>≪</m:t>
        </m:r>
        <m:r>
          <m:t>N</m:t>
        </m:r>
      </m:oMath>
      <w:r>
        <w:t xml:space="preserve">), trong khi</w:t>
      </w:r>
      <w:r>
        <w:t xml:space="preserve"> </w:t>
      </w:r>
      <w:r>
        <w:rPr>
          <w:b/>
          <w:bCs/>
        </w:rPr>
        <w:t xml:space="preserve">bảo đảm data consistency</w:t>
      </w:r>
      <w:r>
        <w:t xml:space="preserve"> </w:t>
      </w:r>
      <w:r>
        <w:t xml:space="preserve">dưới các giả thiết xác định.</w:t>
      </w:r>
    </w:p>
    <w:bookmarkStart w:id="20" w:name="mô-hình-và-các-giả-thiết"/>
    <w:p>
      <w:pPr>
        <w:pStyle w:val="Heading2"/>
      </w:pPr>
      <w:r>
        <w:t xml:space="preserve">1. Mô hình và các giả thiết</w:t>
      </w:r>
    </w:p>
    <w:p>
      <w:pPr>
        <w:pStyle w:val="FirstParagraph"/>
      </w:pPr>
      <w:r>
        <w:t xml:space="preserve">Xét bài toán SR không nhiễu</w:t>
      </w:r>
      <w:r>
        <w:t xml:space="preserve"> </w:t>
      </w:r>
      <m:oMath>
        <m:r>
          <m:t>y</m:t>
        </m:r>
        <m:r>
          <m:rPr>
            <m:sty m:val="p"/>
          </m:rPr>
          <m:t>=</m:t>
        </m:r>
        <m:r>
          <m:t>A</m:t>
        </m:r>
        <m:r>
          <m:t>x</m:t>
        </m:r>
      </m:oMath>
      <w:r>
        <w:t xml:space="preserve">, với</w:t>
      </w:r>
      <w:r>
        <w:t xml:space="preserve"> </w:t>
      </w:r>
      <m:oMath>
        <m:r>
          <m:t>x</m:t>
        </m:r>
        <m:r>
          <m:rPr>
            <m:sty m:val="p"/>
          </m:rPr>
          <m:t>∈</m:t>
        </m:r>
        <m:sSup>
          <m:e>
            <m:r>
              <m:rPr>
                <m:sty m:val="p"/>
                <m:scr m:val="double-struck"/>
              </m:rPr>
              <m:t>R</m:t>
            </m:r>
          </m:e>
          <m:sup>
            <m:r>
              <m:t>N</m:t>
            </m:r>
          </m:sup>
        </m:sSup>
      </m:oMath>
      <w:r>
        <w:t xml:space="preserve"> </w:t>
      </w:r>
      <w:r>
        <w:t xml:space="preserve">(HR),</w:t>
      </w:r>
      <w:r>
        <w:t xml:space="preserve"> </w:t>
      </w:r>
      <m:oMath>
        <m:r>
          <m:t>y</m:t>
        </m:r>
        <m:r>
          <m:rPr>
            <m:sty m:val="p"/>
          </m:rPr>
          <m:t>∈</m:t>
        </m:r>
        <m:sSup>
          <m:e>
            <m:r>
              <m:rPr>
                <m:sty m:val="p"/>
                <m:scr m:val="double-struck"/>
              </m:rPr>
              <m:t>R</m:t>
            </m:r>
          </m:e>
          <m:sup>
            <m:r>
              <m:t>M</m:t>
            </m:r>
          </m:sup>
        </m:sSup>
      </m:oMath>
      <w:r>
        <w:t xml:space="preserve"> </w:t>
      </w:r>
      <w:r>
        <w:t xml:space="preserve">(LR),</w:t>
      </w:r>
      <w:r>
        <w:t xml:space="preserve"> </w:t>
      </w:r>
      <m:oMath>
        <m:r>
          <m:t>M</m:t>
        </m:r>
        <m:r>
          <m:rPr>
            <m:sty m:val="p"/>
          </m:rPr>
          <m:t>&lt;</m:t>
        </m:r>
        <m:r>
          <m:t>N</m:t>
        </m:r>
      </m:oMath>
      <w:r>
        <w:t xml:space="preserve"> </w:t>
      </w:r>
      <w:r>
        <w:t xml:space="preserve">và</w:t>
      </w:r>
      <w:r>
        <w:t xml:space="preserve"> </w:t>
      </w:r>
      <m:oMath>
        <m:r>
          <m:t>A</m:t>
        </m:r>
        <m:r>
          <m:rPr>
            <m:sty m:val="p"/>
          </m:rPr>
          <m:t>∈</m:t>
        </m:r>
        <m:sSup>
          <m:e>
            <m:r>
              <m:rPr>
                <m:sty m:val="p"/>
                <m:scr m:val="double-struck"/>
              </m:rPr>
              <m:t>R</m:t>
            </m:r>
          </m:e>
          <m:sup>
            <m:r>
              <m:t>M</m:t>
            </m:r>
            <m:r>
              <m:rPr>
                <m:sty m:val="p"/>
              </m:rPr>
              <m:t>×</m:t>
            </m:r>
            <m:r>
              <m:t>N</m:t>
            </m:r>
          </m:sup>
        </m:sSup>
      </m:oMath>
      <w:r>
        <w:t xml:space="preserve"> </w:t>
      </w:r>
      <w:r>
        <w:rPr>
          <w:b/>
          <w:bCs/>
        </w:rPr>
        <w:t xml:space="preserve">đã biết, tuyến tính, có hạng hàng đầy đủ</w:t>
      </w:r>
      <w:r>
        <w:t xml:space="preserve">. Gọi</w:t>
      </w:r>
      <w:r>
        <w:t xml:space="preserve"> </w:t>
      </w:r>
      <m:oMath>
        <m:sSup>
          <m:e>
            <m:r>
              <m:t>A</m:t>
            </m:r>
          </m:e>
          <m:sup>
            <m:r>
              <m:rPr>
                <m:sty m:val="p"/>
              </m:rPr>
              <m:t>†</m:t>
            </m:r>
          </m:sup>
        </m:sSup>
      </m:oMath>
      <w:r>
        <w:t xml:space="preserve"> </w:t>
      </w:r>
      <w:r>
        <w:t xml:space="preserve">là nghịch đảo giả Moore–Penrose và</w:t>
      </w:r>
    </w:p>
    <w:p>
      <w:pPr>
        <w:pStyle w:val="BodyText"/>
      </w:pPr>
      <m:oMathPara>
        <m:oMathParaPr>
          <m:jc m:val="center"/>
        </m:oMathParaPr>
        <m:oMath>
          <m:r>
            <m:t>P</m:t>
          </m:r>
          <m:r>
            <m:rPr>
              <m:sty m:val="p"/>
            </m:rPr>
            <m:t>=</m:t>
          </m:r>
          <m:r>
            <m:t>I</m:t>
          </m:r>
          <m:r>
            <m:rPr>
              <m:sty m:val="p"/>
            </m:rPr>
            <m:t>−</m:t>
          </m:r>
          <m:sSup>
            <m:e>
              <m:r>
                <m:t>A</m:t>
              </m:r>
            </m:e>
            <m:sup>
              <m:r>
                <m:rPr>
                  <m:sty m:val="p"/>
                </m:rPr>
                <m:t>†</m:t>
              </m:r>
            </m:sup>
          </m:sSup>
          <m:r>
            <m:t>A</m:t>
          </m:r>
          <m:r>
            <m:rPr>
              <m:sty m:val="p"/>
            </m:rPr>
            <m:t>.</m:t>
          </m:r>
        </m:oMath>
      </m:oMathPara>
    </w:p>
    <w:p>
      <w:pPr>
        <w:pStyle w:val="FirstParagraph"/>
      </w:pPr>
      <w:r>
        <w:t xml:space="preserve">Khi đó</w:t>
      </w:r>
      <w:r>
        <w:t xml:space="preserve"> </w:t>
      </w:r>
      <m:oMath>
        <m:r>
          <m:t>P</m:t>
        </m:r>
      </m:oMath>
      <w:r>
        <w:t xml:space="preserve"> </w:t>
      </w:r>
      <w:r>
        <w:t xml:space="preserve">là phép chiếu trực giao lên</w:t>
      </w:r>
      <w:r>
        <w:t xml:space="preserve"> </w:t>
      </w:r>
      <m:oMath>
        <m:r>
          <m:rPr>
            <m:sty m:val="p"/>
          </m:rPr>
          <m:t>ker</m:t>
        </m:r>
        <m:d>
          <m:dPr>
            <m:begChr m:val="("/>
            <m:endChr m:val=")"/>
            <m:sepChr m:val=""/>
            <m:grow/>
          </m:dPr>
          <m:e>
            <m:r>
              <m:t>A</m:t>
            </m:r>
          </m:e>
        </m:d>
      </m:oMath>
      <w:r>
        <w:t xml:space="preserve">,</w:t>
      </w:r>
      <w:r>
        <w:t xml:space="preserve"> </w:t>
      </w:r>
      <m:oMath>
        <m:r>
          <m:t>A</m:t>
        </m:r>
        <m:r>
          <m:t>P</m:t>
        </m:r>
        <m:r>
          <m:rPr>
            <m:sty m:val="p"/>
          </m:rPr>
          <m:t>=</m:t>
        </m:r>
        <m:r>
          <m:t>0</m:t>
        </m:r>
      </m:oMath>
      <w:r>
        <w:t xml:space="preserve"> </w:t>
      </w:r>
      <w:r>
        <w:t xml:space="preserve">và</w:t>
      </w:r>
      <w:r>
        <w:t xml:space="preserve"> </w:t>
      </w:r>
      <m:oMath>
        <m:r>
          <m:t>A</m:t>
        </m:r>
        <m:sSup>
          <m:e>
            <m:r>
              <m:t>A</m:t>
            </m:r>
          </m:e>
          <m:sup>
            <m:r>
              <m:rPr>
                <m:sty m:val="p"/>
              </m:rPr>
              <m:t>†</m:t>
            </m:r>
          </m:sup>
        </m:sSup>
        <m:r>
          <m:rPr>
            <m:sty m:val="p"/>
          </m:rPr>
          <m:t>=</m:t>
        </m:r>
        <m:sSub>
          <m:e>
            <m:r>
              <m:t>I</m:t>
            </m:r>
          </m:e>
          <m:sub>
            <m:r>
              <m:t>M</m:t>
            </m:r>
          </m:sub>
        </m:sSub>
      </m:oMath>
      <w:r>
        <w:t xml:space="preserve">. Với mọi ảnh HR</w:t>
      </w:r>
      <w:r>
        <w:t xml:space="preserve"> </w:t>
      </w:r>
      <m:oMath>
        <m:r>
          <m:t>x</m:t>
        </m:r>
      </m:oMath>
      <w:r>
        <w:t xml:space="preserve">:</w:t>
      </w:r>
    </w:p>
    <w:p>
      <w:pPr>
        <w:pStyle w:val="BodyText"/>
      </w:pPr>
      <m:oMathPara>
        <m:oMathParaPr>
          <m:jc m:val="center"/>
        </m:oMathParaPr>
        <m:oMath>
          <m:r>
            <m:t>x</m:t>
          </m:r>
          <m:r>
            <m:rPr>
              <m:sty m:val="p"/>
            </m:rPr>
            <m:t>=</m:t>
          </m:r>
          <m:sSup>
            <m:e>
              <m:r>
                <m:t>A</m:t>
              </m:r>
            </m:e>
            <m:sup>
              <m:r>
                <m:rPr>
                  <m:sty m:val="p"/>
                </m:rPr>
                <m:t>†</m:t>
              </m:r>
            </m:sup>
          </m:sSup>
          <m:r>
            <m:t>y</m:t>
          </m:r>
          <m:r>
            <m:rPr>
              <m:sty m:val="p"/>
            </m:rPr>
            <m:t>+</m:t>
          </m:r>
          <m:r>
            <m:t>P</m:t>
          </m:r>
          <m:r>
            <m:t>x</m:t>
          </m:r>
          <m:r>
            <m:rPr>
              <m:sty m:val="p"/>
            </m:rPr>
            <m:t>.</m:t>
          </m:r>
        </m:oMath>
      </m:oMathPara>
    </w:p>
    <w:bookmarkEnd w:id="20"/>
    <w:bookmarkStart w:id="21" w:name="xây-dựng-pca-trong-null-space"/>
    <w:p>
      <w:pPr>
        <w:pStyle w:val="Heading2"/>
      </w:pPr>
      <w:r>
        <w:t xml:space="preserve">2. Xây dựng PCA trong null space</w:t>
      </w:r>
    </w:p>
    <w:p>
      <w:pPr>
        <w:pStyle w:val="FirstParagraph"/>
      </w:pPr>
      <w:r>
        <w:t xml:space="preserve">Từ</w:t>
      </w:r>
      <w:r>
        <w:t xml:space="preserve"> </w:t>
      </w:r>
      <m:oMath>
        <m:r>
          <m:t>T</m:t>
        </m:r>
      </m:oMath>
      <w:r>
        <w:t xml:space="preserve"> </w:t>
      </w:r>
      <w:r>
        <w:t xml:space="preserve">ảnh HR huấn luyện</w:t>
      </w:r>
      <w:r>
        <w:t xml:space="preserve"> </w:t>
      </w:r>
      <m:oMath>
        <m:r>
          <m:rPr>
            <m:sty m:val="p"/>
          </m:rPr>
          <m:t>{</m:t>
        </m:r>
        <m:sSub>
          <m:e>
            <m:r>
              <m:t>x</m:t>
            </m:r>
          </m:e>
          <m:sub>
            <m:r>
              <m:t>i</m:t>
            </m:r>
          </m:sub>
        </m:sSub>
        <m:sSubSup>
          <m:e>
            <m:r>
              <m:rPr>
                <m:sty m:val="p"/>
              </m:rPr>
              <m:t>}</m:t>
            </m:r>
          </m:e>
          <m:sub>
            <m:r>
              <m:t>i</m:t>
            </m:r>
            <m:r>
              <m:rPr>
                <m:sty m:val="p"/>
              </m:rPr>
              <m:t>=</m:t>
            </m:r>
            <m:r>
              <m:t>1</m:t>
            </m:r>
          </m:sub>
          <m:sup>
            <m:r>
              <m:t>T</m:t>
            </m:r>
          </m:sup>
        </m:sSubSup>
      </m:oMath>
      <w:r>
        <w:t xml:space="preserve">, đặt</w:t>
      </w:r>
      <w:r>
        <w:t xml:space="preserve"> </w:t>
      </w:r>
      <m:oMath>
        <m:sSub>
          <m:e>
            <m:r>
              <m:t>r</m:t>
            </m:r>
          </m:e>
          <m:sub>
            <m:r>
              <m:t>i</m:t>
            </m:r>
          </m:sub>
        </m:sSub>
        <m:r>
          <m:rPr>
            <m:sty m:val="p"/>
          </m:rPr>
          <m:t>=</m:t>
        </m:r>
        <m:r>
          <m:t>P</m:t>
        </m:r>
        <m:sSub>
          <m:e>
            <m:r>
              <m:t>x</m:t>
            </m:r>
          </m:e>
          <m:sub>
            <m:r>
              <m:t>i</m:t>
            </m:r>
          </m:sub>
        </m:sSub>
      </m:oMath>
      <w:r>
        <w:t xml:space="preserve"> </w:t>
      </w:r>
      <w:r>
        <w:t xml:space="preserve">và</w:t>
      </w:r>
      <w:r>
        <w:t xml:space="preserve"> </w:t>
      </w:r>
      <m:oMath>
        <m:r>
          <m:t>μ</m:t>
        </m:r>
        <m:r>
          <m:rPr>
            <m:sty m:val="p"/>
          </m:rPr>
          <m:t>=</m:t>
        </m:r>
        <m:sSup>
          <m:e>
            <m:r>
              <m:t>T</m:t>
            </m:r>
          </m:e>
          <m:sup>
            <m:r>
              <m:rPr>
                <m:sty m:val="p"/>
              </m:rPr>
              <m:t>−</m:t>
            </m:r>
            <m:r>
              <m:t>1</m:t>
            </m:r>
          </m:sup>
        </m:sSup>
        <m:nary>
          <m:naryPr>
            <m:chr m:val="∑"/>
            <m:limLoc m:val="undOvr"/>
            <m:subHide m:val="off"/>
            <m:supHide m:val="on"/>
          </m:naryPr>
          <m:sub>
            <m:r>
              <m:t>i</m:t>
            </m:r>
          </m:sub>
          <m:sup>
            <m:r>
              <m:t>​</m:t>
            </m:r>
          </m:sup>
          <m:e>
            <m:sSub>
              <m:e>
                <m:r>
                  <m:t>r</m:t>
                </m:r>
              </m:e>
              <m:sub>
                <m:r>
                  <m:t>i</m:t>
                </m:r>
              </m:sub>
            </m:sSub>
          </m:e>
        </m:nary>
      </m:oMath>
      <w:r>
        <w:t xml:space="preserve">. Ma trận hiệp phương sai thực nghiệm:</w:t>
      </w:r>
    </w:p>
    <w:p>
      <w:pPr>
        <w:pStyle w:val="BodyText"/>
      </w:pPr>
      <m:oMathPara>
        <m:oMathParaPr>
          <m:jc m:val="center"/>
        </m:oMathParaPr>
        <m:oMath>
          <m:r>
            <m:t>C</m:t>
          </m:r>
          <m:r>
            <m:rPr>
              <m:sty m:val="p"/>
            </m:rPr>
            <m:t>=</m:t>
          </m:r>
          <m:f>
            <m:fPr>
              <m:type m:val="bar"/>
            </m:fPr>
            <m:num>
              <m:r>
                <m:t>1</m:t>
              </m:r>
            </m:num>
            <m:den>
              <m:r>
                <m:t>T</m:t>
              </m:r>
            </m:den>
          </m:f>
          <m:nary>
            <m:naryPr>
              <m:chr m:val="∑"/>
              <m:limLoc m:val="undOvr"/>
              <m:subHide m:val="off"/>
              <m:supHide m:val="off"/>
            </m:naryPr>
            <m:sub>
              <m:r>
                <m:t>i</m:t>
              </m:r>
              <m:r>
                <m:rPr>
                  <m:sty m:val="p"/>
                </m:rPr>
                <m:t>=</m:t>
              </m:r>
              <m:r>
                <m:t>1</m:t>
              </m:r>
            </m:sub>
            <m:sup>
              <m:r>
                <m:t>T</m:t>
              </m:r>
            </m:sup>
            <m:e>
              <m:d>
                <m:dPr>
                  <m:begChr m:val="("/>
                  <m:endChr m:val=")"/>
                  <m:sepChr m:val=""/>
                  <m:grow/>
                </m:dPr>
                <m:e>
                  <m:sSub>
                    <m:e>
                      <m:r>
                        <m:t>r</m:t>
                      </m:r>
                    </m:e>
                    <m:sub>
                      <m:r>
                        <m:t>i</m:t>
                      </m:r>
                    </m:sub>
                  </m:sSub>
                  <m:r>
                    <m:rPr>
                      <m:sty m:val="p"/>
                    </m:rPr>
                    <m:t>−</m:t>
                  </m:r>
                  <m:r>
                    <m:t>μ</m:t>
                  </m:r>
                </m:e>
              </m:d>
            </m:e>
          </m:nary>
          <m:sSup>
            <m:e>
              <m:d>
                <m:dPr>
                  <m:begChr m:val="("/>
                  <m:endChr m:val=")"/>
                  <m:sepChr m:val=""/>
                  <m:grow/>
                </m:dPr>
                <m:e>
                  <m:sSub>
                    <m:e>
                      <m:r>
                        <m:t>r</m:t>
                      </m:r>
                    </m:e>
                    <m:sub>
                      <m:r>
                        <m:t>i</m:t>
                      </m:r>
                    </m:sub>
                  </m:sSub>
                  <m:r>
                    <m:rPr>
                      <m:sty m:val="p"/>
                    </m:rPr>
                    <m:t>−</m:t>
                  </m:r>
                  <m:r>
                    <m:t>μ</m:t>
                  </m:r>
                </m:e>
              </m:d>
            </m:e>
            <m:sup>
              <m:r>
                <m:rPr>
                  <m:sty m:val="p"/>
                </m:rPr>
                <m:t>⊤</m:t>
              </m:r>
            </m:sup>
          </m:sSup>
          <m:r>
            <m:rPr>
              <m:sty m:val="p"/>
            </m:rPr>
            <m:t>.</m:t>
          </m:r>
        </m:oMath>
      </m:oMathPara>
    </w:p>
    <w:p>
      <w:pPr>
        <w:pStyle w:val="FirstParagraph"/>
      </w:pPr>
      <w:r>
        <w:t xml:space="preserve">Lấy</w:t>
      </w:r>
      <w:r>
        <w:t xml:space="preserve"> </w:t>
      </w:r>
      <m:oMath>
        <m:r>
          <m:t>k</m:t>
        </m:r>
      </m:oMath>
      <w:r>
        <w:t xml:space="preserve"> </w:t>
      </w:r>
      <w:r>
        <w:t xml:space="preserve">eigenvector trực chuẩn</w:t>
      </w:r>
      <w:r>
        <w:t xml:space="preserve"> </w:t>
      </w:r>
      <m:oMath>
        <m:sSub>
          <m:e>
            <m:r>
              <m:t>u</m:t>
            </m:r>
          </m:e>
          <m:sub>
            <m:r>
              <m:t>j</m:t>
            </m:r>
          </m:sub>
        </m:sSub>
      </m:oMath>
      <w:r>
        <w:t xml:space="preserve"> </w:t>
      </w:r>
      <w:r>
        <w:t xml:space="preserve">có eigenvalue</w:t>
      </w:r>
      <w:r>
        <w:t xml:space="preserve"> </w:t>
      </w:r>
      <w:r>
        <w:rPr>
          <w:b/>
          <w:bCs/>
        </w:rPr>
        <w:t xml:space="preserve">dương</w:t>
      </w:r>
      <w:r>
        <w:t xml:space="preserve"> </w:t>
      </w:r>
      <w:r>
        <w:t xml:space="preserve">lớn nhất,</w:t>
      </w:r>
      <w:r>
        <w:t xml:space="preserve"> </w:t>
      </w:r>
      <m:oMath>
        <m:r>
          <m:t>C</m:t>
        </m:r>
        <m:sSub>
          <m:e>
            <m:r>
              <m:t>u</m:t>
            </m:r>
          </m:e>
          <m:sub>
            <m:r>
              <m:t>j</m:t>
            </m:r>
          </m:sub>
        </m:sSub>
        <m:r>
          <m:rPr>
            <m:sty m:val="p"/>
          </m:rPr>
          <m:t>=</m:t>
        </m:r>
        <m:sSub>
          <m:e>
            <m:r>
              <m:t>λ</m:t>
            </m:r>
          </m:e>
          <m:sub>
            <m:r>
              <m:t>j</m:t>
            </m:r>
          </m:sub>
        </m:sSub>
        <m:sSub>
          <m:e>
            <m:r>
              <m:t>u</m:t>
            </m:r>
          </m:e>
          <m:sub>
            <m:r>
              <m:t>j</m:t>
            </m:r>
          </m:sub>
        </m:sSub>
      </m:oMath>
      <w:r>
        <w:t xml:space="preserve"> </w:t>
      </w:r>
      <w:r>
        <w:t xml:space="preserve">(</w:t>
      </w:r>
      <m:oMath>
        <m:sSub>
          <m:e>
            <m:r>
              <m:t>λ</m:t>
            </m:r>
          </m:e>
          <m:sub>
            <m:r>
              <m:t>j</m:t>
            </m:r>
          </m:sub>
        </m:sSub>
        <m:r>
          <m:rPr>
            <m:sty m:val="p"/>
          </m:rPr>
          <m:t>&gt;</m:t>
        </m:r>
        <m:r>
          <m:t>0</m:t>
        </m:r>
      </m:oMath>
      <w:r>
        <w:t xml:space="preserve">), và đặt</w:t>
      </w:r>
      <w:r>
        <w:t xml:space="preserve"> </w:t>
      </w:r>
      <m:oMath>
        <m:sSub>
          <m:e>
            <m:r>
              <m:t>U</m:t>
            </m:r>
          </m:e>
          <m:sub>
            <m:r>
              <m:t>k</m:t>
            </m:r>
          </m:sub>
        </m:sSub>
        <m:r>
          <m:rPr>
            <m:sty m:val="p"/>
          </m:rPr>
          <m:t>=</m:t>
        </m:r>
        <m:d>
          <m:dPr>
            <m:begChr m:val="["/>
            <m:endChr m:val="]"/>
            <m:sepChr m:val=""/>
            <m:grow/>
          </m:dPr>
          <m:e>
            <m:sSub>
              <m:e>
                <m:r>
                  <m:t>u</m:t>
                </m:r>
              </m:e>
              <m:sub>
                <m:r>
                  <m:t>1</m:t>
                </m:r>
              </m:sub>
            </m:sSub>
            <m:r>
              <m:rPr>
                <m:sty m:val="p"/>
              </m:rPr>
              <m:t>,</m:t>
            </m:r>
            <m:r>
              <m:rPr>
                <m:sty m:val="p"/>
              </m:rPr>
              <m:t>…</m:t>
            </m:r>
            <m:r>
              <m:rPr>
                <m:sty m:val="p"/>
              </m:rPr>
              <m:t>,</m:t>
            </m:r>
            <m:sSub>
              <m:e>
                <m:r>
                  <m:t>u</m:t>
                </m:r>
              </m:e>
              <m:sub>
                <m:r>
                  <m:t>k</m:t>
                </m:r>
              </m:sub>
            </m:sSub>
          </m:e>
        </m:d>
      </m:oMath>
      <w:r>
        <w:t xml:space="preserve">.</w:t>
      </w:r>
    </w:p>
    <w:p>
      <w:pPr>
        <w:pStyle w:val="BodyText"/>
      </w:pPr>
      <w:r>
        <w:rPr>
          <w:b/>
          <w:bCs/>
        </w:rPr>
        <w:t xml:space="preserve">Mệnh đề 1 — PCA basis nằm trong null space.</w:t>
      </w:r>
      <w:r>
        <w:t xml:space="preserve"> </w:t>
      </w:r>
      <w:r>
        <w:t xml:space="preserve">Với mọi cột</w:t>
      </w:r>
      <w:r>
        <w:t xml:space="preserve"> </w:t>
      </w:r>
      <m:oMath>
        <m:sSub>
          <m:e>
            <m:r>
              <m:t>u</m:t>
            </m:r>
          </m:e>
          <m:sub>
            <m:r>
              <m:t>j</m:t>
            </m:r>
          </m:sub>
        </m:sSub>
      </m:oMath>
      <w:r>
        <w:t xml:space="preserve"> </w:t>
      </w:r>
      <w:r>
        <w:t xml:space="preserve">được chọn,</w:t>
      </w:r>
      <w:r>
        <w:t xml:space="preserve"> </w:t>
      </w:r>
      <m:oMath>
        <m:r>
          <m:t>A</m:t>
        </m:r>
        <m:sSub>
          <m:e>
            <m:r>
              <m:t>u</m:t>
            </m:r>
          </m:e>
          <m:sub>
            <m:r>
              <m:t>j</m:t>
            </m:r>
          </m:sub>
        </m:sSub>
        <m:r>
          <m:rPr>
            <m:sty m:val="p"/>
          </m:rPr>
          <m:t>=</m:t>
        </m:r>
        <m:r>
          <m:t>0</m:t>
        </m:r>
      </m:oMath>
      <w:r>
        <w:t xml:space="preserve">; đồng thời</w:t>
      </w:r>
      <w:r>
        <w:t xml:space="preserve"> </w:t>
      </w:r>
      <m:oMath>
        <m:r>
          <m:t>A</m:t>
        </m:r>
        <m:r>
          <m:t>μ</m:t>
        </m:r>
        <m:r>
          <m:rPr>
            <m:sty m:val="p"/>
          </m:rPr>
          <m:t>=</m:t>
        </m:r>
        <m:r>
          <m:t>0</m:t>
        </m:r>
      </m:oMath>
      <w:r>
        <w:t xml:space="preserve">.</w:t>
      </w:r>
    </w:p>
    <w:p>
      <w:pPr>
        <w:pStyle w:val="BodyText"/>
      </w:pPr>
      <w:r>
        <w:rPr>
          <w:i/>
          <w:iCs/>
        </w:rPr>
        <w:t xml:space="preserve">Chứng minh.</w:t>
      </w:r>
      <w:r>
        <w:t xml:space="preserve"> </w:t>
      </w:r>
      <w:r>
        <w:t xml:space="preserve">Vì</w:t>
      </w:r>
      <w:r>
        <w:t xml:space="preserve"> </w:t>
      </w:r>
      <m:oMath>
        <m:r>
          <m:t>A</m:t>
        </m:r>
        <m:sSub>
          <m:e>
            <m:r>
              <m:t>r</m:t>
            </m:r>
          </m:e>
          <m:sub>
            <m:r>
              <m:t>i</m:t>
            </m:r>
          </m:sub>
        </m:sSub>
        <m:r>
          <m:rPr>
            <m:sty m:val="p"/>
          </m:rPr>
          <m:t>=</m:t>
        </m:r>
        <m:r>
          <m:t>0</m:t>
        </m:r>
      </m:oMath>
      <w:r>
        <w:t xml:space="preserve">, suy ra</w:t>
      </w:r>
      <w:r>
        <w:t xml:space="preserve"> </w:t>
      </w:r>
      <m:oMath>
        <m:r>
          <m:t>A</m:t>
        </m:r>
        <m:r>
          <m:t>μ</m:t>
        </m:r>
        <m:r>
          <m:rPr>
            <m:sty m:val="p"/>
          </m:rPr>
          <m:t>=</m:t>
        </m:r>
        <m:r>
          <m:t>0</m:t>
        </m:r>
      </m:oMath>
      <w:r>
        <w:t xml:space="preserve"> </w:t>
      </w:r>
      <w:r>
        <w:t xml:space="preserve">và</w:t>
      </w:r>
      <w:r>
        <w:t xml:space="preserve"> </w:t>
      </w:r>
      <m:oMath>
        <m:r>
          <m:t>A</m:t>
        </m:r>
        <m:d>
          <m:dPr>
            <m:begChr m:val="("/>
            <m:endChr m:val=")"/>
            <m:sepChr m:val=""/>
            <m:grow/>
          </m:dPr>
          <m:e>
            <m:sSub>
              <m:e>
                <m:r>
                  <m:t>r</m:t>
                </m:r>
              </m:e>
              <m:sub>
                <m:r>
                  <m:t>i</m:t>
                </m:r>
              </m:sub>
            </m:sSub>
            <m:r>
              <m:rPr>
                <m:sty m:val="p"/>
              </m:rPr>
              <m:t>−</m:t>
            </m:r>
            <m:r>
              <m:t>μ</m:t>
            </m:r>
          </m:e>
        </m:d>
        <m:r>
          <m:rPr>
            <m:sty m:val="p"/>
          </m:rPr>
          <m:t>=</m:t>
        </m:r>
        <m:r>
          <m:t>0</m:t>
        </m:r>
      </m:oMath>
      <w:r>
        <w:t xml:space="preserve">. Do đó</w:t>
      </w:r>
      <w:r>
        <w:t xml:space="preserve"> </w:t>
      </w:r>
      <m:oMath>
        <m:r>
          <m:t>A</m:t>
        </m:r>
        <m:r>
          <m:t>C</m:t>
        </m:r>
        <m:r>
          <m:rPr>
            <m:sty m:val="p"/>
          </m:rPr>
          <m:t>=</m:t>
        </m:r>
        <m:r>
          <m:t>0</m:t>
        </m:r>
      </m:oMath>
      <w:r>
        <w:t xml:space="preserve">. Từ</w:t>
      </w:r>
      <w:r>
        <w:t xml:space="preserve"> </w:t>
      </w:r>
      <m:oMath>
        <m:r>
          <m:t>C</m:t>
        </m:r>
        <m:sSub>
          <m:e>
            <m:r>
              <m:t>u</m:t>
            </m:r>
          </m:e>
          <m:sub>
            <m:r>
              <m:t>j</m:t>
            </m:r>
          </m:sub>
        </m:sSub>
        <m:r>
          <m:rPr>
            <m:sty m:val="p"/>
          </m:rPr>
          <m:t>=</m:t>
        </m:r>
        <m:sSub>
          <m:e>
            <m:r>
              <m:t>λ</m:t>
            </m:r>
          </m:e>
          <m:sub>
            <m:r>
              <m:t>j</m:t>
            </m:r>
          </m:sub>
        </m:sSub>
        <m:sSub>
          <m:e>
            <m:r>
              <m:t>u</m:t>
            </m:r>
          </m:e>
          <m:sub>
            <m:r>
              <m:t>j</m:t>
            </m:r>
          </m:sub>
        </m:sSub>
      </m:oMath>
      <w:r>
        <w:t xml:space="preserve">, ta có</w:t>
      </w:r>
      <w:r>
        <w:t xml:space="preserve"> </w:t>
      </w:r>
      <m:oMath>
        <m:r>
          <m:t>0</m:t>
        </m:r>
        <m:r>
          <m:rPr>
            <m:sty m:val="p"/>
          </m:rPr>
          <m:t>=</m:t>
        </m:r>
        <m:r>
          <m:t>A</m:t>
        </m:r>
        <m:r>
          <m:t>C</m:t>
        </m:r>
        <m:sSub>
          <m:e>
            <m:r>
              <m:t>u</m:t>
            </m:r>
          </m:e>
          <m:sub>
            <m:r>
              <m:t>j</m:t>
            </m:r>
          </m:sub>
        </m:sSub>
        <m:r>
          <m:rPr>
            <m:sty m:val="p"/>
          </m:rPr>
          <m:t>=</m:t>
        </m:r>
        <m:sSub>
          <m:e>
            <m:r>
              <m:t>λ</m:t>
            </m:r>
          </m:e>
          <m:sub>
            <m:r>
              <m:t>j</m:t>
            </m:r>
          </m:sub>
        </m:sSub>
        <m:r>
          <m:t>A</m:t>
        </m:r>
        <m:sSub>
          <m:e>
            <m:r>
              <m:t>u</m:t>
            </m:r>
          </m:e>
          <m:sub>
            <m:r>
              <m:t>j</m:t>
            </m:r>
          </m:sub>
        </m:sSub>
      </m:oMath>
      <w:r>
        <w:t xml:space="preserve">. Vì</w:t>
      </w:r>
      <w:r>
        <w:t xml:space="preserve"> </w:t>
      </w:r>
      <m:oMath>
        <m:sSub>
          <m:e>
            <m:r>
              <m:t>λ</m:t>
            </m:r>
          </m:e>
          <m:sub>
            <m:r>
              <m:t>j</m:t>
            </m:r>
          </m:sub>
        </m:sSub>
        <m:r>
          <m:rPr>
            <m:sty m:val="p"/>
          </m:rPr>
          <m:t>&gt;</m:t>
        </m:r>
        <m:r>
          <m:t>0</m:t>
        </m:r>
      </m:oMath>
      <w:r>
        <w:t xml:space="preserve"> </w:t>
      </w:r>
      <w:r>
        <w:t xml:space="preserve">nên</w:t>
      </w:r>
      <w:r>
        <w:t xml:space="preserve"> </w:t>
      </w:r>
      <m:oMath>
        <m:r>
          <m:t>A</m:t>
        </m:r>
        <m:sSub>
          <m:e>
            <m:r>
              <m:t>u</m:t>
            </m:r>
          </m:e>
          <m:sub>
            <m:r>
              <m:t>j</m:t>
            </m:r>
          </m:sub>
        </m:sSub>
        <m:r>
          <m:rPr>
            <m:sty m:val="p"/>
          </m:rPr>
          <m:t>=</m:t>
        </m:r>
        <m:r>
          <m:t>0</m:t>
        </m:r>
      </m:oMath>
      <w:r>
        <w:t xml:space="preserve">.</w:t>
      </w:r>
      <w:r>
        <w:t xml:space="preserve"> </w:t>
      </w:r>
      <m:oMath>
        <m:r>
          <m:rPr>
            <m:sty m:val="p"/>
          </m:rPr>
          <m:t>▫</m:t>
        </m:r>
      </m:oMath>
    </w:p>
    <w:bookmarkEnd w:id="21"/>
    <w:bookmarkStart w:id="22" w:name="data-consistency-của-mô-hình-đề-xuất"/>
    <w:p>
      <w:pPr>
        <w:pStyle w:val="Heading2"/>
      </w:pPr>
      <w:r>
        <w:t xml:space="preserve">3. Data consistency của mô hình đề xuất</w:t>
      </w:r>
    </w:p>
    <w:p>
      <w:pPr>
        <w:pStyle w:val="FirstParagraph"/>
      </w:pPr>
      <w:r>
        <w:t xml:space="preserve">Cho network dự đoán hệ số</w:t>
      </w:r>
      <w:r>
        <w:t xml:space="preserve"> </w:t>
      </w:r>
      <m:oMath>
        <m:sSub>
          <m:e>
            <m:r>
              <m:t>c</m:t>
            </m:r>
          </m:e>
          <m:sub>
            <m:r>
              <m:t>θ</m:t>
            </m:r>
          </m:sub>
        </m:sSub>
        <m:d>
          <m:dPr>
            <m:begChr m:val="("/>
            <m:endChr m:val=")"/>
            <m:sepChr m:val=""/>
            <m:grow/>
          </m:dPr>
          <m:e>
            <m:r>
              <m:t>y</m:t>
            </m:r>
          </m:e>
        </m:d>
        <m:r>
          <m:rPr>
            <m:sty m:val="p"/>
          </m:rPr>
          <m:t>∈</m:t>
        </m:r>
        <m:sSup>
          <m:e>
            <m:r>
              <m:rPr>
                <m:sty m:val="p"/>
                <m:scr m:val="double-struck"/>
              </m:rPr>
              <m:t>R</m:t>
            </m:r>
          </m:e>
          <m:sup>
            <m:r>
              <m:t>k</m:t>
            </m:r>
          </m:sup>
        </m:sSup>
      </m:oMath>
      <w:r>
        <w:t xml:space="preserve">; định nghĩa:</w:t>
      </w:r>
    </w:p>
    <w:p>
      <w:pPr>
        <w:pStyle w:val="BodyText"/>
      </w:pPr>
      <m:oMathPara>
        <m:oMathParaPr>
          <m:jc m:val="center"/>
        </m:oMathParaPr>
        <m:oMath>
          <m:borderBox>
            <m:e>
              <m:acc>
                <m:accPr>
                  <m:chr m:val="̂"/>
                </m:accPr>
                <m:e>
                  <m:r>
                    <m:t>x</m:t>
                  </m:r>
                </m:e>
              </m:acc>
              <m:d>
                <m:dPr>
                  <m:begChr m:val="("/>
                  <m:endChr m:val=")"/>
                  <m:sepChr m:val=""/>
                  <m:grow/>
                </m:dPr>
                <m:e>
                  <m:r>
                    <m:t>y</m:t>
                  </m:r>
                </m:e>
              </m:d>
              <m:r>
                <m:rPr>
                  <m:sty m:val="p"/>
                </m:rPr>
                <m:t>=</m:t>
              </m:r>
              <m:sSup>
                <m:e>
                  <m:r>
                    <m:t>A</m:t>
                  </m:r>
                </m:e>
                <m:sup>
                  <m:r>
                    <m:rPr>
                      <m:sty m:val="p"/>
                    </m:rPr>
                    <m:t>†</m:t>
                  </m:r>
                </m:sup>
              </m:sSup>
              <m:r>
                <m:t>y</m:t>
              </m:r>
              <m:r>
                <m:rPr>
                  <m:sty m:val="p"/>
                </m:rPr>
                <m:t>+</m:t>
              </m:r>
              <m:r>
                <m:t>μ</m:t>
              </m:r>
              <m:r>
                <m:rPr>
                  <m:sty m:val="p"/>
                </m:rPr>
                <m:t>+</m:t>
              </m:r>
              <m:sSub>
                <m:e>
                  <m:r>
                    <m:t>U</m:t>
                  </m:r>
                </m:e>
                <m:sub>
                  <m:r>
                    <m:t>k</m:t>
                  </m:r>
                </m:sub>
              </m:sSub>
              <m:sSub>
                <m:e>
                  <m:r>
                    <m:t>c</m:t>
                  </m:r>
                </m:e>
                <m:sub>
                  <m:r>
                    <m:t>θ</m:t>
                  </m:r>
                </m:sub>
              </m:sSub>
              <m:d>
                <m:dPr>
                  <m:begChr m:val="("/>
                  <m:endChr m:val=")"/>
                  <m:sepChr m:val=""/>
                  <m:grow/>
                </m:dPr>
                <m:e>
                  <m:r>
                    <m:t>y</m:t>
                  </m:r>
                </m:e>
              </m:d>
              <m:r>
                <m:rPr>
                  <m:sty m:val="p"/>
                </m:rPr>
                <m:t>.</m:t>
              </m:r>
            </m:e>
          </m:borderBox>
        </m:oMath>
      </m:oMathPara>
    </w:p>
    <w:p>
      <w:pPr>
        <w:pStyle w:val="FirstParagraph"/>
      </w:pPr>
      <w:r>
        <w:rPr>
          <w:b/>
          <w:bCs/>
        </w:rPr>
        <w:t xml:space="preserve">Định lý 1 — Exact data consistency.</w:t>
      </w:r>
      <w:r>
        <w:t xml:space="preserve"> </w:t>
      </w:r>
      <w:r>
        <w:t xml:space="preserve">Với mọi giá trị do network dự đoán,</w:t>
      </w:r>
      <w:r>
        <w:t xml:space="preserve"> </w:t>
      </w:r>
      <m:oMath>
        <m:r>
          <m:t>A</m:t>
        </m:r>
        <m:acc>
          <m:accPr>
            <m:chr m:val="̂"/>
          </m:accPr>
          <m:e>
            <m:r>
              <m:t>x</m:t>
            </m:r>
          </m:e>
        </m:acc>
        <m:d>
          <m:dPr>
            <m:begChr m:val="("/>
            <m:endChr m:val=")"/>
            <m:sepChr m:val=""/>
            <m:grow/>
          </m:dPr>
          <m:e>
            <m:r>
              <m:t>y</m:t>
            </m:r>
          </m:e>
        </m:d>
        <m:r>
          <m:rPr>
            <m:sty m:val="p"/>
          </m:rPr>
          <m:t>=</m:t>
        </m:r>
        <m:r>
          <m:t>y</m:t>
        </m:r>
      </m:oMath>
      <w:r>
        <w:t xml:space="preserve">.</w:t>
      </w:r>
    </w:p>
    <w:p>
      <w:pPr>
        <w:pStyle w:val="BodyText"/>
      </w:pPr>
      <w:r>
        <w:rPr>
          <w:i/>
          <w:iCs/>
        </w:rPr>
        <w:t xml:space="preserve">Chứng minh.</w:t>
      </w:r>
      <w:r>
        <w:t xml:space="preserve"> </w:t>
      </w:r>
      <w:r>
        <w:t xml:space="preserve">Theo Mệnh đề 1,</w:t>
      </w:r>
    </w:p>
    <w:p>
      <w:pPr>
        <w:pStyle w:val="BodyText"/>
      </w:pPr>
      <m:oMathPara>
        <m:oMathParaPr>
          <m:jc m:val="center"/>
        </m:oMathParaPr>
        <m:oMath>
          <m:r>
            <m:t>A</m:t>
          </m:r>
          <m:acc>
            <m:accPr>
              <m:chr m:val="̂"/>
            </m:accPr>
            <m:e>
              <m:r>
                <m:t>x</m:t>
              </m:r>
            </m:e>
          </m:acc>
          <m:r>
            <m:rPr>
              <m:sty m:val="p"/>
            </m:rPr>
            <m:t>=</m:t>
          </m:r>
          <m:r>
            <m:t>A</m:t>
          </m:r>
          <m:sSup>
            <m:e>
              <m:r>
                <m:t>A</m:t>
              </m:r>
            </m:e>
            <m:sup>
              <m:r>
                <m:rPr>
                  <m:sty m:val="p"/>
                </m:rPr>
                <m:t>†</m:t>
              </m:r>
            </m:sup>
          </m:sSup>
          <m:r>
            <m:t>y</m:t>
          </m:r>
          <m:r>
            <m:rPr>
              <m:sty m:val="p"/>
            </m:rPr>
            <m:t>+</m:t>
          </m:r>
          <m:r>
            <m:t>A</m:t>
          </m:r>
          <m:r>
            <m:t>μ</m:t>
          </m:r>
          <m:r>
            <m:rPr>
              <m:sty m:val="p"/>
            </m:rPr>
            <m:t>+</m:t>
          </m:r>
          <m:r>
            <m:t>A</m:t>
          </m:r>
          <m:sSub>
            <m:e>
              <m:r>
                <m:t>U</m:t>
              </m:r>
            </m:e>
            <m:sub>
              <m:r>
                <m:t>k</m:t>
              </m:r>
            </m:sub>
          </m:sSub>
          <m:sSub>
            <m:e>
              <m:r>
                <m:t>c</m:t>
              </m:r>
            </m:e>
            <m:sub>
              <m:r>
                <m:t>θ</m:t>
              </m:r>
            </m:sub>
          </m:sSub>
          <m:d>
            <m:dPr>
              <m:begChr m:val="("/>
              <m:endChr m:val=")"/>
              <m:sepChr m:val=""/>
              <m:grow/>
            </m:dPr>
            <m:e>
              <m:r>
                <m:t>y</m:t>
              </m:r>
            </m:e>
          </m:d>
          <m:r>
            <m:rPr>
              <m:sty m:val="p"/>
            </m:rPr>
            <m:t>=</m:t>
          </m:r>
          <m:r>
            <m:t>y</m:t>
          </m:r>
          <m:r>
            <m:rPr>
              <m:sty m:val="p"/>
            </m:rPr>
            <m:t>+</m:t>
          </m:r>
          <m:r>
            <m:t>0</m:t>
          </m:r>
          <m:r>
            <m:rPr>
              <m:sty m:val="p"/>
            </m:rPr>
            <m:t>+</m:t>
          </m:r>
          <m:r>
            <m:t>0</m:t>
          </m:r>
          <m:r>
            <m:rPr>
              <m:sty m:val="p"/>
            </m:rPr>
            <m:t>=</m:t>
          </m:r>
          <m:r>
            <m:t>y</m:t>
          </m:r>
          <m:r>
            <m:rPr>
              <m:sty m:val="p"/>
            </m:rPr>
            <m:t>.</m:t>
          </m:r>
          <m:r>
            <m:t> </m:t>
          </m:r>
          <m:r>
            <m:rPr>
              <m:sty m:val="p"/>
            </m:rPr>
            <m:t>▫</m:t>
          </m:r>
        </m:oMath>
      </m:oMathPara>
    </w:p>
    <w:p>
      <w:pPr>
        <w:pStyle w:val="FirstParagraph"/>
      </w:pPr>
      <w:r>
        <w:t xml:space="preserve">Do đó không cần phép chiếu null-space bổ sung sau network, miễn các basis thực sự thỏa</w:t>
      </w:r>
      <w:r>
        <w:t xml:space="preserve"> </w:t>
      </w:r>
      <m:oMath>
        <m:r>
          <m:t>A</m:t>
        </m:r>
        <m:sSub>
          <m:e>
            <m:r>
              <m:t>U</m:t>
            </m:r>
          </m:e>
          <m:sub>
            <m:r>
              <m:t>k</m:t>
            </m:r>
          </m:sub>
        </m:sSub>
        <m:r>
          <m:rPr>
            <m:sty m:val="p"/>
          </m:rPr>
          <m:t>=</m:t>
        </m:r>
        <m:r>
          <m:t>0</m:t>
        </m:r>
      </m:oMath>
      <w:r>
        <w:t xml:space="preserve">.</w:t>
      </w:r>
    </w:p>
    <w:bookmarkEnd w:id="22"/>
    <w:bookmarkStart w:id="23" w:name="phân-rã-sai-số-tái-tạo"/>
    <w:p>
      <w:pPr>
        <w:pStyle w:val="Heading2"/>
      </w:pPr>
      <w:r>
        <w:t xml:space="preserve">4. Phân rã sai số tái tạo</w:t>
      </w:r>
    </w:p>
    <w:p>
      <w:pPr>
        <w:pStyle w:val="FirstParagraph"/>
      </w:pPr>
      <w:r>
        <w:t xml:space="preserve">Với ảnh kiểm thử</w:t>
      </w:r>
      <w:r>
        <w:t xml:space="preserve"> </w:t>
      </w:r>
      <m:oMath>
        <m:r>
          <m:t>x</m:t>
        </m:r>
      </m:oMath>
      <w:r>
        <w:t xml:space="preserve"> </w:t>
      </w:r>
      <w:r>
        <w:t xml:space="preserve">và</w:t>
      </w:r>
      <w:r>
        <w:t xml:space="preserve"> </w:t>
      </w:r>
      <m:oMath>
        <m:r>
          <m:t>r</m:t>
        </m:r>
        <m:r>
          <m:rPr>
            <m:sty m:val="p"/>
          </m:rPr>
          <m:t>=</m:t>
        </m:r>
        <m:r>
          <m:t>P</m:t>
        </m:r>
        <m:r>
          <m:t>x</m:t>
        </m:r>
      </m:oMath>
      <w:r>
        <w:t xml:space="preserve">, đặt</w:t>
      </w:r>
      <w:r>
        <w:t xml:space="preserve"> </w:t>
      </w:r>
      <m:oMath>
        <m:sSup>
          <m:e>
            <m:r>
              <m:t>c</m:t>
            </m:r>
          </m:e>
          <m:sup>
            <m:r>
              <m:rPr>
                <m:sty m:val="p"/>
              </m:rPr>
              <m:t>*</m:t>
            </m:r>
          </m:sup>
        </m:sSup>
        <m:r>
          <m:rPr>
            <m:sty m:val="p"/>
          </m:rPr>
          <m:t>=</m:t>
        </m:r>
        <m:sSubSup>
          <m:e>
            <m:r>
              <m:t>U</m:t>
            </m:r>
          </m:e>
          <m:sub>
            <m:r>
              <m:t>k</m:t>
            </m:r>
          </m:sub>
          <m:sup>
            <m:r>
              <m:rPr>
                <m:sty m:val="p"/>
              </m:rPr>
              <m:t>⊤</m:t>
            </m:r>
          </m:sup>
        </m:sSubSup>
        <m:d>
          <m:dPr>
            <m:begChr m:val="("/>
            <m:endChr m:val=")"/>
            <m:sepChr m:val=""/>
            <m:grow/>
          </m:dPr>
          <m:e>
            <m:r>
              <m:t>r</m:t>
            </m:r>
            <m:r>
              <m:rPr>
                <m:sty m:val="p"/>
              </m:rPr>
              <m:t>−</m:t>
            </m:r>
            <m:r>
              <m:t>μ</m:t>
            </m:r>
          </m:e>
        </m:d>
      </m:oMath>
      <w:r>
        <w:t xml:space="preserve"> </w:t>
      </w:r>
      <w:r>
        <w:t xml:space="preserve">và</w:t>
      </w:r>
      <w:r>
        <w:t xml:space="preserve"> </w:t>
      </w:r>
      <m:oMath>
        <m:sSub>
          <m:e>
            <m:r>
              <m:t>r</m:t>
            </m:r>
          </m:e>
          <m:sub>
            <m:r>
              <m:rPr>
                <m:sty m:val="p"/>
              </m:rPr>
              <m:t>⊥</m:t>
            </m:r>
          </m:sub>
        </m:sSub>
        <m:r>
          <m:rPr>
            <m:sty m:val="p"/>
          </m:rPr>
          <m:t>=</m:t>
        </m:r>
        <m:d>
          <m:dPr>
            <m:begChr m:val="("/>
            <m:endChr m:val=")"/>
            <m:sepChr m:val=""/>
            <m:grow/>
          </m:dPr>
          <m:e>
            <m:r>
              <m:t>I</m:t>
            </m:r>
            <m:r>
              <m:rPr>
                <m:sty m:val="p"/>
              </m:rPr>
              <m:t>−</m:t>
            </m:r>
            <m:sSub>
              <m:e>
                <m:r>
                  <m:t>U</m:t>
                </m:r>
              </m:e>
              <m:sub>
                <m:r>
                  <m:t>k</m:t>
                </m:r>
              </m:sub>
            </m:sSub>
            <m:sSubSup>
              <m:e>
                <m:r>
                  <m:t>U</m:t>
                </m:r>
              </m:e>
              <m:sub>
                <m:r>
                  <m:t>k</m:t>
                </m:r>
              </m:sub>
              <m:sup>
                <m:r>
                  <m:rPr>
                    <m:sty m:val="p"/>
                  </m:rPr>
                  <m:t>⊤</m:t>
                </m:r>
              </m:sup>
            </m:sSubSup>
          </m:e>
        </m:d>
        <m:d>
          <m:dPr>
            <m:begChr m:val="("/>
            <m:endChr m:val=")"/>
            <m:sepChr m:val=""/>
            <m:grow/>
          </m:dPr>
          <m:e>
            <m:r>
              <m:t>r</m:t>
            </m:r>
            <m:r>
              <m:rPr>
                <m:sty m:val="p"/>
              </m:rPr>
              <m:t>−</m:t>
            </m:r>
            <m:r>
              <m:t>μ</m:t>
            </m:r>
          </m:e>
        </m:d>
      </m:oMath>
      <w:r>
        <w:t xml:space="preserve">. Khi đó</w:t>
      </w:r>
      <w:r>
        <w:t xml:space="preserve"> </w:t>
      </w:r>
      <m:oMath>
        <m:sSubSup>
          <m:e>
            <m:r>
              <m:t>U</m:t>
            </m:r>
          </m:e>
          <m:sub>
            <m:r>
              <m:t>k</m:t>
            </m:r>
          </m:sub>
          <m:sup>
            <m:r>
              <m:rPr>
                <m:sty m:val="p"/>
              </m:rPr>
              <m:t>⊤</m:t>
            </m:r>
          </m:sup>
        </m:sSubSup>
        <m:sSub>
          <m:e>
            <m:r>
              <m:t>r</m:t>
            </m:r>
          </m:e>
          <m:sub>
            <m:r>
              <m:rPr>
                <m:sty m:val="p"/>
              </m:rPr>
              <m:t>⊥</m:t>
            </m:r>
          </m:sub>
        </m:sSub>
        <m:r>
          <m:rPr>
            <m:sty m:val="p"/>
          </m:rPr>
          <m:t>=</m:t>
        </m:r>
        <m:r>
          <m:t>0</m:t>
        </m:r>
      </m:oMath>
      <w:r>
        <w:t xml:space="preserve"> </w:t>
      </w:r>
      <w:r>
        <w:t xml:space="preserve">và</w:t>
      </w:r>
    </w:p>
    <w:p>
      <w:pPr>
        <w:pStyle w:val="BodyText"/>
      </w:pPr>
      <m:oMathPara>
        <m:oMathParaPr>
          <m:jc m:val="center"/>
        </m:oMathParaPr>
        <m:oMath>
          <m:r>
            <m:t>x</m:t>
          </m:r>
          <m:r>
            <m:rPr>
              <m:sty m:val="p"/>
            </m:rPr>
            <m:t>−</m:t>
          </m:r>
          <m:acc>
            <m:accPr>
              <m:chr m:val="̂"/>
            </m:accPr>
            <m:e>
              <m:r>
                <m:t>x</m:t>
              </m:r>
            </m:e>
          </m:acc>
          <m:r>
            <m:rPr>
              <m:sty m:val="p"/>
            </m:rPr>
            <m:t>=</m:t>
          </m:r>
          <m:sSub>
            <m:e>
              <m:r>
                <m:t>r</m:t>
              </m:r>
            </m:e>
            <m:sub>
              <m:r>
                <m:rPr>
                  <m:sty m:val="p"/>
                </m:rPr>
                <m:t>⊥</m:t>
              </m:r>
            </m:sub>
          </m:sSub>
          <m:r>
            <m:rPr>
              <m:sty m:val="p"/>
            </m:rPr>
            <m:t>+</m:t>
          </m:r>
          <m:sSub>
            <m:e>
              <m:r>
                <m:t>U</m:t>
              </m:r>
            </m:e>
            <m:sub>
              <m:r>
                <m:t>k</m:t>
              </m:r>
            </m:sub>
          </m:sSub>
          <m:d>
            <m:dPr>
              <m:begChr m:val="("/>
              <m:endChr m:val=")"/>
              <m:sepChr m:val=""/>
              <m:grow/>
            </m:dPr>
            <m:e>
              <m:sSup>
                <m:e>
                  <m:r>
                    <m:t>c</m:t>
                  </m:r>
                </m:e>
                <m:sup>
                  <m:r>
                    <m:rPr>
                      <m:sty m:val="p"/>
                    </m:rPr>
                    <m:t>*</m:t>
                  </m:r>
                </m:sup>
              </m:sSup>
              <m:r>
                <m:rPr>
                  <m:sty m:val="p"/>
                </m:rPr>
                <m:t>−</m:t>
              </m:r>
              <m:sSub>
                <m:e>
                  <m:r>
                    <m:t>c</m:t>
                  </m:r>
                </m:e>
                <m:sub>
                  <m:r>
                    <m:t>θ</m:t>
                  </m:r>
                </m:sub>
              </m:sSub>
              <m:d>
                <m:dPr>
                  <m:begChr m:val="("/>
                  <m:endChr m:val=")"/>
                  <m:sepChr m:val=""/>
                  <m:grow/>
                </m:dPr>
                <m:e>
                  <m:r>
                    <m:t>y</m:t>
                  </m:r>
                </m:e>
              </m:d>
            </m:e>
          </m:d>
          <m:r>
            <m:rPr>
              <m:sty m:val="p"/>
            </m:rPr>
            <m:t>.</m:t>
          </m:r>
        </m:oMath>
      </m:oMathPara>
    </w:p>
    <w:p>
      <w:pPr>
        <w:pStyle w:val="FirstParagraph"/>
      </w:pPr>
      <w:r>
        <w:rPr>
          <w:b/>
          <w:bCs/>
        </w:rPr>
        <w:t xml:space="preserve">Định lý 2 — Error decomposition.</w:t>
      </w:r>
      <w:r>
        <w:t xml:space="preserve"> </w:t>
      </w:r>
      <w:r>
        <w:t xml:space="preserve">Vì</w:t>
      </w:r>
      <w:r>
        <w:t xml:space="preserve"> </w:t>
      </w:r>
      <m:oMath>
        <m:sSubSup>
          <m:e>
            <m:r>
              <m:t>U</m:t>
            </m:r>
          </m:e>
          <m:sub>
            <m:r>
              <m:t>k</m:t>
            </m:r>
          </m:sub>
          <m:sup>
            <m:r>
              <m:rPr>
                <m:sty m:val="p"/>
              </m:rPr>
              <m:t>⊤</m:t>
            </m:r>
          </m:sup>
        </m:sSubSup>
        <m:sSub>
          <m:e>
            <m:r>
              <m:t>U</m:t>
            </m:r>
          </m:e>
          <m:sub>
            <m:r>
              <m:t>k</m:t>
            </m:r>
          </m:sub>
        </m:sSub>
        <m:r>
          <m:rPr>
            <m:sty m:val="p"/>
          </m:rPr>
          <m:t>=</m:t>
        </m:r>
        <m:sSub>
          <m:e>
            <m:r>
              <m:t>I</m:t>
            </m:r>
          </m:e>
          <m:sub>
            <m:r>
              <m:t>k</m:t>
            </m:r>
          </m:sub>
        </m:sSub>
      </m:oMath>
      <w:r>
        <w:t xml:space="preserve"> </w:t>
      </w:r>
      <w:r>
        <w:t xml:space="preserve">và hai thành phần trực giao:</w:t>
      </w:r>
    </w:p>
    <w:p>
      <w:pPr>
        <w:pStyle w:val="BodyText"/>
      </w:pPr>
      <m:oMathPara>
        <m:oMathParaPr>
          <m:jc m:val="center"/>
        </m:oMathParaPr>
        <m:oMath>
          <m:borderBox>
            <m:e>
              <m:r>
                <m:rPr>
                  <m:sty m:val="p"/>
                </m:rPr>
                <m:t>∥</m:t>
              </m:r>
              <m:r>
                <m:t>x</m:t>
              </m:r>
              <m:r>
                <m:rPr>
                  <m:sty m:val="p"/>
                </m:rPr>
                <m:t>−</m:t>
              </m:r>
              <m:acc>
                <m:accPr>
                  <m:chr m:val="̂"/>
                </m:accPr>
                <m:e>
                  <m:r>
                    <m:t>x</m:t>
                  </m:r>
                </m:e>
              </m:acc>
              <m:sSubSup>
                <m:e>
                  <m:r>
                    <m:rPr>
                      <m:sty m:val="p"/>
                    </m:rPr>
                    <m:t>∥</m:t>
                  </m:r>
                </m:e>
                <m:sub>
                  <m:r>
                    <m:t>2</m:t>
                  </m:r>
                </m:sub>
                <m:sup>
                  <m:r>
                    <m:t>2</m:t>
                  </m:r>
                </m:sup>
              </m:sSubSup>
              <m:r>
                <m:rPr>
                  <m:sty m:val="p"/>
                </m:rPr>
                <m:t>=</m:t>
              </m:r>
              <m:r>
                <m:rPr>
                  <m:sty m:val="p"/>
                </m:rPr>
                <m:t>∥</m:t>
              </m:r>
              <m:sSub>
                <m:e>
                  <m:r>
                    <m:t>r</m:t>
                  </m:r>
                </m:e>
                <m:sub>
                  <m:r>
                    <m:rPr>
                      <m:sty m:val="p"/>
                    </m:rPr>
                    <m:t>⊥</m:t>
                  </m:r>
                </m:sub>
              </m:sSub>
              <m:sSubSup>
                <m:e>
                  <m:r>
                    <m:rPr>
                      <m:sty m:val="p"/>
                    </m:rPr>
                    <m:t>∥</m:t>
                  </m:r>
                </m:e>
                <m:sub>
                  <m:r>
                    <m:t>2</m:t>
                  </m:r>
                </m:sub>
                <m:sup>
                  <m:r>
                    <m:t>2</m:t>
                  </m:r>
                </m:sup>
              </m:sSubSup>
              <m:r>
                <m:rPr>
                  <m:sty m:val="p"/>
                </m:rPr>
                <m:t>+</m:t>
              </m:r>
              <m:r>
                <m:rPr>
                  <m:sty m:val="p"/>
                </m:rPr>
                <m:t>∥</m:t>
              </m:r>
              <m:sSup>
                <m:e>
                  <m:r>
                    <m:t>c</m:t>
                  </m:r>
                </m:e>
                <m:sup>
                  <m:r>
                    <m:rPr>
                      <m:sty m:val="p"/>
                    </m:rPr>
                    <m:t>*</m:t>
                  </m:r>
                </m:sup>
              </m:sSup>
              <m:r>
                <m:rPr>
                  <m:sty m:val="p"/>
                </m:rPr>
                <m:t>−</m:t>
              </m:r>
              <m:sSub>
                <m:e>
                  <m:r>
                    <m:t>c</m:t>
                  </m:r>
                </m:e>
                <m:sub>
                  <m:r>
                    <m:t>θ</m:t>
                  </m:r>
                </m:sub>
              </m:sSub>
              <m:d>
                <m:dPr>
                  <m:begChr m:val="("/>
                  <m:endChr m:val=")"/>
                  <m:sepChr m:val=""/>
                  <m:grow/>
                </m:dPr>
                <m:e>
                  <m:r>
                    <m:t>y</m:t>
                  </m:r>
                </m:e>
              </m:d>
              <m:sSubSup>
                <m:e>
                  <m:r>
                    <m:rPr>
                      <m:sty m:val="p"/>
                    </m:rPr>
                    <m:t>∥</m:t>
                  </m:r>
                </m:e>
                <m:sub>
                  <m:r>
                    <m:t>2</m:t>
                  </m:r>
                </m:sub>
                <m:sup>
                  <m:r>
                    <m:t>2</m:t>
                  </m:r>
                </m:sup>
              </m:sSubSup>
              <m:r>
                <m:rPr>
                  <m:sty m:val="p"/>
                </m:rPr>
                <m:t>.</m:t>
              </m:r>
            </m:e>
          </m:borderBox>
        </m:oMath>
      </m:oMathPara>
    </w:p>
    <w:p>
      <w:pPr>
        <w:pStyle w:val="FirstParagraph"/>
      </w:pPr>
      <w:r>
        <w:t xml:space="preserve">Vế phải gồm</w:t>
      </w:r>
      <w:r>
        <w:t xml:space="preserve"> </w:t>
      </w:r>
      <w:r>
        <w:rPr>
          <w:b/>
          <w:bCs/>
        </w:rPr>
        <w:t xml:space="preserve">PCA truncation error</w:t>
      </w:r>
      <w:r>
        <w:t xml:space="preserve"> </w:t>
      </w:r>
      <w:r>
        <w:t xml:space="preserve">và</w:t>
      </w:r>
      <w:r>
        <w:t xml:space="preserve"> </w:t>
      </w:r>
      <w:r>
        <w:rPr>
          <w:b/>
          <w:bCs/>
        </w:rPr>
        <w:t xml:space="preserve">coefficient prediction error</w:t>
      </w:r>
      <w:r>
        <w:t xml:space="preserve">. Trên chính phân phối dùng để xây dựng PCA (hoặc trung bình thực nghiệm trên tập huấn luyện), sai số xấp xỉ PCA trung bình tối ưu trong lớp không gian con tuyến tính trực chuẩn</w:t>
      </w:r>
      <w:r>
        <w:t xml:space="preserve"> </w:t>
      </w:r>
      <m:oMath>
        <m:r>
          <m:t>k</m:t>
        </m:r>
      </m:oMath>
      <w:r>
        <w:t xml:space="preserve"> </w:t>
      </w:r>
      <w:r>
        <w:t xml:space="preserve">chiều là:</w:t>
      </w:r>
    </w:p>
    <w:p>
      <w:pPr>
        <w:pStyle w:val="BodyText"/>
      </w:pPr>
      <m:oMathPara>
        <m:oMathParaPr>
          <m:jc m:val="center"/>
        </m:oMathParaPr>
        <m:oMath>
          <m:r>
            <m:rPr>
              <m:sty m:val="p"/>
              <m:scr m:val="double-struck"/>
            </m:rPr>
            <m:t>E</m:t>
          </m:r>
          <m:r>
            <m:rPr>
              <m:sty m:val="p"/>
            </m:rPr>
            <m:t>∥</m:t>
          </m:r>
          <m:sSub>
            <m:e>
              <m:r>
                <m:t>r</m:t>
              </m:r>
            </m:e>
            <m:sub>
              <m:r>
                <m:rPr>
                  <m:sty m:val="p"/>
                </m:rPr>
                <m:t>⊥</m:t>
              </m:r>
            </m:sub>
          </m:sSub>
          <m:sSubSup>
            <m:e>
              <m:r>
                <m:rPr>
                  <m:sty m:val="p"/>
                </m:rPr>
                <m:t>∥</m:t>
              </m:r>
            </m:e>
            <m:sub>
              <m:r>
                <m:t>2</m:t>
              </m:r>
            </m:sub>
            <m:sup>
              <m:r>
                <m:t>2</m:t>
              </m:r>
            </m:sup>
          </m:sSubSup>
          <m:r>
            <m:rPr>
              <m:sty m:val="p"/>
            </m:rPr>
            <m:t>=</m:t>
          </m:r>
          <m:nary>
            <m:naryPr>
              <m:chr m:val="∑"/>
              <m:limLoc m:val="undOvr"/>
              <m:subHide m:val="off"/>
              <m:supHide m:val="on"/>
            </m:naryPr>
            <m:sub>
              <m:r>
                <m:t>j</m:t>
              </m:r>
              <m:r>
                <m:rPr>
                  <m:sty m:val="p"/>
                </m:rPr>
                <m:t>&gt;</m:t>
              </m:r>
              <m:r>
                <m:t>k</m:t>
              </m:r>
            </m:sub>
            <m:sup>
              <m:r>
                <m:t>​</m:t>
              </m:r>
            </m:sup>
            <m:e>
              <m:sSub>
                <m:e>
                  <m:r>
                    <m:t>λ</m:t>
                  </m:r>
                </m:e>
                <m:sub>
                  <m:r>
                    <m:t>j</m:t>
                  </m:r>
                </m:sub>
              </m:sSub>
            </m:e>
          </m:nary>
          <m:r>
            <m:rPr>
              <m:sty m:val="p"/>
            </m:rPr>
            <m:t>.</m:t>
          </m:r>
        </m:oMath>
      </m:oMathPara>
    </w:p>
    <w:bookmarkEnd w:id="23"/>
    <w:bookmarkStart w:id="24" w:name="giới-hạn-và-ý-nghĩa-cho-đề-xuất"/>
    <w:p>
      <w:pPr>
        <w:pStyle w:val="Heading2"/>
      </w:pPr>
      <w:r>
        <w:t xml:space="preserve">5. Giới hạn và ý nghĩa cho đề xuất</w:t>
      </w:r>
    </w:p>
    <w:p>
      <w:pPr>
        <w:pStyle w:val="Compact"/>
        <w:numPr>
          <w:ilvl w:val="0"/>
          <w:numId w:val="1001"/>
        </w:numPr>
      </w:pPr>
      <w:r>
        <w:rPr>
          <w:b/>
          <w:bCs/>
        </w:rPr>
        <w:t xml:space="preserve">Bảo đảm:</w:t>
      </w:r>
      <w:r>
        <w:t xml:space="preserve"> </w:t>
      </w:r>
      <w:r>
        <w:t xml:space="preserve">data consistency trong mô hình tuyến tính, không nhiễu,</w:t>
      </w:r>
      <w:r>
        <w:t xml:space="preserve"> </w:t>
      </w:r>
      <m:oMath>
        <m:r>
          <m:t>A</m:t>
        </m:r>
      </m:oMath>
      <w:r>
        <w:t xml:space="preserve"> </w:t>
      </w:r>
      <w:r>
        <w:t xml:space="preserve">đã biết và full row rank; công thức phân rã sai số là đẳng thức chính xác.</w:t>
      </w:r>
    </w:p>
    <w:p>
      <w:pPr>
        <w:pStyle w:val="Compact"/>
        <w:numPr>
          <w:ilvl w:val="0"/>
          <w:numId w:val="1001"/>
        </w:numPr>
      </w:pPr>
      <w:r>
        <w:rPr>
          <w:b/>
          <w:bCs/>
        </w:rPr>
        <w:t xml:space="preserve">Chưa bảo đảm:</w:t>
      </w:r>
      <w:r>
        <w:t xml:space="preserve"> </w:t>
      </w:r>
      <w:r>
        <w:t xml:space="preserve">convergence tới HR gốc nếu giữ</w:t>
      </w:r>
      <w:r>
        <w:t xml:space="preserve"> </w:t>
      </w:r>
      <m:oMath>
        <m:r>
          <m:t>k</m:t>
        </m:r>
      </m:oMath>
      <w:r>
        <w:t xml:space="preserve"> </w:t>
      </w:r>
      <w:r>
        <w:t xml:space="preserve">cố định, vì</w:t>
      </w:r>
      <w:r>
        <w:t xml:space="preserve"> </w:t>
      </w:r>
      <m:oMath>
        <m:r>
          <m:rPr>
            <m:sty m:val="p"/>
          </m:rPr>
          <m:t>∥</m:t>
        </m:r>
        <m:sSub>
          <m:e>
            <m:r>
              <m:t>r</m:t>
            </m:r>
          </m:e>
          <m:sub>
            <m:r>
              <m:rPr>
                <m:sty m:val="p"/>
              </m:rPr>
              <m:t>⊥</m:t>
            </m:r>
          </m:sub>
        </m:sSub>
        <m:r>
          <m:rPr>
            <m:sty m:val="p"/>
          </m:rPr>
          <m:t>∥</m:t>
        </m:r>
      </m:oMath>
      <w:r>
        <w:t xml:space="preserve"> </w:t>
      </w:r>
      <w:r>
        <w:t xml:space="preserve">có thể khác</w:t>
      </w:r>
      <w:r>
        <w:t xml:space="preserve"> </w:t>
      </w:r>
      <m:oMath>
        <m:r>
          <m:t>0</m:t>
        </m:r>
      </m:oMath>
      <w:r>
        <w:t xml:space="preserve">; cũng chưa có convergence rate theo mức nhiễu.</w:t>
      </w:r>
    </w:p>
    <w:p>
      <w:pPr>
        <w:pStyle w:val="Compact"/>
        <w:numPr>
          <w:ilvl w:val="0"/>
          <w:numId w:val="1001"/>
        </w:numPr>
      </w:pPr>
      <w:r>
        <w:rPr>
          <w:b/>
          <w:bCs/>
        </w:rPr>
        <w:t xml:space="preserve">Chi phí inference:</w:t>
      </w:r>
      <w:r>
        <w:t xml:space="preserve"> </w:t>
      </w:r>
      <w:r>
        <w:t xml:space="preserve">network chỉ xuất</w:t>
      </w:r>
      <w:r>
        <w:t xml:space="preserve"> </w:t>
      </w:r>
      <m:oMath>
        <m:r>
          <m:t>k</m:t>
        </m:r>
      </m:oMath>
      <w:r>
        <w:t xml:space="preserve"> </w:t>
      </w:r>
      <w:r>
        <w:t xml:space="preserve">số, nhưng synthesis</w:t>
      </w:r>
      <w:r>
        <w:t xml:space="preserve"> </w:t>
      </w:r>
      <m:oMath>
        <m:sSub>
          <m:e>
            <m:r>
              <m:t>U</m:t>
            </m:r>
          </m:e>
          <m:sub>
            <m:r>
              <m:t>k</m:t>
            </m:r>
          </m:sub>
        </m:sSub>
        <m:r>
          <m:t>c</m:t>
        </m:r>
      </m:oMath>
      <w:r>
        <w:t xml:space="preserve"> </w:t>
      </w:r>
      <w:r>
        <w:t xml:space="preserve">vẫn tốn</w:t>
      </w:r>
      <w:r>
        <w:t xml:space="preserve"> </w:t>
      </w:r>
      <m:oMath>
        <m:r>
          <m:t>O</m:t>
        </m:r>
        <m:d>
          <m:dPr>
            <m:begChr m:val="("/>
            <m:endChr m:val=")"/>
            <m:sepChr m:val=""/>
            <m:grow/>
          </m:dPr>
          <m:e>
            <m:r>
              <m:t>N</m:t>
            </m:r>
            <m:r>
              <m:t>k</m:t>
            </m:r>
          </m:e>
        </m:d>
      </m:oMath>
      <w:r>
        <w:t xml:space="preserve"> </w:t>
      </w:r>
      <w:r>
        <w:t xml:space="preserve">phép toán và bộ nhớ</w:t>
      </w:r>
      <w:r>
        <w:t xml:space="preserve"> </w:t>
      </w:r>
      <m:oMath>
        <m:r>
          <m:t>O</m:t>
        </m:r>
        <m:d>
          <m:dPr>
            <m:begChr m:val="("/>
            <m:endChr m:val=")"/>
            <m:sepChr m:val=""/>
            <m:grow/>
          </m:dPr>
          <m:e>
            <m:r>
              <m:t>N</m:t>
            </m:r>
            <m:r>
              <m:t>k</m:t>
            </m:r>
          </m:e>
        </m:d>
      </m:oMath>
      <w:r>
        <w:t xml:space="preserve"> </w:t>
      </w:r>
      <w:r>
        <w:t xml:space="preserve">nếu basis dense. Do đó</w:t>
      </w:r>
      <w:r>
        <w:t xml:space="preserve"> </w:t>
      </w:r>
      <w:r>
        <w:rPr>
          <w:b/>
          <w:bCs/>
        </w:rPr>
        <w:t xml:space="preserve">tốc độ vượt NSN gốc cần kiểm chứng thực nghiệm</w:t>
      </w:r>
      <w:r>
        <w:t xml:space="preserve">, hoặc nghiên cứu local/sparse/structured basis.</w:t>
      </w:r>
    </w:p>
    <w:p>
      <w:pPr>
        <w:pStyle w:val="FirstParagraph"/>
      </w:pPr>
      <w:r>
        <w:rPr>
          <w:b/>
          <w:bCs/>
        </w:rPr>
        <w:t xml:space="preserve">Kết luận.</w:t>
      </w:r>
      <w:r>
        <w:t xml:space="preserve"> </w:t>
      </w:r>
      <w:r>
        <w:t xml:space="preserve">PCA cung cấp một cách tham số hóa null space có data consistency được chứng minh và sai số tách bạch rõ ràng; hiệu quả thực tế phụ thuộc phổ eigenvalue, khả năng dự đoán hệ số và chi phí synthesis.</w:t>
      </w:r>
    </w:p>
    <w:bookmarkEnd w:id="24"/>
    <w:sectPr>
      <w:footerReference w:type="default" r:id="rId9"/>
      <w:pgMar w:top="1020" w:bottom="935" w:left="1219" w:right="1219"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738192"/>
        <w:sz w:val="15"/>
      </w:rPr>
      <w:t>Research note  •  PCA &amp; Null Space  |  13.10.2026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1" w:lineRule="auto"/>
    </w:pPr>
    <w:rPr>
      <w:rFonts w:ascii="DejaVu Sans" w:hAnsi="DejaVu Sans" w:eastAsia="DejaVu Sans" w:cs="DejaVu Sans"/>
      <w:color w:val="212E40"/>
      <w:sz w:val="19"/>
    </w:rPr>
  </w:style>
  <w:style w:styleId="BodyText" w:type="paragraph">
    <w:name w:val="Body Text"/>
    <w:basedOn w:val="Normal"/>
    <w:link w:val="BodyTextChar"/>
    <w:qFormat/>
    <w:pPr>
      <w:spacing w:after="100" w:before="180" w:line="271" w:lineRule="auto"/>
    </w:pPr>
    <w:rPr>
      <w:rFonts w:ascii="DejaVu Sans" w:hAnsi="DejaVu Sans" w:eastAsia="DejaVu Sans" w:cs="DejaVu Sans"/>
      <w:color w:val="212E40"/>
      <w:sz w:val="19"/>
    </w:rPr>
  </w:style>
  <w:style w:customStyle="1" w:styleId="FirstParagraph" w:type="paragraph">
    <w:name w:val="First Paragraph"/>
    <w:basedOn w:val="BodyText"/>
    <w:next w:val="BodyText"/>
    <w:qFormat/>
    <w:pPr>
      <w:spacing w:after="100" w:line="271" w:lineRule="auto"/>
    </w:pPr>
    <w:rPr>
      <w:rFonts w:ascii="DejaVu Sans" w:hAnsi="DejaVu Sans" w:eastAsia="DejaVu Sans" w:cs="DejaVu Sans"/>
      <w:color w:val="212E40"/>
      <w:sz w:val="19"/>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0"/>
      <w:jc w:val="center"/>
    </w:pPr>
    <w:rPr>
      <w:rFonts w:asciiTheme="majorHAnsi" w:cstheme="majorBidi" w:eastAsiaTheme="majorEastAsia" w:hAnsiTheme="majorHAnsi" w:ascii="DejaVu Sans" w:hAnsi="DejaVu Sans"/>
      <w:b/>
      <w:bCs/>
      <w:color w:val="143C64"/>
      <w:sz w:val="32"/>
      <w:szCs w:val="36"/>
    </w:rPr>
  </w:style>
  <w:style w:styleId="Subtitle" w:type="paragraph">
    <w:name w:val="Subtitle"/>
    <w:basedOn w:val="Title"/>
    <w:next w:val="BodyText"/>
    <w:qFormat/>
    <w:pPr>
      <w:keepNext/>
      <w:keepLines/>
      <w:spacing w:after="100" w:before="0"/>
      <w:jc w:val="center"/>
    </w:pPr>
    <w:rPr>
      <w:rFonts w:ascii="DejaVu Sans" w:hAnsi="DejaVu Sans"/>
      <w:b w:val="0"/>
      <w:color w:val="143C64"/>
      <w:sz w:val="2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PCA-Based Null-Space Representation for Super-Resolution</dc:title>
  <dc:creator/>
  <dc:language>vi</dc:language>
  <cp:keywords/>
  <dcterms:created xsi:type="dcterms:W3CDTF">2026-10-13T03:20:11Z</dcterms:created>
  <dcterms:modified xsi:type="dcterms:W3CDTF">2026-10-13T03:20:11Z</dcterms:modified>
  <dc:subject>Mathematical proof: data consistency and reconstruction error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Cơ sở lý thuyết và chứng minh ngắn gọn</vt:lpwstr>
  </property>
</Properties>
</file>