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08-11-2019  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12:45-13:15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Abdullah Alkhalaf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project plane v2.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process report v2.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Setup Document v2.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 database design v3.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Application GUI v2.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web pages (front-end) of the website v2 + wireframes.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the block1 project documents to tutor and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eceive feedback on the project plan v2,process report v2, setup document v2, Database design v3 and application GUI v2, frontend of the web application v2 + wireframes 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answers from tutor to the questions regarding implementation phase.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plane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report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12:55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Document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design 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GUI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(frontend) + 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41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42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